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0E" w:rsidRDefault="008D160E" w:rsidP="008D160E">
      <w:pPr>
        <w:pStyle w:val="2"/>
        <w:rPr>
          <w:rtl/>
        </w:rPr>
      </w:pPr>
      <w:bookmarkStart w:id="0" w:name="_Toc130537229"/>
      <w:bookmarkStart w:id="1" w:name="_Ref130537460"/>
      <w:r>
        <w:rPr>
          <w:w w:val="100"/>
          <w:rtl/>
        </w:rPr>
        <w:drawing>
          <wp:anchor distT="0" distB="0" distL="114300" distR="114300" simplePos="0" relativeHeight="251659264" behindDoc="1" locked="0" layoutInCell="1" allowOverlap="1">
            <wp:simplePos x="0" y="0"/>
            <wp:positionH relativeFrom="column">
              <wp:posOffset>2257425</wp:posOffset>
            </wp:positionH>
            <wp:positionV relativeFrom="paragraph">
              <wp:posOffset>666115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יראים, ישרים, נביאים</w:t>
      </w:r>
      <w:bookmarkEnd w:id="0"/>
      <w:bookmarkEnd w:id="1"/>
    </w:p>
    <w:p w:rsidR="008D160E" w:rsidRPr="00DE003D" w:rsidRDefault="008D160E" w:rsidP="008D160E">
      <w:pPr>
        <w:keepNext/>
        <w:framePr w:dropCap="drop" w:lines="2" w:hSpace="57" w:wrap="around" w:vAnchor="text" w:hAnchor="text" w:xAlign="right"/>
        <w:spacing w:after="0" w:line="760" w:lineRule="exact"/>
        <w:textAlignment w:val="baseline"/>
        <w:rPr>
          <w:rStyle w:val="a8"/>
          <w:rtl/>
        </w:rPr>
      </w:pPr>
      <w:r w:rsidRPr="00DE003D">
        <w:rPr>
          <w:rStyle w:val="a8"/>
          <w:rtl/>
        </w:rPr>
        <w:t>ח</w:t>
      </w:r>
    </w:p>
    <w:p w:rsidR="008D160E" w:rsidRDefault="008D160E" w:rsidP="008D160E">
      <w:pPr>
        <w:rPr>
          <w:rFonts w:hint="cs"/>
          <w:rtl/>
        </w:rPr>
      </w:pPr>
      <w:r>
        <w:rPr>
          <w:rtl/>
        </w:rPr>
        <w:t>ז"ל דרשו</w:t>
      </w:r>
      <w:r w:rsidRPr="00E838EB">
        <w:rPr>
          <w:rStyle w:val="a5"/>
          <w:rtl/>
        </w:rPr>
        <w:endnoteReference w:id="1"/>
      </w:r>
      <w:r>
        <w:rPr>
          <w:rtl/>
        </w:rPr>
        <w:t xml:space="preserve"> כי ה' מגלה את סודו בתחילה ליראים, אחר כך לישרים ובסוף לנביאים</w:t>
      </w:r>
      <w:r>
        <w:rPr>
          <w:rFonts w:hint="cs"/>
          <w:rtl/>
        </w:rPr>
        <w:t xml:space="preserve">: "בראשונה היה הסוד </w:t>
      </w:r>
      <w:proofErr w:type="spellStart"/>
      <w:r>
        <w:rPr>
          <w:rFonts w:hint="cs"/>
          <w:rtl/>
        </w:rPr>
        <w:t>ליראיו</w:t>
      </w:r>
      <w:proofErr w:type="spellEnd"/>
      <w:r>
        <w:rPr>
          <w:rFonts w:hint="cs"/>
          <w:rtl/>
        </w:rPr>
        <w:t xml:space="preserve">, שנאמר 'סוד הוי' </w:t>
      </w:r>
      <w:proofErr w:type="spellStart"/>
      <w:r>
        <w:rPr>
          <w:rFonts w:hint="cs"/>
          <w:rtl/>
        </w:rPr>
        <w:t>ליראיו</w:t>
      </w:r>
      <w:proofErr w:type="spellEnd"/>
      <w:r>
        <w:rPr>
          <w:rFonts w:hint="cs"/>
          <w:rtl/>
        </w:rPr>
        <w:t>'</w:t>
      </w:r>
      <w:r w:rsidRPr="00E838EB">
        <w:rPr>
          <w:rStyle w:val="a5"/>
          <w:rtl/>
        </w:rPr>
        <w:endnoteReference w:id="2"/>
      </w:r>
      <w:r>
        <w:rPr>
          <w:rFonts w:hint="cs"/>
          <w:rtl/>
        </w:rPr>
        <w:t>. חזר ונתנו לישרים, שנאמר 'ואת ישרים סודו'</w:t>
      </w:r>
      <w:r w:rsidRPr="00E838EB">
        <w:rPr>
          <w:rStyle w:val="a5"/>
          <w:rtl/>
        </w:rPr>
        <w:endnoteReference w:id="3"/>
      </w:r>
      <w:r>
        <w:rPr>
          <w:rFonts w:hint="cs"/>
          <w:rtl/>
        </w:rPr>
        <w:t>. חזר ונתנו לנביאים, שנאמר 'כי אם גלה סודו אל עבדיו הנביאים'</w:t>
      </w:r>
      <w:r w:rsidRPr="00E838EB">
        <w:rPr>
          <w:rStyle w:val="a5"/>
          <w:rtl/>
        </w:rPr>
        <w:endnoteReference w:id="4"/>
      </w:r>
      <w:r>
        <w:rPr>
          <w:rFonts w:hint="cs"/>
          <w:rtl/>
        </w:rPr>
        <w:t xml:space="preserve">". ראשי התיבות של אלו להם מגלה ה' את סודו </w:t>
      </w:r>
      <w:r>
        <w:rPr>
          <w:rtl/>
        </w:rPr>
        <w:t>–</w:t>
      </w:r>
      <w:r>
        <w:rPr>
          <w:rFonts w:hint="cs"/>
          <w:rtl/>
        </w:rPr>
        <w:t xml:space="preserve"> </w:t>
      </w:r>
      <w:r w:rsidRPr="00EC6CF9">
        <w:rPr>
          <w:rFonts w:hint="cs"/>
          <w:b/>
          <w:bCs/>
          <w:sz w:val="32"/>
          <w:szCs w:val="28"/>
          <w:rtl/>
        </w:rPr>
        <w:t>י</w:t>
      </w:r>
      <w:r>
        <w:rPr>
          <w:rFonts w:hint="cs"/>
          <w:rtl/>
        </w:rPr>
        <w:t xml:space="preserve">ראים </w:t>
      </w:r>
      <w:r w:rsidRPr="00EC6CF9">
        <w:rPr>
          <w:rFonts w:hint="cs"/>
          <w:b/>
          <w:bCs/>
          <w:sz w:val="32"/>
          <w:szCs w:val="28"/>
          <w:rtl/>
        </w:rPr>
        <w:t>י</w:t>
      </w:r>
      <w:r>
        <w:rPr>
          <w:rFonts w:hint="cs"/>
          <w:rtl/>
        </w:rPr>
        <w:t xml:space="preserve">שרים </w:t>
      </w:r>
      <w:r w:rsidRPr="00EC6CF9">
        <w:rPr>
          <w:rFonts w:hint="cs"/>
          <w:b/>
          <w:bCs/>
          <w:sz w:val="32"/>
          <w:szCs w:val="28"/>
          <w:rtl/>
        </w:rPr>
        <w:t>נ</w:t>
      </w:r>
      <w:r>
        <w:rPr>
          <w:rFonts w:hint="cs"/>
          <w:rtl/>
        </w:rPr>
        <w:t>ביאים</w:t>
      </w:r>
      <w:r w:rsidRPr="008A44FD">
        <w:rPr>
          <w:rFonts w:hint="cs"/>
          <w:sz w:val="24"/>
          <w:szCs w:val="24"/>
          <w:rtl/>
        </w:rPr>
        <w:t xml:space="preserve"> </w:t>
      </w:r>
      <w:r w:rsidRPr="008A44FD">
        <w:rPr>
          <w:sz w:val="28"/>
          <w:rtl/>
        </w:rPr>
        <w:t>–</w:t>
      </w:r>
      <w:r w:rsidRPr="008A44FD">
        <w:rPr>
          <w:rFonts w:hint="cs"/>
          <w:sz w:val="28"/>
          <w:rtl/>
        </w:rPr>
        <w:t xml:space="preserve"> הם </w:t>
      </w:r>
      <w:r w:rsidRPr="00EC6CF9">
        <w:rPr>
          <w:rFonts w:hint="cs"/>
          <w:b/>
          <w:bCs/>
          <w:sz w:val="30"/>
          <w:szCs w:val="28"/>
          <w:rtl/>
        </w:rPr>
        <w:t>יין</w:t>
      </w:r>
      <w:r>
        <w:rPr>
          <w:rFonts w:hint="cs"/>
          <w:rtl/>
        </w:rPr>
        <w:t xml:space="preserve">, בסוד "נכנס </w:t>
      </w:r>
      <w:r w:rsidRPr="00EC6CF9">
        <w:rPr>
          <w:rFonts w:hint="cs"/>
          <w:b/>
          <w:bCs/>
          <w:sz w:val="28"/>
          <w:szCs w:val="28"/>
          <w:rtl/>
        </w:rPr>
        <w:t>יין</w:t>
      </w:r>
      <w:r>
        <w:rPr>
          <w:rFonts w:hint="cs"/>
          <w:rtl/>
        </w:rPr>
        <w:t xml:space="preserve"> יצא </w:t>
      </w:r>
      <w:r w:rsidRPr="00EC6CF9">
        <w:rPr>
          <w:rFonts w:hint="cs"/>
          <w:b/>
          <w:bCs/>
          <w:sz w:val="28"/>
          <w:szCs w:val="28"/>
          <w:rtl/>
        </w:rPr>
        <w:t>סוד</w:t>
      </w:r>
      <w:r>
        <w:rPr>
          <w:rFonts w:hint="cs"/>
          <w:rtl/>
        </w:rPr>
        <w:t>"</w:t>
      </w:r>
      <w:r w:rsidRPr="00E838EB">
        <w:rPr>
          <w:rStyle w:val="a5"/>
          <w:rtl/>
        </w:rPr>
        <w:endnoteReference w:id="5"/>
      </w:r>
      <w:r>
        <w:rPr>
          <w:rFonts w:hint="cs"/>
          <w:rtl/>
        </w:rPr>
        <w:t xml:space="preserve">. הסוד הפנימי הטמון בכל יהודי הוא אהבת ישראל </w:t>
      </w:r>
      <w:r>
        <w:rPr>
          <w:rtl/>
        </w:rPr>
        <w:t>–</w:t>
      </w:r>
      <w:r>
        <w:rPr>
          <w:rFonts w:hint="cs"/>
          <w:rtl/>
        </w:rPr>
        <w:t xml:space="preserve"> כאשר יהודי שותה יין, הוא תופס את הסובבים אותו, מחבקם ומנשקם. הסוד הכמוס המתגלה מתוכו הוא אהבתו הרבה לכל יהודי. </w:t>
      </w:r>
    </w:p>
    <w:p w:rsidR="008D160E" w:rsidRDefault="008D160E" w:rsidP="008D160E">
      <w:pPr>
        <w:rPr>
          <w:rFonts w:hint="cs"/>
          <w:rtl/>
        </w:rPr>
      </w:pPr>
      <w:r>
        <w:rPr>
          <w:rFonts w:hint="cs"/>
          <w:rtl/>
        </w:rPr>
        <w:t xml:space="preserve">גילוי סוד האהבה, השייך לספירת החסד, הוא בספירת היסוד </w:t>
      </w:r>
      <w:r>
        <w:rPr>
          <w:rtl/>
        </w:rPr>
        <w:t>–</w:t>
      </w:r>
      <w:r>
        <w:rPr>
          <w:rFonts w:hint="cs"/>
          <w:rtl/>
        </w:rPr>
        <w:t xml:space="preserve"> </w:t>
      </w:r>
      <w:proofErr w:type="spellStart"/>
      <w:r>
        <w:rPr>
          <w:rFonts w:hint="cs"/>
          <w:rtl/>
        </w:rPr>
        <w:t>כח</w:t>
      </w:r>
      <w:proofErr w:type="spellEnd"/>
      <w:r>
        <w:rPr>
          <w:rFonts w:hint="cs"/>
          <w:rtl/>
        </w:rPr>
        <w:t xml:space="preserve"> הברית, המביא לידי ביטוי וגילוי את האהבה הפנימית שבלב. כך ממשיך הפסוק "סוד הוי' </w:t>
      </w:r>
      <w:proofErr w:type="spellStart"/>
      <w:r>
        <w:rPr>
          <w:rFonts w:hint="cs"/>
          <w:rtl/>
        </w:rPr>
        <w:t>ליראיו</w:t>
      </w:r>
      <w:proofErr w:type="spellEnd"/>
      <w:r>
        <w:rPr>
          <w:rFonts w:hint="cs"/>
          <w:rtl/>
        </w:rPr>
        <w:t xml:space="preserve"> </w:t>
      </w:r>
      <w:r>
        <w:rPr>
          <w:rtl/>
        </w:rPr>
        <w:t>–</w:t>
      </w:r>
      <w:r>
        <w:rPr>
          <w:rFonts w:hint="cs"/>
          <w:rtl/>
        </w:rPr>
        <w:t xml:space="preserve"> ובריתו להודיעם", ללמד כי הסוד נודע </w:t>
      </w:r>
      <w:proofErr w:type="spellStart"/>
      <w:r>
        <w:rPr>
          <w:rFonts w:hint="cs"/>
          <w:rtl/>
        </w:rPr>
        <w:t>במדת</w:t>
      </w:r>
      <w:proofErr w:type="spellEnd"/>
      <w:r>
        <w:rPr>
          <w:rFonts w:hint="cs"/>
          <w:rtl/>
        </w:rPr>
        <w:t xml:space="preserve"> הברית דווקא</w:t>
      </w:r>
      <w:r w:rsidRPr="00E838EB">
        <w:rPr>
          <w:rStyle w:val="a5"/>
          <w:rtl/>
        </w:rPr>
        <w:endnoteReference w:id="6"/>
      </w:r>
      <w:r>
        <w:rPr>
          <w:rFonts w:hint="cs"/>
          <w:rtl/>
        </w:rPr>
        <w:t xml:space="preserve">. לכן, המקום העיקרי בו מתגלה סוד האהבה הוא חיי הנישואין, שמהותם היא מימוש האהבה בכריתת ברית נצחית. כפי שלומדים מהמדרש, על מנת שסוד האהבה אכן יגיע לידי גילוי, נדרש סדר זה של יראים-ישרים-נביאים: </w:t>
      </w:r>
    </w:p>
    <w:p w:rsidR="008D160E" w:rsidRDefault="008D160E" w:rsidP="008D160E">
      <w:pPr>
        <w:rPr>
          <w:rFonts w:hint="cs"/>
          <w:rtl/>
        </w:rPr>
      </w:pPr>
      <w:r>
        <w:rPr>
          <w:rtl/>
        </w:rPr>
        <w:t xml:space="preserve">ראשית בנין הבית היהודי הוא יראת ה', </w:t>
      </w:r>
      <w:r>
        <w:rPr>
          <w:rFonts w:hint="cs"/>
          <w:rtl/>
        </w:rPr>
        <w:t xml:space="preserve">והיא </w:t>
      </w:r>
      <w:r>
        <w:rPr>
          <w:rtl/>
        </w:rPr>
        <w:t>הבסיס והתשתית לכל בית יהודי</w:t>
      </w:r>
      <w:r>
        <w:rPr>
          <w:rFonts w:hint="cs"/>
          <w:rtl/>
        </w:rPr>
        <w:t>.</w:t>
      </w:r>
      <w:r>
        <w:rPr>
          <w:rtl/>
        </w:rPr>
        <w:t xml:space="preserve"> היראה שומרת את האהבה מכל פגם, זלזול ויניקת החיצונים</w:t>
      </w:r>
      <w:r>
        <w:rPr>
          <w:rFonts w:hint="cs"/>
          <w:rtl/>
        </w:rPr>
        <w:t>. יותר מכך, היראה גם מגבירה את האהבה, משום שחלק מהיראה המרכיבה את הבית היא החשש מפני אובדן ובטול האהבה</w:t>
      </w:r>
      <w:r w:rsidRPr="00E838EB">
        <w:rPr>
          <w:rStyle w:val="a5"/>
          <w:rtl/>
        </w:rPr>
        <w:endnoteReference w:id="7"/>
      </w:r>
      <w:r>
        <w:rPr>
          <w:rFonts w:hint="cs"/>
          <w:rtl/>
        </w:rPr>
        <w:t xml:space="preserve">. יראה כזו מוסיפה ממד של רגישות לאהבה </w:t>
      </w:r>
      <w:r>
        <w:rPr>
          <w:rtl/>
        </w:rPr>
        <w:t>–</w:t>
      </w:r>
      <w:r>
        <w:rPr>
          <w:rFonts w:hint="cs"/>
          <w:rtl/>
        </w:rPr>
        <w:t xml:space="preserve"> זהירות מכל פגיעה שתזיק לאהבה </w:t>
      </w:r>
      <w:r>
        <w:rPr>
          <w:rtl/>
        </w:rPr>
        <w:t>–</w:t>
      </w:r>
      <w:r>
        <w:rPr>
          <w:rFonts w:hint="cs"/>
          <w:rtl/>
        </w:rPr>
        <w:t xml:space="preserve"> ואף מחדדת את יוקר האהבה וחשיבותה. האהבה והיראה הן שתי כנפים</w:t>
      </w:r>
      <w:r w:rsidRPr="00E838EB">
        <w:rPr>
          <w:rStyle w:val="a5"/>
          <w:rtl/>
        </w:rPr>
        <w:endnoteReference w:id="8"/>
      </w:r>
      <w:r>
        <w:rPr>
          <w:rFonts w:hint="cs"/>
          <w:rtl/>
        </w:rPr>
        <w:t xml:space="preserve"> המרוממות את הבית, ולא ניתן לעוף בעזרת כנף אחת בלבד</w:t>
      </w:r>
      <w:r w:rsidRPr="00E838EB">
        <w:rPr>
          <w:rStyle w:val="a5"/>
          <w:rtl/>
        </w:rPr>
        <w:endnoteReference w:id="9"/>
      </w:r>
      <w:r>
        <w:rPr>
          <w:rFonts w:hint="cs"/>
          <w:rtl/>
        </w:rPr>
        <w:t xml:space="preserve">. מדת היראה עליה מתבסס הבית היהודי שייכת בעיקר לאשה </w:t>
      </w:r>
      <w:r>
        <w:rPr>
          <w:rtl/>
        </w:rPr>
        <w:t>–</w:t>
      </w:r>
      <w:r>
        <w:rPr>
          <w:rFonts w:hint="cs"/>
          <w:rtl/>
        </w:rPr>
        <w:t xml:space="preserve"> "'ביתו' זו אשתו"</w:t>
      </w:r>
      <w:r w:rsidRPr="00E838EB">
        <w:rPr>
          <w:rStyle w:val="a5"/>
          <w:rtl/>
        </w:rPr>
        <w:endnoteReference w:id="10"/>
      </w:r>
      <w:r>
        <w:rPr>
          <w:rFonts w:hint="cs"/>
          <w:rtl/>
        </w:rPr>
        <w:t xml:space="preserve"> </w:t>
      </w:r>
      <w:r>
        <w:rPr>
          <w:rtl/>
        </w:rPr>
        <w:t>–</w:t>
      </w:r>
      <w:r>
        <w:rPr>
          <w:rFonts w:hint="cs"/>
          <w:rtl/>
        </w:rPr>
        <w:t xml:space="preserve"> שמעלתה ותהילתה הגדולה היא "</w:t>
      </w:r>
      <w:proofErr w:type="spellStart"/>
      <w:r>
        <w:rPr>
          <w:rFonts w:hint="cs"/>
          <w:rtl/>
        </w:rPr>
        <w:t>אשה</w:t>
      </w:r>
      <w:proofErr w:type="spellEnd"/>
      <w:r>
        <w:rPr>
          <w:rFonts w:hint="cs"/>
          <w:rtl/>
        </w:rPr>
        <w:t xml:space="preserve"> יראת הוי'"</w:t>
      </w:r>
      <w:r w:rsidRPr="00E838EB">
        <w:rPr>
          <w:rStyle w:val="a5"/>
          <w:rtl/>
        </w:rPr>
        <w:endnoteReference w:id="11"/>
      </w:r>
      <w:r>
        <w:rPr>
          <w:rFonts w:hint="cs"/>
          <w:rtl/>
        </w:rPr>
        <w:t>.</w:t>
      </w:r>
    </w:p>
    <w:p w:rsidR="008D160E" w:rsidRDefault="008D160E" w:rsidP="008D160E">
      <w:pPr>
        <w:rPr>
          <w:rFonts w:hint="cs"/>
          <w:rtl/>
        </w:rPr>
      </w:pPr>
      <w:r>
        <w:rPr>
          <w:rtl/>
        </w:rPr>
        <w:t>בין בני הזוג –</w:t>
      </w:r>
      <w:r>
        <w:rPr>
          <w:rFonts w:hint="cs"/>
          <w:rtl/>
        </w:rPr>
        <w:t xml:space="preserve"> בבית פנימה </w:t>
      </w:r>
      <w:r>
        <w:rPr>
          <w:rtl/>
        </w:rPr>
        <w:t>–</w:t>
      </w:r>
      <w:r>
        <w:rPr>
          <w:rFonts w:hint="cs"/>
          <w:rtl/>
        </w:rPr>
        <w:t xml:space="preserve"> </w:t>
      </w:r>
      <w:r>
        <w:rPr>
          <w:rtl/>
        </w:rPr>
        <w:t>צריכה לשרור מדת הישרות</w:t>
      </w:r>
      <w:r>
        <w:rPr>
          <w:rFonts w:hint="cs"/>
          <w:rtl/>
        </w:rPr>
        <w:t>.</w:t>
      </w:r>
      <w:r>
        <w:rPr>
          <w:rtl/>
        </w:rPr>
        <w:t xml:space="preserve"> על</w:t>
      </w:r>
      <w:r>
        <w:rPr>
          <w:rFonts w:hint="cs"/>
          <w:rtl/>
        </w:rPr>
        <w:t xml:space="preserve"> איש ואשה לחיות יחד</w:t>
      </w:r>
      <w:r>
        <w:rPr>
          <w:rtl/>
        </w:rPr>
        <w:t xml:space="preserve"> ביושר טבעי, כטבע הראשון של "</w:t>
      </w:r>
      <w:r>
        <w:rPr>
          <w:rFonts w:hint="cs"/>
          <w:rtl/>
        </w:rPr>
        <w:t xml:space="preserve">עשה </w:t>
      </w:r>
      <w:proofErr w:type="spellStart"/>
      <w:r>
        <w:rPr>
          <w:rtl/>
        </w:rPr>
        <w:t>האלהים</w:t>
      </w:r>
      <w:proofErr w:type="spellEnd"/>
      <w:r>
        <w:rPr>
          <w:rtl/>
        </w:rPr>
        <w:t xml:space="preserve"> את האדם ישר"</w:t>
      </w:r>
      <w:r w:rsidRPr="00E838EB">
        <w:rPr>
          <w:rStyle w:val="a5"/>
          <w:rtl/>
        </w:rPr>
        <w:endnoteReference w:id="12"/>
      </w:r>
      <w:r>
        <w:rPr>
          <w:rtl/>
        </w:rPr>
        <w:t xml:space="preserve">, ולא </w:t>
      </w:r>
      <w:proofErr w:type="spellStart"/>
      <w:r>
        <w:rPr>
          <w:rtl/>
        </w:rPr>
        <w:t>להכשל</w:t>
      </w:r>
      <w:proofErr w:type="spellEnd"/>
      <w:r>
        <w:rPr>
          <w:rtl/>
        </w:rPr>
        <w:t xml:space="preserve"> ב"והמה בקשו ח</w:t>
      </w:r>
      <w:r>
        <w:rPr>
          <w:rFonts w:hint="cs"/>
          <w:rtl/>
        </w:rPr>
        <w:t>ִ</w:t>
      </w:r>
      <w:r>
        <w:rPr>
          <w:rtl/>
        </w:rPr>
        <w:t>שב</w:t>
      </w:r>
      <w:r w:rsidRPr="00976321">
        <w:rPr>
          <w:spacing w:val="-14"/>
          <w:rtl/>
        </w:rPr>
        <w:t>ֹ</w:t>
      </w:r>
      <w:r>
        <w:rPr>
          <w:rtl/>
        </w:rPr>
        <w:t>נות רבים"</w:t>
      </w:r>
      <w:r>
        <w:rPr>
          <w:rFonts w:hint="cs"/>
          <w:rtl/>
        </w:rPr>
        <w:t xml:space="preserve">. רק אם אין מסתבכים בחשבונות של 'זכויות' ואינטרסים </w:t>
      </w:r>
      <w:r>
        <w:rPr>
          <w:rtl/>
        </w:rPr>
        <w:t>–</w:t>
      </w:r>
      <w:r>
        <w:rPr>
          <w:rFonts w:hint="cs"/>
          <w:rtl/>
        </w:rPr>
        <w:t xml:space="preserve"> כשכל אחד מחשב מה הוא מעניק לזולתו ומה מגיע לו ממנו </w:t>
      </w:r>
      <w:r>
        <w:rPr>
          <w:rtl/>
        </w:rPr>
        <w:t>–</w:t>
      </w:r>
      <w:r>
        <w:rPr>
          <w:rFonts w:hint="cs"/>
          <w:rtl/>
        </w:rPr>
        <w:t xml:space="preserve"> יכולה האהבה לבוא לידי ביטוי בסדר החיים ההגון והישר בין בני זוג. היושר מתבטא גם בדיבורים ישירים </w:t>
      </w:r>
      <w:proofErr w:type="spellStart"/>
      <w:r>
        <w:rPr>
          <w:rFonts w:hint="cs"/>
          <w:rtl/>
        </w:rPr>
        <w:t>ואמיתיים</w:t>
      </w:r>
      <w:proofErr w:type="spellEnd"/>
      <w:r>
        <w:rPr>
          <w:rFonts w:hint="cs"/>
          <w:rtl/>
        </w:rPr>
        <w:t xml:space="preserve">, שאינם מלאים חישובים ומשמעויות עקיפות 'בין השורות'. יושר כזה משתדל לחזור לאהבת אדם וחוה לפני החטא, כפי שמברכים בנישואין "שמח תשמח רעים האהובים כשמחך יצירך בגן עדן מקדם". אחרי חטא אדם הראשון, היושר מנסה לחזור אל מי שתקנו אותו </w:t>
      </w:r>
      <w:r>
        <w:rPr>
          <w:rtl/>
        </w:rPr>
        <w:t>–</w:t>
      </w:r>
      <w:r>
        <w:rPr>
          <w:rFonts w:hint="cs"/>
          <w:rtl/>
        </w:rPr>
        <w:t xml:space="preserve"> זו התדמות לאבות, ראשית בית ישראל, אשר נקראו ישרים</w:t>
      </w:r>
      <w:r w:rsidRPr="00E838EB">
        <w:rPr>
          <w:rStyle w:val="a5"/>
          <w:rtl/>
        </w:rPr>
        <w:endnoteReference w:id="13"/>
      </w:r>
      <w:r>
        <w:rPr>
          <w:rFonts w:hint="cs"/>
          <w:rtl/>
        </w:rPr>
        <w:t xml:space="preserve">. מדת היושר שייכת בעיקר לאיש, הישיר יותר בטבעו, ועליו מוטל לסגל לעצמו אופי של הענקה נטולת חשבונות ובכך לבור לבית כולו "דרך ישרה". כך בברכת "שמח תשמח" חותמים "משמח חתן וכלה" </w:t>
      </w:r>
      <w:r>
        <w:rPr>
          <w:rtl/>
        </w:rPr>
        <w:t>–</w:t>
      </w:r>
      <w:r>
        <w:rPr>
          <w:rFonts w:hint="cs"/>
          <w:rtl/>
        </w:rPr>
        <w:t xml:space="preserve"> </w:t>
      </w:r>
      <w:r>
        <w:rPr>
          <w:rFonts w:hint="cs"/>
          <w:rtl/>
        </w:rPr>
        <w:lastRenderedPageBreak/>
        <w:t>כאשר הכלה טפלה לחתן ומקבלת ממנו</w:t>
      </w:r>
      <w:r w:rsidRPr="00E838EB">
        <w:rPr>
          <w:rStyle w:val="a5"/>
          <w:rtl/>
        </w:rPr>
        <w:endnoteReference w:id="14"/>
      </w:r>
      <w:r>
        <w:rPr>
          <w:rFonts w:hint="cs"/>
          <w:rtl/>
        </w:rPr>
        <w:t xml:space="preserve"> </w:t>
      </w:r>
      <w:r>
        <w:rPr>
          <w:rtl/>
        </w:rPr>
        <w:t>–</w:t>
      </w:r>
      <w:r>
        <w:rPr>
          <w:rFonts w:hint="cs"/>
          <w:rtl/>
        </w:rPr>
        <w:t xml:space="preserve"> וכן הכינוי "ישרים" שייך בפרט לאבות (אף כי היושר הופיע גם אצל </w:t>
      </w:r>
      <w:proofErr w:type="spellStart"/>
      <w:r>
        <w:rPr>
          <w:rFonts w:hint="cs"/>
          <w:rtl/>
        </w:rPr>
        <w:t>האמהות</w:t>
      </w:r>
      <w:proofErr w:type="spellEnd"/>
      <w:r>
        <w:rPr>
          <w:rFonts w:hint="cs"/>
          <w:rtl/>
        </w:rPr>
        <w:t>).</w:t>
      </w:r>
    </w:p>
    <w:p w:rsidR="008D160E" w:rsidRDefault="008D160E" w:rsidP="008D160E">
      <w:pPr>
        <w:rPr>
          <w:rFonts w:hint="cs"/>
          <w:rtl/>
        </w:rPr>
      </w:pPr>
      <w:r>
        <w:rPr>
          <w:rtl/>
        </w:rPr>
        <w:t>בדרך זו –</w:t>
      </w:r>
      <w:r>
        <w:rPr>
          <w:rFonts w:hint="cs"/>
          <w:rtl/>
        </w:rPr>
        <w:t xml:space="preserve"> כאשר </w:t>
      </w:r>
      <w:proofErr w:type="spellStart"/>
      <w:r>
        <w:rPr>
          <w:rFonts w:hint="cs"/>
          <w:rtl/>
        </w:rPr>
        <w:t>האשה</w:t>
      </w:r>
      <w:proofErr w:type="spellEnd"/>
      <w:r>
        <w:rPr>
          <w:rFonts w:hint="cs"/>
          <w:rtl/>
        </w:rPr>
        <w:t xml:space="preserve"> דואגת שהיא ובעלה יהיו יראים, וכאשר האיש דואג שהוא ואשתו יהיו ישרים </w:t>
      </w:r>
      <w:r>
        <w:rPr>
          <w:rtl/>
        </w:rPr>
        <w:t>–</w:t>
      </w:r>
      <w:r>
        <w:rPr>
          <w:rFonts w:hint="cs"/>
          <w:rtl/>
        </w:rPr>
        <w:t xml:space="preserve"> </w:t>
      </w:r>
      <w:r>
        <w:rPr>
          <w:rtl/>
        </w:rPr>
        <w:t>זוכים בני הזוג להיות גם נביאים</w:t>
      </w:r>
      <w:r>
        <w:rPr>
          <w:rFonts w:hint="cs"/>
          <w:rtl/>
        </w:rPr>
        <w:t>,</w:t>
      </w:r>
      <w:r>
        <w:rPr>
          <w:rtl/>
        </w:rPr>
        <w:t xml:space="preserve"> המבטאים היטב את האהבה הפנימית. בגילוי מתבטאת נבואת ההורים בנתינת שם לילדיהם – ראשית חינוך הילדים לתורה, שכולה שמותיו של הקב"ה</w:t>
      </w:r>
      <w:r w:rsidRPr="00E838EB">
        <w:rPr>
          <w:rStyle w:val="a5"/>
          <w:rtl/>
        </w:rPr>
        <w:endnoteReference w:id="15"/>
      </w:r>
      <w:r>
        <w:rPr>
          <w:rtl/>
        </w:rPr>
        <w:t xml:space="preserve"> – שאזי שורה עליהם רוח נבואה, כמבואר </w:t>
      </w:r>
      <w:proofErr w:type="spellStart"/>
      <w:r>
        <w:rPr>
          <w:rtl/>
        </w:rPr>
        <w:t>ב</w:t>
      </w:r>
      <w:r>
        <w:rPr>
          <w:rFonts w:hint="cs"/>
          <w:rtl/>
        </w:rPr>
        <w:t>ספה"ק</w:t>
      </w:r>
      <w:proofErr w:type="spellEnd"/>
      <w:r w:rsidRPr="00E838EB">
        <w:rPr>
          <w:rStyle w:val="a5"/>
          <w:rtl/>
        </w:rPr>
        <w:endnoteReference w:id="16"/>
      </w:r>
      <w:r>
        <w:rPr>
          <w:rtl/>
        </w:rPr>
        <w:t>.</w:t>
      </w:r>
      <w:r>
        <w:rPr>
          <w:rFonts w:hint="cs"/>
          <w:rtl/>
        </w:rPr>
        <w:t xml:space="preserve"> בהמשך, בבתי היראים והישרים, מתגלה נבואת ההורים בשידוכים שהם משדכים את ילדיהם (וכידוע ששם הרך הנולד רומז לבן זוגו לעתיד). הנבואה היא השראת השכינה החופפת על בני הזוג. זהו החלק </w:t>
      </w:r>
      <w:proofErr w:type="spellStart"/>
      <w:r>
        <w:rPr>
          <w:rFonts w:hint="cs"/>
          <w:rtl/>
        </w:rPr>
        <w:t>האלקי</w:t>
      </w:r>
      <w:proofErr w:type="spellEnd"/>
      <w:r>
        <w:rPr>
          <w:rFonts w:hint="cs"/>
          <w:rtl/>
        </w:rPr>
        <w:t xml:space="preserve"> בבית, המשלים את התכונות הטובות של האיש </w:t>
      </w:r>
      <w:proofErr w:type="spellStart"/>
      <w:r>
        <w:rPr>
          <w:rFonts w:hint="cs"/>
          <w:rtl/>
        </w:rPr>
        <w:t>והאשה</w:t>
      </w:r>
      <w:proofErr w:type="spellEnd"/>
      <w:r>
        <w:rPr>
          <w:rFonts w:hint="cs"/>
          <w:rtl/>
        </w:rPr>
        <w:t xml:space="preserve"> </w:t>
      </w:r>
      <w:r>
        <w:rPr>
          <w:rtl/>
        </w:rPr>
        <w:t>–</w:t>
      </w:r>
      <w:r>
        <w:rPr>
          <w:rFonts w:hint="cs"/>
          <w:rtl/>
        </w:rPr>
        <w:t xml:space="preserve"> "זכו </w:t>
      </w:r>
      <w:r>
        <w:rPr>
          <w:rtl/>
        </w:rPr>
        <w:t>–</w:t>
      </w:r>
      <w:r>
        <w:rPr>
          <w:rFonts w:hint="cs"/>
          <w:rtl/>
        </w:rPr>
        <w:t xml:space="preserve"> שכינה ביניהם"</w:t>
      </w:r>
      <w:r w:rsidRPr="00E838EB">
        <w:rPr>
          <w:rStyle w:val="a5"/>
          <w:rtl/>
        </w:rPr>
        <w:endnoteReference w:id="17"/>
      </w:r>
      <w:r>
        <w:rPr>
          <w:rFonts w:hint="cs"/>
          <w:rtl/>
        </w:rPr>
        <w:t>.</w:t>
      </w:r>
    </w:p>
    <w:p w:rsidR="008D160E" w:rsidRDefault="008D160E" w:rsidP="008D160E">
      <w:pPr>
        <w:rPr>
          <w:rFonts w:hint="cs"/>
          <w:rtl/>
        </w:rPr>
      </w:pPr>
      <w:r>
        <w:rPr>
          <w:rFonts w:hint="cs"/>
          <w:rtl/>
        </w:rPr>
        <w:t xml:space="preserve">בלשון הקבלה, בסוד שם הוי' ב"ה, יראת ה' הבסיסית מכוונת כנגד </w:t>
      </w:r>
      <w:r w:rsidRPr="00EC6CF9">
        <w:rPr>
          <w:rFonts w:hint="cs"/>
          <w:b/>
          <w:bCs/>
          <w:sz w:val="28"/>
          <w:szCs w:val="28"/>
          <w:rtl/>
        </w:rPr>
        <w:t>ה</w:t>
      </w:r>
      <w:r>
        <w:rPr>
          <w:rFonts w:hint="cs"/>
          <w:rtl/>
        </w:rPr>
        <w:t xml:space="preserve"> </w:t>
      </w:r>
      <w:proofErr w:type="spellStart"/>
      <w:r>
        <w:rPr>
          <w:rFonts w:hint="cs"/>
          <w:rtl/>
        </w:rPr>
        <w:t>תתאה</w:t>
      </w:r>
      <w:proofErr w:type="spellEnd"/>
      <w:r>
        <w:rPr>
          <w:rFonts w:hint="cs"/>
          <w:rtl/>
        </w:rPr>
        <w:t xml:space="preserve">, היושר מכוון כנגד האות </w:t>
      </w:r>
      <w:r w:rsidRPr="00EC6CF9">
        <w:rPr>
          <w:rFonts w:hint="cs"/>
          <w:b/>
          <w:bCs/>
          <w:sz w:val="28"/>
          <w:szCs w:val="28"/>
          <w:rtl/>
        </w:rPr>
        <w:t>ו</w:t>
      </w:r>
      <w:r>
        <w:rPr>
          <w:rFonts w:hint="cs"/>
          <w:rtl/>
        </w:rPr>
        <w:t xml:space="preserve"> (שהיא הקו הישר באותיות שם הוי', המכוונת כנגד ספירת התפארת </w:t>
      </w:r>
      <w:r>
        <w:rPr>
          <w:rtl/>
        </w:rPr>
        <w:t>–</w:t>
      </w:r>
      <w:r>
        <w:rPr>
          <w:rFonts w:hint="cs"/>
          <w:rtl/>
        </w:rPr>
        <w:t xml:space="preserve"> "דרך ישרה שיבור לו האדם, שהיא תפארת…"</w:t>
      </w:r>
      <w:r w:rsidRPr="00E838EB">
        <w:rPr>
          <w:rStyle w:val="a5"/>
          <w:rtl/>
        </w:rPr>
        <w:endnoteReference w:id="18"/>
      </w:r>
      <w:r>
        <w:rPr>
          <w:rFonts w:hint="cs"/>
          <w:rtl/>
        </w:rPr>
        <w:t xml:space="preserve">), והנבואה מכוונת כנגד </w:t>
      </w:r>
      <w:r w:rsidRPr="00EC6CF9">
        <w:rPr>
          <w:rFonts w:hint="cs"/>
          <w:b/>
          <w:bCs/>
          <w:sz w:val="28"/>
          <w:szCs w:val="28"/>
          <w:rtl/>
        </w:rPr>
        <w:t>ה</w:t>
      </w:r>
      <w:r>
        <w:rPr>
          <w:rFonts w:hint="cs"/>
          <w:rtl/>
        </w:rPr>
        <w:t xml:space="preserve"> </w:t>
      </w:r>
      <w:proofErr w:type="spellStart"/>
      <w:r>
        <w:rPr>
          <w:rFonts w:hint="cs"/>
          <w:rtl/>
        </w:rPr>
        <w:t>עילאה</w:t>
      </w:r>
      <w:proofErr w:type="spellEnd"/>
      <w:r>
        <w:rPr>
          <w:rFonts w:hint="cs"/>
          <w:rtl/>
        </w:rPr>
        <w:t xml:space="preserve"> </w:t>
      </w:r>
      <w:r>
        <w:rPr>
          <w:rtl/>
        </w:rPr>
        <w:t>–</w:t>
      </w:r>
      <w:r>
        <w:rPr>
          <w:rFonts w:hint="cs"/>
          <w:rtl/>
        </w:rPr>
        <w:t xml:space="preserve"> </w:t>
      </w:r>
      <w:proofErr w:type="spellStart"/>
      <w:r>
        <w:rPr>
          <w:rFonts w:hint="cs"/>
          <w:rtl/>
        </w:rPr>
        <w:t>אמא</w:t>
      </w:r>
      <w:proofErr w:type="spellEnd"/>
      <w:r>
        <w:rPr>
          <w:rFonts w:hint="cs"/>
          <w:rtl/>
        </w:rPr>
        <w:t xml:space="preserve"> </w:t>
      </w:r>
      <w:proofErr w:type="spellStart"/>
      <w:r>
        <w:rPr>
          <w:rFonts w:hint="cs"/>
          <w:rtl/>
        </w:rPr>
        <w:t>עילאה</w:t>
      </w:r>
      <w:proofErr w:type="spellEnd"/>
      <w:r>
        <w:rPr>
          <w:rFonts w:hint="cs"/>
          <w:rtl/>
        </w:rPr>
        <w:t xml:space="preserve"> (ולכן בתורה בעיקר </w:t>
      </w:r>
      <w:proofErr w:type="spellStart"/>
      <w:r>
        <w:rPr>
          <w:rFonts w:hint="cs"/>
          <w:rtl/>
        </w:rPr>
        <w:t>האמהות</w:t>
      </w:r>
      <w:proofErr w:type="spellEnd"/>
      <w:r>
        <w:rPr>
          <w:rFonts w:hint="cs"/>
          <w:rtl/>
        </w:rPr>
        <w:t xml:space="preserve"> הן הנביאות הנותנות את שמות הילדים, וכן </w:t>
      </w:r>
      <w:proofErr w:type="spellStart"/>
      <w:r>
        <w:rPr>
          <w:rFonts w:hint="cs"/>
          <w:rtl/>
        </w:rPr>
        <w:t>לענין</w:t>
      </w:r>
      <w:proofErr w:type="spellEnd"/>
      <w:r>
        <w:rPr>
          <w:rFonts w:hint="cs"/>
          <w:rtl/>
        </w:rPr>
        <w:t xml:space="preserve"> השידוכים </w:t>
      </w:r>
      <w:r>
        <w:rPr>
          <w:rtl/>
        </w:rPr>
        <w:t>–</w:t>
      </w:r>
      <w:r>
        <w:rPr>
          <w:rFonts w:hint="cs"/>
          <w:rtl/>
        </w:rPr>
        <w:t xml:space="preserve"> השדכנית העיקרית היא האם</w:t>
      </w:r>
      <w:r w:rsidRPr="00E838EB">
        <w:rPr>
          <w:rStyle w:val="a5"/>
          <w:rtl/>
        </w:rPr>
        <w:endnoteReference w:id="19"/>
      </w:r>
      <w:r>
        <w:rPr>
          <w:rFonts w:hint="cs"/>
          <w:rtl/>
        </w:rPr>
        <w:t>). לפי זה, עצם סוד האהבה המתגלה לישרים-יראים-נביאים הוא ה-</w:t>
      </w:r>
      <w:r w:rsidRPr="00EC6CF9">
        <w:rPr>
          <w:rFonts w:hint="cs"/>
          <w:b/>
          <w:bCs/>
          <w:sz w:val="28"/>
          <w:szCs w:val="28"/>
          <w:rtl/>
        </w:rPr>
        <w:t>י</w:t>
      </w:r>
      <w:r>
        <w:rPr>
          <w:rFonts w:hint="cs"/>
          <w:rtl/>
        </w:rPr>
        <w:t xml:space="preserve"> שבשם </w:t>
      </w:r>
      <w:r>
        <w:rPr>
          <w:rtl/>
        </w:rPr>
        <w:t>–</w:t>
      </w:r>
      <w:r>
        <w:rPr>
          <w:rFonts w:hint="cs"/>
          <w:rtl/>
        </w:rPr>
        <w:t xml:space="preserve"> נקודת הקשר העצמית, שאיננה ניתנת לחלוקה.</w:t>
      </w:r>
      <w:r w:rsidRPr="00E838EB">
        <w:rPr>
          <w:rStyle w:val="a5"/>
          <w:rtl/>
        </w:rPr>
        <w:endnoteReference w:id="20"/>
      </w:r>
    </w:p>
    <w:p w:rsidR="005F4A47" w:rsidRDefault="00BD31FB">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1FB" w:rsidRDefault="00BD31FB" w:rsidP="008D160E">
      <w:pPr>
        <w:spacing w:after="0" w:line="240" w:lineRule="auto"/>
      </w:pPr>
      <w:r>
        <w:separator/>
      </w:r>
    </w:p>
  </w:endnote>
  <w:endnote w:type="continuationSeparator" w:id="0">
    <w:p w:rsidR="00BD31FB" w:rsidRDefault="00BD31FB" w:rsidP="008D160E">
      <w:pPr>
        <w:spacing w:after="0" w:line="240" w:lineRule="auto"/>
      </w:pPr>
      <w:r>
        <w:continuationSeparator/>
      </w:r>
    </w:p>
  </w:endnote>
  <w:endnote w:id="1">
    <w:p w:rsidR="008D160E" w:rsidRDefault="008D160E" w:rsidP="008D160E">
      <w:pPr>
        <w:pStyle w:val="a3"/>
        <w:rPr>
          <w:rFonts w:hint="cs"/>
          <w:rtl/>
        </w:rPr>
      </w:pPr>
      <w:r>
        <w:rPr>
          <w:rtl/>
        </w:rPr>
        <w:tab/>
      </w:r>
      <w:r w:rsidRPr="00DF60BE">
        <w:rPr>
          <w:rtl/>
        </w:rPr>
        <w:endnoteRef/>
      </w:r>
      <w:r>
        <w:rPr>
          <w:rtl/>
        </w:rPr>
        <w:t>.</w:t>
      </w:r>
      <w:r>
        <w:rPr>
          <w:rtl/>
        </w:rPr>
        <w:tab/>
      </w:r>
      <w:proofErr w:type="spellStart"/>
      <w:r>
        <w:rPr>
          <w:rFonts w:hint="cs"/>
          <w:rtl/>
        </w:rPr>
        <w:t>תנחומא</w:t>
      </w:r>
      <w:proofErr w:type="spellEnd"/>
      <w:r>
        <w:rPr>
          <w:rFonts w:hint="cs"/>
          <w:rtl/>
        </w:rPr>
        <w:t xml:space="preserve"> ויחי יד, ובסגנון אחר שם וירא ו, בראשית רבה מט, ב, ילקוט שמעוני רמז </w:t>
      </w:r>
      <w:proofErr w:type="spellStart"/>
      <w:r>
        <w:rPr>
          <w:rFonts w:hint="cs"/>
          <w:rtl/>
        </w:rPr>
        <w:t>פב</w:t>
      </w:r>
      <w:proofErr w:type="spellEnd"/>
      <w:r>
        <w:rPr>
          <w:rFonts w:hint="cs"/>
          <w:rtl/>
        </w:rPr>
        <w:t>.</w:t>
      </w:r>
    </w:p>
  </w:endnote>
  <w:endnote w:id="2">
    <w:p w:rsidR="008D160E" w:rsidRDefault="008D160E" w:rsidP="008D160E">
      <w:pPr>
        <w:pStyle w:val="a3"/>
        <w:rPr>
          <w:rFonts w:hint="cs"/>
        </w:rPr>
      </w:pPr>
      <w:r>
        <w:rPr>
          <w:rtl/>
        </w:rPr>
        <w:tab/>
      </w:r>
      <w:r w:rsidRPr="00DF60BE">
        <w:rPr>
          <w:rtl/>
        </w:rPr>
        <w:endnoteRef/>
      </w:r>
      <w:r>
        <w:rPr>
          <w:rtl/>
        </w:rPr>
        <w:t>.</w:t>
      </w:r>
      <w:r>
        <w:rPr>
          <w:rtl/>
        </w:rPr>
        <w:tab/>
      </w:r>
      <w:r>
        <w:rPr>
          <w:rFonts w:hint="cs"/>
          <w:rtl/>
        </w:rPr>
        <w:t>תהלים כה, יד.</w:t>
      </w:r>
    </w:p>
  </w:endnote>
  <w:endnote w:id="3">
    <w:p w:rsidR="008D160E" w:rsidRDefault="008D160E" w:rsidP="008D160E">
      <w:pPr>
        <w:pStyle w:val="a3"/>
        <w:rPr>
          <w:rFonts w:hint="cs"/>
        </w:rPr>
      </w:pPr>
      <w:r>
        <w:rPr>
          <w:rtl/>
        </w:rPr>
        <w:tab/>
      </w:r>
      <w:r w:rsidRPr="00DF60BE">
        <w:rPr>
          <w:rtl/>
        </w:rPr>
        <w:endnoteRef/>
      </w:r>
      <w:r>
        <w:rPr>
          <w:rtl/>
        </w:rPr>
        <w:t>.</w:t>
      </w:r>
      <w:r>
        <w:rPr>
          <w:rtl/>
        </w:rPr>
        <w:tab/>
      </w:r>
      <w:r>
        <w:rPr>
          <w:rFonts w:hint="cs"/>
          <w:rtl/>
        </w:rPr>
        <w:t>משלי ג, לב.</w:t>
      </w:r>
    </w:p>
  </w:endnote>
  <w:endnote w:id="4">
    <w:p w:rsidR="008D160E" w:rsidRDefault="008D160E" w:rsidP="008D160E">
      <w:pPr>
        <w:pStyle w:val="a3"/>
        <w:rPr>
          <w:rFonts w:hint="cs"/>
        </w:rPr>
      </w:pPr>
      <w:r>
        <w:rPr>
          <w:rtl/>
        </w:rPr>
        <w:tab/>
      </w:r>
      <w:r w:rsidRPr="00DF60BE">
        <w:rPr>
          <w:rtl/>
        </w:rPr>
        <w:endnoteRef/>
      </w:r>
      <w:r>
        <w:rPr>
          <w:rtl/>
        </w:rPr>
        <w:t>.</w:t>
      </w:r>
      <w:r>
        <w:rPr>
          <w:rtl/>
        </w:rPr>
        <w:tab/>
      </w:r>
      <w:r>
        <w:rPr>
          <w:rFonts w:hint="cs"/>
          <w:rtl/>
        </w:rPr>
        <w:t>עמוס ג, ז.</w:t>
      </w:r>
    </w:p>
  </w:endnote>
  <w:endnote w:id="5">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עירובין סה, א (וראה קול אליהו </w:t>
      </w:r>
      <w:proofErr w:type="spellStart"/>
      <w:r>
        <w:rPr>
          <w:rFonts w:hint="cs"/>
          <w:rtl/>
        </w:rPr>
        <w:t>להגר"א</w:t>
      </w:r>
      <w:proofErr w:type="spellEnd"/>
      <w:r>
        <w:rPr>
          <w:rFonts w:hint="cs"/>
          <w:rtl/>
        </w:rPr>
        <w:t xml:space="preserve"> סנהדרין לח, א).</w:t>
      </w:r>
    </w:p>
  </w:endnote>
  <w:endnote w:id="6">
    <w:p w:rsidR="008D160E" w:rsidRDefault="008D160E" w:rsidP="008D160E">
      <w:pPr>
        <w:pStyle w:val="a3"/>
        <w:rPr>
          <w:rFonts w:hint="cs"/>
          <w:rtl/>
        </w:rPr>
      </w:pPr>
      <w:r>
        <w:rPr>
          <w:rtl/>
        </w:rPr>
        <w:tab/>
      </w:r>
      <w:r w:rsidRPr="00DF60BE">
        <w:rPr>
          <w:rtl/>
        </w:rPr>
        <w:endnoteRef/>
      </w:r>
      <w:r>
        <w:rPr>
          <w:rtl/>
        </w:rPr>
        <w:t>.</w:t>
      </w:r>
      <w:r>
        <w:rPr>
          <w:rtl/>
        </w:rPr>
        <w:tab/>
      </w:r>
      <w:r>
        <w:rPr>
          <w:rFonts w:hint="cs"/>
          <w:rtl/>
        </w:rPr>
        <w:t>וראה עוד לקמן שער שני בתורה "גילוי סוד האהבה".</w:t>
      </w:r>
    </w:p>
  </w:endnote>
  <w:endnote w:id="7">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ראה תניא סוף </w:t>
      </w:r>
      <w:proofErr w:type="spellStart"/>
      <w:r>
        <w:rPr>
          <w:rFonts w:hint="cs"/>
          <w:rtl/>
        </w:rPr>
        <w:t>פי"ט</w:t>
      </w:r>
      <w:proofErr w:type="spellEnd"/>
      <w:r>
        <w:rPr>
          <w:rFonts w:hint="cs"/>
          <w:rtl/>
        </w:rPr>
        <w:t>.</w:t>
      </w:r>
    </w:p>
  </w:endnote>
  <w:endnote w:id="8">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ראה </w:t>
      </w:r>
      <w:proofErr w:type="spellStart"/>
      <w:r>
        <w:rPr>
          <w:rFonts w:hint="cs"/>
          <w:rtl/>
        </w:rPr>
        <w:t>תקו"ז</w:t>
      </w:r>
      <w:proofErr w:type="spellEnd"/>
      <w:r>
        <w:rPr>
          <w:rFonts w:hint="cs"/>
          <w:rtl/>
        </w:rPr>
        <w:t xml:space="preserve"> י ו-מה; שער </w:t>
      </w:r>
      <w:proofErr w:type="spellStart"/>
      <w:r>
        <w:rPr>
          <w:rFonts w:hint="cs"/>
          <w:rtl/>
        </w:rPr>
        <w:t>היחודים</w:t>
      </w:r>
      <w:proofErr w:type="spellEnd"/>
      <w:r>
        <w:rPr>
          <w:rFonts w:hint="cs"/>
          <w:rtl/>
        </w:rPr>
        <w:t xml:space="preserve"> </w:t>
      </w:r>
      <w:proofErr w:type="spellStart"/>
      <w:r>
        <w:rPr>
          <w:rFonts w:hint="cs"/>
          <w:rtl/>
        </w:rPr>
        <w:t>פי"א</w:t>
      </w:r>
      <w:proofErr w:type="spellEnd"/>
      <w:r>
        <w:rPr>
          <w:rFonts w:hint="cs"/>
          <w:rtl/>
        </w:rPr>
        <w:t xml:space="preserve">; תניא </w:t>
      </w:r>
      <w:proofErr w:type="spellStart"/>
      <w:r>
        <w:rPr>
          <w:rFonts w:hint="cs"/>
          <w:rtl/>
        </w:rPr>
        <w:t>פ"מ</w:t>
      </w:r>
      <w:proofErr w:type="spellEnd"/>
      <w:r>
        <w:rPr>
          <w:rFonts w:hint="cs"/>
          <w:rtl/>
        </w:rPr>
        <w:t xml:space="preserve"> (ובכ"ד).</w:t>
      </w:r>
    </w:p>
  </w:endnote>
  <w:endnote w:id="9">
    <w:p w:rsidR="008D160E" w:rsidRDefault="008D160E" w:rsidP="008D160E">
      <w:pPr>
        <w:pStyle w:val="a3"/>
        <w:rPr>
          <w:rFonts w:hint="cs"/>
        </w:rPr>
      </w:pPr>
      <w:r>
        <w:rPr>
          <w:rtl/>
        </w:rPr>
        <w:tab/>
      </w:r>
      <w:r w:rsidRPr="00DF60BE">
        <w:rPr>
          <w:rtl/>
        </w:rPr>
        <w:endnoteRef/>
      </w:r>
      <w:r>
        <w:rPr>
          <w:rtl/>
        </w:rPr>
        <w:t>.</w:t>
      </w:r>
      <w:r>
        <w:rPr>
          <w:rtl/>
        </w:rPr>
        <w:tab/>
      </w:r>
      <w:r>
        <w:rPr>
          <w:rFonts w:hint="cs"/>
          <w:rtl/>
        </w:rPr>
        <w:t xml:space="preserve">ראה תניא </w:t>
      </w:r>
      <w:proofErr w:type="spellStart"/>
      <w:r>
        <w:rPr>
          <w:rFonts w:hint="cs"/>
          <w:rtl/>
        </w:rPr>
        <w:t>פמ"א</w:t>
      </w:r>
      <w:proofErr w:type="spellEnd"/>
      <w:r>
        <w:rPr>
          <w:rFonts w:hint="cs"/>
          <w:rtl/>
        </w:rPr>
        <w:t>.</w:t>
      </w:r>
    </w:p>
  </w:endnote>
  <w:endnote w:id="10">
    <w:p w:rsidR="008D160E" w:rsidRDefault="008D160E" w:rsidP="008D160E">
      <w:pPr>
        <w:pStyle w:val="a3"/>
        <w:rPr>
          <w:rFonts w:hint="cs"/>
          <w:rtl/>
        </w:rPr>
      </w:pPr>
      <w:r>
        <w:rPr>
          <w:rtl/>
        </w:rPr>
        <w:tab/>
      </w:r>
      <w:r w:rsidRPr="00DF60BE">
        <w:rPr>
          <w:rtl/>
        </w:rPr>
        <w:endnoteRef/>
      </w:r>
      <w:r>
        <w:rPr>
          <w:rtl/>
        </w:rPr>
        <w:t>.</w:t>
      </w:r>
      <w:r>
        <w:rPr>
          <w:rtl/>
        </w:rPr>
        <w:tab/>
      </w:r>
      <w:r>
        <w:rPr>
          <w:rFonts w:hint="cs"/>
          <w:rtl/>
        </w:rPr>
        <w:t>יומא פ"א מ"א.</w:t>
      </w:r>
    </w:p>
  </w:endnote>
  <w:endnote w:id="11">
    <w:p w:rsidR="008D160E" w:rsidRDefault="008D160E" w:rsidP="008D160E">
      <w:pPr>
        <w:pStyle w:val="a3"/>
        <w:rPr>
          <w:rFonts w:hint="cs"/>
        </w:rPr>
      </w:pPr>
      <w:r>
        <w:rPr>
          <w:rtl/>
        </w:rPr>
        <w:tab/>
      </w:r>
      <w:r w:rsidRPr="00DF60BE">
        <w:rPr>
          <w:rtl/>
        </w:rPr>
        <w:endnoteRef/>
      </w:r>
      <w:r>
        <w:rPr>
          <w:rtl/>
        </w:rPr>
        <w:t>.</w:t>
      </w:r>
      <w:r>
        <w:rPr>
          <w:rtl/>
        </w:rPr>
        <w:tab/>
      </w:r>
      <w:r>
        <w:rPr>
          <w:rFonts w:hint="cs"/>
          <w:rtl/>
        </w:rPr>
        <w:t>משלי לא, ל.</w:t>
      </w:r>
    </w:p>
  </w:endnote>
  <w:endnote w:id="12">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קהלת ז, </w:t>
      </w:r>
      <w:proofErr w:type="spellStart"/>
      <w:r>
        <w:rPr>
          <w:rFonts w:hint="cs"/>
          <w:rtl/>
        </w:rPr>
        <w:t>כט</w:t>
      </w:r>
      <w:proofErr w:type="spellEnd"/>
      <w:r>
        <w:rPr>
          <w:rFonts w:hint="cs"/>
          <w:rtl/>
        </w:rPr>
        <w:t>.</w:t>
      </w:r>
    </w:p>
  </w:endnote>
  <w:endnote w:id="13">
    <w:p w:rsidR="008D160E" w:rsidRDefault="008D160E" w:rsidP="008D160E">
      <w:pPr>
        <w:pStyle w:val="a3"/>
        <w:rPr>
          <w:rFonts w:hint="cs"/>
          <w:rtl/>
        </w:rPr>
      </w:pPr>
      <w:r>
        <w:rPr>
          <w:rtl/>
        </w:rPr>
        <w:tab/>
      </w:r>
      <w:r w:rsidRPr="00DF60BE">
        <w:rPr>
          <w:rtl/>
        </w:rPr>
        <w:endnoteRef/>
      </w:r>
      <w:r>
        <w:rPr>
          <w:rtl/>
        </w:rPr>
        <w:t>.</w:t>
      </w:r>
      <w:r>
        <w:rPr>
          <w:rtl/>
        </w:rPr>
        <w:tab/>
      </w:r>
      <w:r>
        <w:rPr>
          <w:rFonts w:hint="cs"/>
          <w:rtl/>
        </w:rPr>
        <w:t>ע"ז כה, א. בראשית רבה ו, ט.</w:t>
      </w:r>
    </w:p>
  </w:endnote>
  <w:endnote w:id="14">
    <w:p w:rsidR="008D160E" w:rsidRDefault="008D160E" w:rsidP="008D160E">
      <w:pPr>
        <w:pStyle w:val="a3"/>
        <w:rPr>
          <w:rFonts w:hint="cs"/>
          <w:rtl/>
        </w:rPr>
      </w:pPr>
      <w:r>
        <w:rPr>
          <w:rtl/>
        </w:rPr>
        <w:tab/>
      </w:r>
      <w:r w:rsidRPr="00DF60BE">
        <w:rPr>
          <w:rtl/>
        </w:rPr>
        <w:endnoteRef/>
      </w:r>
      <w:r>
        <w:rPr>
          <w:rtl/>
        </w:rPr>
        <w:t>.</w:t>
      </w:r>
      <w:r>
        <w:rPr>
          <w:rtl/>
        </w:rPr>
        <w:tab/>
      </w:r>
      <w:r>
        <w:rPr>
          <w:rFonts w:hint="cs"/>
          <w:rtl/>
        </w:rPr>
        <w:t>ראה תורה אור מד, ד ואילך.</w:t>
      </w:r>
    </w:p>
  </w:endnote>
  <w:endnote w:id="15">
    <w:p w:rsidR="008D160E" w:rsidRDefault="008D160E" w:rsidP="008D160E">
      <w:pPr>
        <w:pStyle w:val="a3"/>
        <w:rPr>
          <w:rFonts w:hint="cs"/>
          <w:rtl/>
        </w:rPr>
      </w:pPr>
      <w:r>
        <w:rPr>
          <w:rtl/>
        </w:rPr>
        <w:tab/>
      </w:r>
      <w:r w:rsidRPr="00DF60BE">
        <w:rPr>
          <w:rtl/>
        </w:rPr>
        <w:endnoteRef/>
      </w:r>
      <w:r>
        <w:rPr>
          <w:rtl/>
        </w:rPr>
        <w:t>.</w:t>
      </w:r>
      <w:r>
        <w:rPr>
          <w:rtl/>
        </w:rPr>
        <w:tab/>
      </w:r>
      <w:r>
        <w:rPr>
          <w:rFonts w:hint="cs"/>
          <w:rtl/>
        </w:rPr>
        <w:t>ראה הקדמת הרמב"ן לתורה.</w:t>
      </w:r>
    </w:p>
  </w:endnote>
  <w:endnote w:id="16">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שער הגלגולים הקדמה </w:t>
      </w:r>
      <w:proofErr w:type="spellStart"/>
      <w:r>
        <w:rPr>
          <w:rFonts w:hint="cs"/>
          <w:rtl/>
        </w:rPr>
        <w:t>כג</w:t>
      </w:r>
      <w:proofErr w:type="spellEnd"/>
      <w:r>
        <w:rPr>
          <w:rFonts w:hint="cs"/>
          <w:rtl/>
        </w:rPr>
        <w:t xml:space="preserve"> (וראה גם עמק המלך ש"א </w:t>
      </w:r>
      <w:proofErr w:type="spellStart"/>
      <w:r>
        <w:rPr>
          <w:rFonts w:hint="cs"/>
          <w:rtl/>
        </w:rPr>
        <w:t>ספ"ד</w:t>
      </w:r>
      <w:proofErr w:type="spellEnd"/>
      <w:r>
        <w:rPr>
          <w:rFonts w:hint="cs"/>
          <w:rtl/>
        </w:rPr>
        <w:t>).</w:t>
      </w:r>
    </w:p>
  </w:endnote>
  <w:endnote w:id="17">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ראה סוטה </w:t>
      </w:r>
      <w:proofErr w:type="spellStart"/>
      <w:r>
        <w:rPr>
          <w:rFonts w:hint="cs"/>
          <w:rtl/>
        </w:rPr>
        <w:t>יז</w:t>
      </w:r>
      <w:proofErr w:type="spellEnd"/>
      <w:r>
        <w:rPr>
          <w:rFonts w:hint="cs"/>
          <w:rtl/>
        </w:rPr>
        <w:t>, א.</w:t>
      </w:r>
    </w:p>
  </w:endnote>
  <w:endnote w:id="18">
    <w:p w:rsidR="008D160E" w:rsidRDefault="008D160E" w:rsidP="008D160E">
      <w:pPr>
        <w:pStyle w:val="a3"/>
        <w:rPr>
          <w:rFonts w:hint="cs"/>
          <w:rtl/>
        </w:rPr>
      </w:pPr>
      <w:r>
        <w:rPr>
          <w:rtl/>
        </w:rPr>
        <w:tab/>
      </w:r>
      <w:r w:rsidRPr="00DF60BE">
        <w:rPr>
          <w:rtl/>
        </w:rPr>
        <w:endnoteRef/>
      </w:r>
      <w:r>
        <w:rPr>
          <w:rtl/>
        </w:rPr>
        <w:t>.</w:t>
      </w:r>
      <w:r>
        <w:rPr>
          <w:rtl/>
        </w:rPr>
        <w:tab/>
      </w:r>
      <w:r>
        <w:rPr>
          <w:rFonts w:hint="cs"/>
          <w:rtl/>
        </w:rPr>
        <w:t>אבות פ"ב מ"א.</w:t>
      </w:r>
    </w:p>
  </w:endnote>
  <w:endnote w:id="19">
    <w:p w:rsidR="008D160E" w:rsidRDefault="008D160E" w:rsidP="008D160E">
      <w:pPr>
        <w:pStyle w:val="a3"/>
        <w:rPr>
          <w:rFonts w:hint="cs"/>
          <w:rtl/>
        </w:rPr>
      </w:pPr>
      <w:r>
        <w:rPr>
          <w:rtl/>
        </w:rPr>
        <w:tab/>
      </w:r>
      <w:r w:rsidRPr="00DF60BE">
        <w:rPr>
          <w:rtl/>
        </w:rPr>
        <w:endnoteRef/>
      </w:r>
      <w:r>
        <w:rPr>
          <w:rtl/>
        </w:rPr>
        <w:t>.</w:t>
      </w:r>
      <w:r>
        <w:rPr>
          <w:rtl/>
        </w:rPr>
        <w:tab/>
      </w:r>
      <w:r>
        <w:rPr>
          <w:rFonts w:hint="cs"/>
          <w:rtl/>
        </w:rPr>
        <w:t xml:space="preserve">וראה בספר שערי אהבה ורצון פרק א בביאור א למאמר "פרצוף הדעת", ונתבאר עוד </w:t>
      </w:r>
      <w:proofErr w:type="spellStart"/>
      <w:r>
        <w:rPr>
          <w:rFonts w:hint="cs"/>
          <w:rtl/>
        </w:rPr>
        <w:t>במ"א</w:t>
      </w:r>
      <w:proofErr w:type="spellEnd"/>
      <w:r>
        <w:rPr>
          <w:rFonts w:hint="cs"/>
          <w:rtl/>
        </w:rPr>
        <w:t>.</w:t>
      </w:r>
    </w:p>
  </w:endnote>
  <w:endnote w:id="20">
    <w:p w:rsidR="008D160E" w:rsidRDefault="008D160E" w:rsidP="008D160E">
      <w:pPr>
        <w:pStyle w:val="a3"/>
        <w:rPr>
          <w:rFonts w:hint="cs"/>
          <w:rtl/>
        </w:rPr>
      </w:pPr>
      <w:r>
        <w:rPr>
          <w:rtl/>
        </w:rPr>
        <w:tab/>
      </w:r>
      <w:r w:rsidRPr="00DF60BE">
        <w:rPr>
          <w:rtl/>
        </w:rPr>
        <w:endnoteRef/>
      </w:r>
      <w:r>
        <w:rPr>
          <w:rtl/>
        </w:rPr>
        <w:t>.</w:t>
      </w:r>
      <w:r>
        <w:rPr>
          <w:rtl/>
        </w:rPr>
        <w:tab/>
      </w:r>
      <w:r>
        <w:rPr>
          <w:rFonts w:hint="cs"/>
          <w:rtl/>
        </w:rPr>
        <w:t>על פי חתן עם הכלה ביאור קלט (עמודים רמז-</w:t>
      </w:r>
      <w:proofErr w:type="spellStart"/>
      <w:r>
        <w:rPr>
          <w:rFonts w:hint="cs"/>
          <w:rtl/>
        </w:rPr>
        <w:t>רנ</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1FB" w:rsidRDefault="00BD31FB" w:rsidP="008D160E">
      <w:pPr>
        <w:spacing w:after="0" w:line="240" w:lineRule="auto"/>
      </w:pPr>
      <w:r>
        <w:separator/>
      </w:r>
    </w:p>
  </w:footnote>
  <w:footnote w:type="continuationSeparator" w:id="0">
    <w:p w:rsidR="00BD31FB" w:rsidRDefault="00BD31FB" w:rsidP="008D1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2F"/>
    <w:rsid w:val="00061E65"/>
    <w:rsid w:val="008D160E"/>
    <w:rsid w:val="00AC2310"/>
    <w:rsid w:val="00BD31FB"/>
    <w:rsid w:val="00F963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D160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D160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D160E"/>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8D160E"/>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8D160E"/>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8D160E"/>
    <w:rPr>
      <w:noProof/>
      <w:position w:val="-4"/>
      <w:szCs w:val="27"/>
      <w:vertAlign w:val="superscript"/>
    </w:rPr>
  </w:style>
  <w:style w:type="paragraph" w:customStyle="1" w:styleId="a7">
    <w:name w:val="פתיח תו"/>
    <w:basedOn w:val="a"/>
    <w:link w:val="a8"/>
    <w:rsid w:val="008D160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D160E"/>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8D16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D160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D160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D160E"/>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8D160E"/>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8D160E"/>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8D160E"/>
    <w:rPr>
      <w:noProof/>
      <w:position w:val="-4"/>
      <w:szCs w:val="27"/>
      <w:vertAlign w:val="superscript"/>
    </w:rPr>
  </w:style>
  <w:style w:type="paragraph" w:customStyle="1" w:styleId="a7">
    <w:name w:val="פתיח תו"/>
    <w:basedOn w:val="a"/>
    <w:link w:val="a8"/>
    <w:rsid w:val="008D160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D160E"/>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8D16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04;&#1497;%20&#1489;&#1497;&#1514;%20&#1492;&#1497;&#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2787</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2017-08-14T21:43:00Z</dcterms:created>
  <dcterms:modified xsi:type="dcterms:W3CDTF">2017-08-14T21:43:00Z</dcterms:modified>
</cp:coreProperties>
</file>