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A54" w:rsidRDefault="00934A54" w:rsidP="00934A54">
      <w:pPr>
        <w:pStyle w:val="2"/>
        <w:rPr>
          <w:rFonts w:hint="cs"/>
          <w:rtl/>
        </w:rPr>
      </w:pPr>
      <w:bookmarkStart w:id="0" w:name="_Toc130537246"/>
      <w:bookmarkStart w:id="1" w:name="_Ref130537628"/>
      <w:r>
        <w:rPr>
          <w:w w:val="100"/>
          <w:rtl/>
        </w:rPr>
        <w:drawing>
          <wp:anchor distT="0" distB="0" distL="114300" distR="114300" simplePos="0" relativeHeight="251659264" behindDoc="1" locked="0" layoutInCell="1" allowOverlap="1">
            <wp:simplePos x="0" y="0"/>
            <wp:positionH relativeFrom="column">
              <wp:posOffset>1591945</wp:posOffset>
            </wp:positionH>
            <wp:positionV relativeFrom="paragraph">
              <wp:posOffset>666115</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יחוד שבת בחול</w:t>
      </w:r>
      <w:bookmarkEnd w:id="0"/>
      <w:bookmarkEnd w:id="1"/>
    </w:p>
    <w:p w:rsidR="00934A54" w:rsidRPr="00DE003D" w:rsidRDefault="00934A54" w:rsidP="00934A54">
      <w:pPr>
        <w:keepNext/>
        <w:framePr w:dropCap="drop" w:lines="2" w:hSpace="57" w:wrap="around" w:vAnchor="text" w:hAnchor="text" w:xAlign="right"/>
        <w:spacing w:after="0" w:line="760" w:lineRule="exact"/>
        <w:textAlignment w:val="baseline"/>
        <w:rPr>
          <w:rStyle w:val="a8"/>
          <w:rtl/>
        </w:rPr>
      </w:pPr>
      <w:r w:rsidRPr="00DE003D">
        <w:rPr>
          <w:rStyle w:val="a8"/>
          <w:rFonts w:hint="cs"/>
          <w:rtl/>
        </w:rPr>
        <w:t>מ</w:t>
      </w:r>
    </w:p>
    <w:p w:rsidR="00934A54" w:rsidRDefault="00934A54" w:rsidP="00934A54">
      <w:pPr>
        <w:rPr>
          <w:rFonts w:hint="cs"/>
          <w:rtl/>
        </w:rPr>
      </w:pPr>
      <w:r>
        <w:rPr>
          <w:rFonts w:hint="cs"/>
          <w:rtl/>
        </w:rPr>
        <w:t>סופר על האחים הקדושים</w:t>
      </w:r>
      <w:r>
        <w:rPr>
          <w:rFonts w:hint="eastAsia"/>
          <w:rtl/>
        </w:rPr>
        <w:t xml:space="preserve"> רבי </w:t>
      </w:r>
      <w:proofErr w:type="spellStart"/>
      <w:r>
        <w:rPr>
          <w:rFonts w:hint="eastAsia"/>
          <w:rtl/>
        </w:rPr>
        <w:t>שמעלקא</w:t>
      </w:r>
      <w:proofErr w:type="spellEnd"/>
      <w:r>
        <w:rPr>
          <w:rFonts w:hint="eastAsia"/>
          <w:rtl/>
        </w:rPr>
        <w:t xml:space="preserve"> </w:t>
      </w:r>
      <w:proofErr w:type="spellStart"/>
      <w:r>
        <w:rPr>
          <w:rFonts w:hint="eastAsia"/>
          <w:rtl/>
        </w:rPr>
        <w:t>מניקלשבורג</w:t>
      </w:r>
      <w:proofErr w:type="spellEnd"/>
      <w:r>
        <w:rPr>
          <w:rFonts w:hint="eastAsia"/>
          <w:rtl/>
        </w:rPr>
        <w:t xml:space="preserve"> ורבי </w:t>
      </w:r>
      <w:proofErr w:type="spellStart"/>
      <w:r>
        <w:rPr>
          <w:rFonts w:hint="eastAsia"/>
          <w:rtl/>
        </w:rPr>
        <w:t>פינחס</w:t>
      </w:r>
      <w:proofErr w:type="spellEnd"/>
      <w:r>
        <w:rPr>
          <w:rFonts w:hint="eastAsia"/>
          <w:rtl/>
        </w:rPr>
        <w:t xml:space="preserve"> בעל </w:t>
      </w:r>
      <w:proofErr w:type="spellStart"/>
      <w:r>
        <w:rPr>
          <w:rFonts w:hint="eastAsia"/>
          <w:rtl/>
        </w:rPr>
        <w:t>ההפלאה</w:t>
      </w:r>
      <w:proofErr w:type="spellEnd"/>
      <w:r>
        <w:rPr>
          <w:rFonts w:hint="cs"/>
          <w:rtl/>
        </w:rPr>
        <w:t>,</w:t>
      </w:r>
      <w:r>
        <w:rPr>
          <w:rFonts w:hint="eastAsia"/>
          <w:rtl/>
        </w:rPr>
        <w:t xml:space="preserve"> </w:t>
      </w:r>
      <w:r>
        <w:rPr>
          <w:rFonts w:hint="cs"/>
          <w:rtl/>
        </w:rPr>
        <w:t xml:space="preserve">כי </w:t>
      </w:r>
      <w:r>
        <w:rPr>
          <w:rFonts w:hint="eastAsia"/>
          <w:rtl/>
        </w:rPr>
        <w:t xml:space="preserve">חשו </w:t>
      </w:r>
      <w:r>
        <w:rPr>
          <w:rFonts w:hint="cs"/>
          <w:rtl/>
        </w:rPr>
        <w:t xml:space="preserve">התרוממות נפש נפלאה בשבת קדש, אחר שהתכוננו לה כראוי, אך חשדו בעצמם שמא התרוממות זו אינה נובעת באמת מעצם קדושת השבת. לכן החליטו האחים לבחון את עצמם </w:t>
      </w:r>
      <w:r>
        <w:rPr>
          <w:rFonts w:hint="eastAsia"/>
          <w:rtl/>
        </w:rPr>
        <w:t xml:space="preserve">– הם </w:t>
      </w:r>
      <w:r>
        <w:rPr>
          <w:rFonts w:hint="cs"/>
          <w:rtl/>
        </w:rPr>
        <w:t xml:space="preserve">רחצו בחמין, טבלו </w:t>
      </w:r>
      <w:proofErr w:type="spellStart"/>
      <w:r>
        <w:rPr>
          <w:rFonts w:hint="cs"/>
          <w:rtl/>
        </w:rPr>
        <w:t>במקוה</w:t>
      </w:r>
      <w:proofErr w:type="spellEnd"/>
      <w:r>
        <w:rPr>
          <w:rFonts w:hint="cs"/>
          <w:rtl/>
        </w:rPr>
        <w:t xml:space="preserve">, </w:t>
      </w:r>
      <w:r>
        <w:rPr>
          <w:rFonts w:hint="eastAsia"/>
          <w:rtl/>
        </w:rPr>
        <w:t xml:space="preserve">לבשו </w:t>
      </w:r>
      <w:r>
        <w:rPr>
          <w:rFonts w:hint="cs"/>
          <w:rtl/>
        </w:rPr>
        <w:t xml:space="preserve">את </w:t>
      </w:r>
      <w:r>
        <w:rPr>
          <w:rFonts w:hint="eastAsia"/>
          <w:rtl/>
        </w:rPr>
        <w:t xml:space="preserve">בגדי שבת </w:t>
      </w:r>
      <w:r>
        <w:rPr>
          <w:rFonts w:hint="cs"/>
          <w:rtl/>
        </w:rPr>
        <w:t xml:space="preserve">ועשו את כל ההכנות </w:t>
      </w:r>
      <w:r>
        <w:rPr>
          <w:rFonts w:hint="eastAsia"/>
          <w:rtl/>
        </w:rPr>
        <w:t xml:space="preserve">באמצע השבוע, כדי לבדוק האם גם אז יחושו את אותה התחושה. </w:t>
      </w:r>
      <w:r>
        <w:rPr>
          <w:rFonts w:hint="cs"/>
          <w:rtl/>
        </w:rPr>
        <w:t xml:space="preserve">כאשר עשו זאת, הם אכן חשו את אותה ההתרוממות שיש להם בשבת, והתעצבו אל לבם במחשבה שכל עבודתם והרגשתם את קדושת השבת היא רמיה </w:t>
      </w:r>
      <w:r>
        <w:rPr>
          <w:rFonts w:hint="eastAsia"/>
          <w:rtl/>
        </w:rPr>
        <w:t>– שהרי על ידי פעולות חיצוניות הם מסוגלים להגיע לאותה</w:t>
      </w:r>
      <w:r>
        <w:rPr>
          <w:rFonts w:hint="cs"/>
          <w:rtl/>
        </w:rPr>
        <w:t xml:space="preserve"> </w:t>
      </w:r>
      <w:proofErr w:type="spellStart"/>
      <w:r>
        <w:rPr>
          <w:rFonts w:hint="eastAsia"/>
          <w:rtl/>
        </w:rPr>
        <w:t>חויה</w:t>
      </w:r>
      <w:proofErr w:type="spellEnd"/>
      <w:r>
        <w:rPr>
          <w:rFonts w:hint="eastAsia"/>
          <w:rtl/>
        </w:rPr>
        <w:t>, גם כשאין זו שבת.</w:t>
      </w:r>
      <w:r>
        <w:rPr>
          <w:rFonts w:hint="cs"/>
          <w:rtl/>
        </w:rPr>
        <w:t xml:space="preserve"> כאשר ספרו זאת האחים לרבם </w:t>
      </w:r>
      <w:r>
        <w:rPr>
          <w:rFonts w:hint="eastAsia"/>
          <w:rtl/>
        </w:rPr>
        <w:t xml:space="preserve">– הרב המגיד </w:t>
      </w:r>
      <w:proofErr w:type="spellStart"/>
      <w:r>
        <w:rPr>
          <w:rFonts w:hint="eastAsia"/>
          <w:rtl/>
        </w:rPr>
        <w:t>ממעזריטש</w:t>
      </w:r>
      <w:proofErr w:type="spellEnd"/>
      <w:r>
        <w:rPr>
          <w:rFonts w:hint="eastAsia"/>
          <w:rtl/>
        </w:rPr>
        <w:t xml:space="preserve"> נ</w:t>
      </w:r>
      <w:r>
        <w:rPr>
          <w:rFonts w:hint="cs"/>
          <w:rtl/>
        </w:rPr>
        <w:t xml:space="preserve">"ע </w:t>
      </w:r>
      <w:r>
        <w:rPr>
          <w:rFonts w:hint="eastAsia"/>
          <w:rtl/>
        </w:rPr>
        <w:t xml:space="preserve">– הוא </w:t>
      </w:r>
      <w:r>
        <w:rPr>
          <w:rFonts w:hint="cs"/>
          <w:rtl/>
        </w:rPr>
        <w:t xml:space="preserve">הניח את דעתם באמרו כי </w:t>
      </w:r>
      <w:r>
        <w:rPr>
          <w:rFonts w:hint="eastAsia"/>
          <w:rtl/>
        </w:rPr>
        <w:t>מעלת השבת כה גדולה</w:t>
      </w:r>
      <w:r>
        <w:rPr>
          <w:rFonts w:hint="cs"/>
          <w:rtl/>
        </w:rPr>
        <w:t xml:space="preserve"> וכללית</w:t>
      </w:r>
      <w:r>
        <w:rPr>
          <w:rFonts w:hint="eastAsia"/>
          <w:rtl/>
        </w:rPr>
        <w:t xml:space="preserve">, עד שגם פעולות ההכנה לה </w:t>
      </w:r>
      <w:r>
        <w:rPr>
          <w:rFonts w:hint="cs"/>
          <w:rtl/>
        </w:rPr>
        <w:t xml:space="preserve">(כולל הצד החיצוני של לבישת בגדי שבת וכו') מסוגלות להמשיך אור גדול, אפילו בימות החול. </w:t>
      </w:r>
    </w:p>
    <w:p w:rsidR="00934A54" w:rsidRDefault="00934A54" w:rsidP="00934A54">
      <w:pPr>
        <w:rPr>
          <w:rFonts w:hint="cs"/>
          <w:rtl/>
        </w:rPr>
      </w:pPr>
      <w:r>
        <w:rPr>
          <w:rFonts w:hint="cs"/>
          <w:rtl/>
        </w:rPr>
        <w:t xml:space="preserve">בעומק, </w:t>
      </w:r>
      <w:r>
        <w:rPr>
          <w:rtl/>
        </w:rPr>
        <w:t>המגיד גילה כי גם ב</w:t>
      </w:r>
      <w:r>
        <w:rPr>
          <w:rFonts w:hint="cs"/>
          <w:rtl/>
        </w:rPr>
        <w:t xml:space="preserve">עבודת ימי החול </w:t>
      </w:r>
      <w:r>
        <w:rPr>
          <w:rtl/>
        </w:rPr>
        <w:t>–</w:t>
      </w:r>
      <w:r>
        <w:rPr>
          <w:rFonts w:hint="cs"/>
          <w:rtl/>
        </w:rPr>
        <w:t xml:space="preserve"> </w:t>
      </w:r>
      <w:r>
        <w:rPr>
          <w:rtl/>
        </w:rPr>
        <w:t xml:space="preserve">עבודה השקועה </w:t>
      </w:r>
      <w:proofErr w:type="spellStart"/>
      <w:r>
        <w:rPr>
          <w:rtl/>
        </w:rPr>
        <w:t>בעניני</w:t>
      </w:r>
      <w:proofErr w:type="spellEnd"/>
      <w:r>
        <w:rPr>
          <w:rtl/>
        </w:rPr>
        <w:t xml:space="preserve"> חול</w:t>
      </w:r>
      <w:r>
        <w:rPr>
          <w:rFonts w:hint="cs"/>
          <w:rtl/>
        </w:rPr>
        <w:t>ין</w:t>
      </w:r>
      <w:r>
        <w:rPr>
          <w:rtl/>
        </w:rPr>
        <w:t xml:space="preserve"> וגשם, ואף מתחשבת בהם ומופעלת על ידם – קיימת הארה מעבודת השבת הנבדלת </w:t>
      </w:r>
      <w:proofErr w:type="spellStart"/>
      <w:r>
        <w:rPr>
          <w:rtl/>
        </w:rPr>
        <w:t>מעניני</w:t>
      </w:r>
      <w:proofErr w:type="spellEnd"/>
      <w:r>
        <w:rPr>
          <w:rtl/>
        </w:rPr>
        <w:t xml:space="preserve"> העולם הזה ו</w:t>
      </w:r>
      <w:r>
        <w:rPr>
          <w:rFonts w:hint="cs"/>
          <w:rtl/>
        </w:rPr>
        <w:t>ה</w:t>
      </w:r>
      <w:r>
        <w:rPr>
          <w:rtl/>
        </w:rPr>
        <w:t xml:space="preserve">מקדשת אותם. </w:t>
      </w:r>
      <w:r>
        <w:rPr>
          <w:rFonts w:hint="cs"/>
          <w:rtl/>
        </w:rPr>
        <w:t xml:space="preserve">עבודת ימי החול נעשית "שלא לשמה", כשהאדם הטרוד </w:t>
      </w:r>
      <w:proofErr w:type="spellStart"/>
      <w:r>
        <w:rPr>
          <w:rFonts w:hint="cs"/>
          <w:rtl/>
        </w:rPr>
        <w:t>בעניני</w:t>
      </w:r>
      <w:proofErr w:type="spellEnd"/>
      <w:r>
        <w:rPr>
          <w:rFonts w:hint="cs"/>
          <w:rtl/>
        </w:rPr>
        <w:t xml:space="preserve"> החולין נמשך אחרי צרכיו ופניותיו, ואילו עבודת השבת היא "לשמה" </w:t>
      </w:r>
      <w:r>
        <w:rPr>
          <w:rtl/>
        </w:rPr>
        <w:t>–</w:t>
      </w:r>
      <w:r>
        <w:rPr>
          <w:rFonts w:hint="cs"/>
          <w:rtl/>
        </w:rPr>
        <w:t xml:space="preserve"> "שבת </w:t>
      </w:r>
      <w:proofErr w:type="spellStart"/>
      <w:r>
        <w:rPr>
          <w:rFonts w:hint="cs"/>
          <w:rtl/>
        </w:rPr>
        <w:t>להוי</w:t>
      </w:r>
      <w:proofErr w:type="spellEnd"/>
      <w:r>
        <w:rPr>
          <w:rFonts w:hint="cs"/>
          <w:rtl/>
        </w:rPr>
        <w:t>'"</w:t>
      </w:r>
      <w:r w:rsidRPr="00E838EB">
        <w:rPr>
          <w:rStyle w:val="a5"/>
          <w:rtl/>
        </w:rPr>
        <w:endnoteReference w:id="1"/>
      </w:r>
      <w:r>
        <w:rPr>
          <w:rFonts w:hint="cs"/>
          <w:rtl/>
        </w:rPr>
        <w:t xml:space="preserve"> </w:t>
      </w:r>
      <w:r>
        <w:rPr>
          <w:rtl/>
        </w:rPr>
        <w:t>–</w:t>
      </w:r>
      <w:r>
        <w:rPr>
          <w:rFonts w:hint="cs"/>
          <w:rtl/>
        </w:rPr>
        <w:t xml:space="preserve"> כאשר "כל מלאכתך עשויה"</w:t>
      </w:r>
      <w:r w:rsidRPr="00E838EB">
        <w:rPr>
          <w:rStyle w:val="a5"/>
          <w:rtl/>
        </w:rPr>
        <w:endnoteReference w:id="2"/>
      </w:r>
      <w:r>
        <w:rPr>
          <w:rFonts w:hint="cs"/>
          <w:rtl/>
        </w:rPr>
        <w:t xml:space="preserve"> וכל תענוגי השבת הם מצוה נטולת פניות</w:t>
      </w:r>
      <w:r w:rsidRPr="00E838EB">
        <w:rPr>
          <w:rStyle w:val="a5"/>
          <w:rtl/>
        </w:rPr>
        <w:endnoteReference w:id="3"/>
      </w:r>
      <w:r>
        <w:rPr>
          <w:rFonts w:hint="cs"/>
          <w:rtl/>
        </w:rPr>
        <w:t xml:space="preserve"> (אם אין האדם מכניס את החולין לשבת ומגשם גם אותה בפניותיו הגסות). אך המגיד המחיש כי "מתוך שלא לשמה בא לשמה"</w:t>
      </w:r>
      <w:r w:rsidRPr="00E838EB">
        <w:rPr>
          <w:rStyle w:val="a5"/>
          <w:rtl/>
        </w:rPr>
        <w:endnoteReference w:id="4"/>
      </w:r>
      <w:r>
        <w:rPr>
          <w:rFonts w:hint="cs"/>
          <w:rtl/>
        </w:rPr>
        <w:t xml:space="preserve"> </w:t>
      </w:r>
      <w:r>
        <w:rPr>
          <w:rtl/>
        </w:rPr>
        <w:t>–</w:t>
      </w:r>
      <w:r>
        <w:rPr>
          <w:rFonts w:hint="cs"/>
          <w:rtl/>
        </w:rPr>
        <w:t xml:space="preserve"> בתוך ה"שלא לשמה" של ימי החול ניתן לחשוף את ה"לשמה" השבתי. עבודת חשיפת השבת בחול היא, בתחום הזמן, כעבודת "מאך דא [עשה כאן, בחוץ לארץ] ארץ ישראל"</w:t>
      </w:r>
      <w:r w:rsidRPr="00E838EB">
        <w:rPr>
          <w:rStyle w:val="a5"/>
          <w:rtl/>
        </w:rPr>
        <w:endnoteReference w:id="5"/>
      </w:r>
      <w:r>
        <w:rPr>
          <w:rFonts w:hint="cs"/>
          <w:rtl/>
        </w:rPr>
        <w:t xml:space="preserve"> בתחום המקום. </w:t>
      </w:r>
      <w:r>
        <w:rPr>
          <w:rtl/>
        </w:rPr>
        <w:t>כשמתכוננים לשבת</w:t>
      </w:r>
      <w:r>
        <w:rPr>
          <w:rFonts w:hint="cs"/>
          <w:rtl/>
        </w:rPr>
        <w:t xml:space="preserve"> </w:t>
      </w:r>
      <w:r>
        <w:rPr>
          <w:rtl/>
        </w:rPr>
        <w:t xml:space="preserve">וחפצים בה </w:t>
      </w:r>
      <w:r>
        <w:rPr>
          <w:rFonts w:hint="cs"/>
          <w:rtl/>
        </w:rPr>
        <w:t>("והכינו את אשר יביאו"</w:t>
      </w:r>
      <w:r w:rsidRPr="00E838EB">
        <w:rPr>
          <w:rStyle w:val="a5"/>
          <w:rtl/>
        </w:rPr>
        <w:endnoteReference w:id="6"/>
      </w:r>
      <w:r>
        <w:rPr>
          <w:rFonts w:hint="cs"/>
          <w:rtl/>
        </w:rPr>
        <w:t xml:space="preserve">) </w:t>
      </w:r>
      <w:r>
        <w:rPr>
          <w:rtl/>
        </w:rPr>
        <w:t xml:space="preserve">נחשפת פנימיות </w:t>
      </w:r>
      <w:proofErr w:type="spellStart"/>
      <w:r>
        <w:rPr>
          <w:rtl/>
        </w:rPr>
        <w:t>אמיתית</w:t>
      </w:r>
      <w:proofErr w:type="spellEnd"/>
      <w:r>
        <w:rPr>
          <w:rtl/>
        </w:rPr>
        <w:t xml:space="preserve"> גם בעבודת ימי החול, ועד שזוכים לבוא באמת למעלת שבת קדש</w:t>
      </w:r>
      <w:r>
        <w:rPr>
          <w:rFonts w:hint="cs"/>
          <w:rtl/>
        </w:rPr>
        <w:t>. כך מפורש בזהר</w:t>
      </w:r>
      <w:r w:rsidRPr="00E838EB">
        <w:rPr>
          <w:rStyle w:val="a5"/>
          <w:rtl/>
        </w:rPr>
        <w:endnoteReference w:id="7"/>
      </w:r>
      <w:r>
        <w:rPr>
          <w:rFonts w:hint="cs"/>
          <w:rtl/>
        </w:rPr>
        <w:t xml:space="preserve"> כי צדיקים נקראים "שבת" בעצם מהותם, גם במשך ימות השבוע.</w:t>
      </w:r>
    </w:p>
    <w:p w:rsidR="00934A54" w:rsidRDefault="00934A54" w:rsidP="00934A54">
      <w:pPr>
        <w:rPr>
          <w:rFonts w:hint="cs"/>
          <w:rtl/>
        </w:rPr>
      </w:pPr>
      <w:r>
        <w:rPr>
          <w:rtl/>
        </w:rPr>
        <w:t xml:space="preserve">בחיי הנישואין דברי המגיד הם בעצם הגילוי כי גם בזיווג </w:t>
      </w:r>
      <w:r>
        <w:rPr>
          <w:rFonts w:hint="cs"/>
          <w:rtl/>
        </w:rPr>
        <w:t xml:space="preserve">של ימות החול </w:t>
      </w:r>
      <w:r>
        <w:rPr>
          <w:rtl/>
        </w:rPr>
        <w:t xml:space="preserve">ניתן להמשיך </w:t>
      </w:r>
      <w:r>
        <w:rPr>
          <w:rFonts w:hint="cs"/>
          <w:rtl/>
        </w:rPr>
        <w:t xml:space="preserve">את </w:t>
      </w:r>
      <w:r>
        <w:rPr>
          <w:rtl/>
        </w:rPr>
        <w:t xml:space="preserve">קדושת השבת, </w:t>
      </w:r>
      <w:r>
        <w:rPr>
          <w:rFonts w:hint="cs"/>
          <w:rtl/>
        </w:rPr>
        <w:t xml:space="preserve">אם </w:t>
      </w:r>
      <w:r>
        <w:rPr>
          <w:rtl/>
        </w:rPr>
        <w:t>מתכוננים לכך ומכוונים את התודעה לקדושת השבת.</w:t>
      </w:r>
      <w:r>
        <w:rPr>
          <w:rFonts w:hint="cs"/>
          <w:rtl/>
        </w:rPr>
        <w:t xml:space="preserve"> </w:t>
      </w:r>
      <w:proofErr w:type="spellStart"/>
      <w:r>
        <w:rPr>
          <w:rFonts w:hint="cs"/>
          <w:rtl/>
        </w:rPr>
        <w:t>בענין</w:t>
      </w:r>
      <w:proofErr w:type="spellEnd"/>
      <w:r>
        <w:rPr>
          <w:rFonts w:hint="cs"/>
          <w:rtl/>
        </w:rPr>
        <w:t xml:space="preserve"> זה חשים גם בפועל את הדמיון להכנות לשבת, וניתן לעשות הכנות אלו מתוך כוונות שבתיות (כפי שעשו האחים רבי </w:t>
      </w:r>
      <w:proofErr w:type="spellStart"/>
      <w:r>
        <w:rPr>
          <w:rFonts w:hint="cs"/>
          <w:rtl/>
        </w:rPr>
        <w:t>שמעלקא</w:t>
      </w:r>
      <w:proofErr w:type="spellEnd"/>
      <w:r>
        <w:rPr>
          <w:rFonts w:hint="cs"/>
          <w:rtl/>
        </w:rPr>
        <w:t xml:space="preserve"> ורבי </w:t>
      </w:r>
      <w:proofErr w:type="spellStart"/>
      <w:r>
        <w:rPr>
          <w:rFonts w:hint="cs"/>
          <w:rtl/>
        </w:rPr>
        <w:t>פינחס</w:t>
      </w:r>
      <w:proofErr w:type="spellEnd"/>
      <w:r>
        <w:rPr>
          <w:rFonts w:hint="cs"/>
          <w:rtl/>
        </w:rPr>
        <w:t>). בפרט אמורים הדברים בהכנות לליל טבילה, שהוא היום טוב, ב-</w:t>
      </w:r>
      <w:r w:rsidRPr="00EC6CF9">
        <w:rPr>
          <w:rFonts w:hint="cs"/>
          <w:b/>
          <w:bCs/>
          <w:sz w:val="28"/>
          <w:szCs w:val="28"/>
          <w:rtl/>
        </w:rPr>
        <w:t>ה</w:t>
      </w:r>
      <w:r>
        <w:rPr>
          <w:rFonts w:hint="cs"/>
          <w:rtl/>
        </w:rPr>
        <w:t xml:space="preserve"> הידיעה, בחיי בני הזוג (כאשר גם על האיש להתדמות להכנות </w:t>
      </w:r>
      <w:proofErr w:type="spellStart"/>
      <w:r>
        <w:rPr>
          <w:rFonts w:hint="cs"/>
          <w:rtl/>
        </w:rPr>
        <w:t>האשה</w:t>
      </w:r>
      <w:proofErr w:type="spellEnd"/>
      <w:r>
        <w:rPr>
          <w:rFonts w:hint="cs"/>
          <w:rtl/>
        </w:rPr>
        <w:t xml:space="preserve">, המחויבות על פי דין): בני הזוג רוחצים בחמין (ועליהם לכוון בכך לשרוף ולדחות את החיצונים שעלולים </w:t>
      </w:r>
      <w:proofErr w:type="spellStart"/>
      <w:r>
        <w:rPr>
          <w:rFonts w:hint="cs"/>
          <w:rtl/>
        </w:rPr>
        <w:t>להאחז</w:t>
      </w:r>
      <w:proofErr w:type="spellEnd"/>
      <w:r>
        <w:rPr>
          <w:rFonts w:hint="cs"/>
          <w:rtl/>
        </w:rPr>
        <w:t xml:space="preserve"> בקדושת הזיווג), טובלים </w:t>
      </w:r>
      <w:proofErr w:type="spellStart"/>
      <w:r>
        <w:rPr>
          <w:rFonts w:hint="cs"/>
          <w:rtl/>
        </w:rPr>
        <w:t>במקוה</w:t>
      </w:r>
      <w:proofErr w:type="spellEnd"/>
      <w:r>
        <w:rPr>
          <w:rFonts w:hint="cs"/>
          <w:rtl/>
        </w:rPr>
        <w:t>, לובשים בגדים נאים ומציעים את המטות בכסות נקיה (ענין שהוא מצות "כסותה"</w:t>
      </w:r>
      <w:r w:rsidRPr="00E838EB">
        <w:rPr>
          <w:rStyle w:val="a5"/>
          <w:rtl/>
        </w:rPr>
        <w:endnoteReference w:id="8"/>
      </w:r>
      <w:r>
        <w:rPr>
          <w:rFonts w:hint="cs"/>
          <w:rtl/>
        </w:rPr>
        <w:t xml:space="preserve"> על פי דברי הרמב"ן</w:t>
      </w:r>
      <w:r w:rsidRPr="00E838EB">
        <w:rPr>
          <w:rStyle w:val="a5"/>
          <w:rtl/>
        </w:rPr>
        <w:endnoteReference w:id="9"/>
      </w:r>
      <w:r>
        <w:rPr>
          <w:rFonts w:hint="cs"/>
          <w:rtl/>
        </w:rPr>
        <w:t>).</w:t>
      </w:r>
    </w:p>
    <w:p w:rsidR="00934A54" w:rsidRDefault="00934A54" w:rsidP="00934A54">
      <w:pPr>
        <w:rPr>
          <w:rFonts w:hint="cs"/>
          <w:rtl/>
        </w:rPr>
      </w:pPr>
      <w:r>
        <w:rPr>
          <w:rFonts w:hint="cs"/>
          <w:rtl/>
        </w:rPr>
        <w:lastRenderedPageBreak/>
        <w:t>על אף שהזיווג ביום חול הוא נמוך יותר מהזיווג בשבת</w:t>
      </w:r>
      <w:r w:rsidRPr="00E838EB">
        <w:rPr>
          <w:rStyle w:val="a5"/>
          <w:rtl/>
        </w:rPr>
        <w:endnoteReference w:id="10"/>
      </w:r>
      <w:r>
        <w:rPr>
          <w:rFonts w:hint="cs"/>
          <w:rtl/>
        </w:rPr>
        <w:t xml:space="preserve">, ובני הזוג עלולים לחוש 'מושפלים' מכך שלא זכו למעלה </w:t>
      </w:r>
      <w:proofErr w:type="spellStart"/>
      <w:r>
        <w:rPr>
          <w:rFonts w:hint="cs"/>
          <w:rtl/>
        </w:rPr>
        <w:t>האמיתית</w:t>
      </w:r>
      <w:proofErr w:type="spellEnd"/>
      <w:r>
        <w:rPr>
          <w:rFonts w:hint="cs"/>
          <w:rtl/>
        </w:rPr>
        <w:t xml:space="preserve"> של תלמיד חכם, המזדווג עם אשתו רק מערב שבת לערב שבת</w:t>
      </w:r>
      <w:r w:rsidRPr="00E838EB">
        <w:rPr>
          <w:rStyle w:val="a5"/>
          <w:rtl/>
        </w:rPr>
        <w:endnoteReference w:id="11"/>
      </w:r>
      <w:r>
        <w:rPr>
          <w:rFonts w:hint="cs"/>
          <w:rtl/>
        </w:rPr>
        <w:t xml:space="preserve">, הרי שבכיסופים לקדושת השבת </w:t>
      </w:r>
      <w:r>
        <w:rPr>
          <w:rtl/>
        </w:rPr>
        <w:t>–</w:t>
      </w:r>
      <w:r>
        <w:rPr>
          <w:rFonts w:hint="cs"/>
          <w:rtl/>
        </w:rPr>
        <w:t xml:space="preserve"> ואף </w:t>
      </w:r>
      <w:proofErr w:type="spellStart"/>
      <w:r>
        <w:rPr>
          <w:rFonts w:hint="cs"/>
          <w:rtl/>
        </w:rPr>
        <w:t>ב</w:t>
      </w:r>
      <w:r w:rsidRPr="00EC6CF9">
        <w:rPr>
          <w:rFonts w:hint="cs"/>
          <w:b/>
          <w:bCs/>
          <w:sz w:val="28"/>
          <w:szCs w:val="28"/>
          <w:rtl/>
        </w:rPr>
        <w:t>ב</w:t>
      </w:r>
      <w:r w:rsidRPr="00976321">
        <w:rPr>
          <w:rFonts w:hint="cs"/>
          <w:spacing w:val="-14"/>
          <w:sz w:val="28"/>
          <w:szCs w:val="28"/>
          <w:rtl/>
        </w:rPr>
        <w:t>ֹ</w:t>
      </w:r>
      <w:r w:rsidRPr="00EC6CF9">
        <w:rPr>
          <w:rFonts w:hint="cs"/>
          <w:b/>
          <w:bCs/>
          <w:sz w:val="28"/>
          <w:szCs w:val="28"/>
          <w:rtl/>
        </w:rPr>
        <w:t>שת</w:t>
      </w:r>
      <w:proofErr w:type="spellEnd"/>
      <w:r>
        <w:rPr>
          <w:rFonts w:hint="cs"/>
          <w:rtl/>
        </w:rPr>
        <w:t xml:space="preserve"> על כך שלא זכו להמתין בפועל עד ל</w:t>
      </w:r>
      <w:r w:rsidRPr="00EC6CF9">
        <w:rPr>
          <w:rFonts w:hint="cs"/>
          <w:b/>
          <w:bCs/>
          <w:sz w:val="28"/>
          <w:szCs w:val="28"/>
          <w:rtl/>
        </w:rPr>
        <w:t>שבת</w:t>
      </w:r>
      <w:r>
        <w:rPr>
          <w:rFonts w:hint="cs"/>
          <w:rtl/>
        </w:rPr>
        <w:t xml:space="preserve">, או על כי אין הם חשים בנפשם את ההפרש בין זיווג השבת לזיווג החול </w:t>
      </w:r>
      <w:r>
        <w:rPr>
          <w:rtl/>
        </w:rPr>
        <w:t>–</w:t>
      </w:r>
      <w:r>
        <w:rPr>
          <w:rFonts w:hint="cs"/>
          <w:rtl/>
        </w:rPr>
        <w:t xml:space="preserve"> ממשיכים הארה מקדושת השבת גם לימות החול</w:t>
      </w:r>
      <w:r w:rsidRPr="00E838EB">
        <w:rPr>
          <w:rStyle w:val="a5"/>
          <w:rtl/>
        </w:rPr>
        <w:endnoteReference w:id="12"/>
      </w:r>
      <w:r>
        <w:rPr>
          <w:rFonts w:hint="cs"/>
          <w:rtl/>
        </w:rPr>
        <w:t xml:space="preserve">. בעומק, קיימת גם מעלה בזיווג ה'שבתי' שבימי החול ביחס לזיווג בשבת ממש: </w:t>
      </w:r>
      <w:r>
        <w:rPr>
          <w:rtl/>
        </w:rPr>
        <w:t>ה'קריאה' לקדושת השבת בימ</w:t>
      </w:r>
      <w:r>
        <w:rPr>
          <w:rFonts w:hint="cs"/>
          <w:rtl/>
        </w:rPr>
        <w:t>ות</w:t>
      </w:r>
      <w:r>
        <w:rPr>
          <w:rtl/>
        </w:rPr>
        <w:t xml:space="preserve"> החול היא בסוד "מקרא קדש"</w:t>
      </w:r>
      <w:r w:rsidRPr="00E838EB">
        <w:rPr>
          <w:rStyle w:val="a5"/>
          <w:rtl/>
        </w:rPr>
        <w:endnoteReference w:id="13"/>
      </w:r>
      <w:r>
        <w:rPr>
          <w:rtl/>
        </w:rPr>
        <w:t xml:space="preserve"> האמור על יום טוב (בו בני ישראל מקדשים את הזמן, וקוראים</w:t>
      </w:r>
      <w:r>
        <w:rPr>
          <w:rFonts w:hint="cs"/>
          <w:rtl/>
        </w:rPr>
        <w:t>-מזמינים</w:t>
      </w:r>
      <w:r>
        <w:rPr>
          <w:rtl/>
        </w:rPr>
        <w:t xml:space="preserve"> </w:t>
      </w:r>
      <w:r>
        <w:rPr>
          <w:rFonts w:hint="cs"/>
          <w:rtl/>
        </w:rPr>
        <w:t xml:space="preserve">את </w:t>
      </w:r>
      <w:r>
        <w:rPr>
          <w:rtl/>
        </w:rPr>
        <w:t xml:space="preserve">קדושת השבת לבוא לתוכו). מהצד החיצוני, כלבושי יקר </w:t>
      </w:r>
      <w:proofErr w:type="spellStart"/>
      <w:r>
        <w:rPr>
          <w:rtl/>
        </w:rPr>
        <w:t>וכו</w:t>
      </w:r>
      <w:proofErr w:type="spellEnd"/>
      <w:r>
        <w:rPr>
          <w:rtl/>
        </w:rPr>
        <w:t xml:space="preserve">', </w:t>
      </w:r>
      <w:r>
        <w:rPr>
          <w:rFonts w:hint="cs"/>
          <w:rtl/>
        </w:rPr>
        <w:t xml:space="preserve">יש </w:t>
      </w:r>
      <w:r>
        <w:rPr>
          <w:rtl/>
        </w:rPr>
        <w:t>ביום טוב מעלה אף על גבי השבת עצמה – אז הקדושה נמשכת גם לחיצוניות העולם ופועלת בה</w:t>
      </w:r>
      <w:bookmarkStart w:id="2" w:name="_Ref130524082"/>
      <w:r w:rsidRPr="00E838EB">
        <w:rPr>
          <w:rStyle w:val="a5"/>
          <w:rtl/>
        </w:rPr>
        <w:endnoteReference w:id="14"/>
      </w:r>
      <w:bookmarkEnd w:id="2"/>
      <w:r>
        <w:rPr>
          <w:rtl/>
        </w:rPr>
        <w:t>.</w:t>
      </w:r>
    </w:p>
    <w:p w:rsidR="00934A54" w:rsidRDefault="00934A54" w:rsidP="00934A54">
      <w:pPr>
        <w:rPr>
          <w:rFonts w:hint="cs"/>
          <w:rtl/>
        </w:rPr>
      </w:pPr>
      <w:r>
        <w:rPr>
          <w:rtl/>
        </w:rPr>
        <w:t xml:space="preserve">על בני הזוג להמשיך את קדושת השבת גם לזיווגם ביום חול. כאשר עושים זאת כדבעי – מתוך הכנה נפשית ראויה, כיסופים לקדושת השבת בזיווגם – הם זוכים למעלה מיוחדת של המשכת </w:t>
      </w:r>
      <w:proofErr w:type="spellStart"/>
      <w:r>
        <w:rPr>
          <w:rtl/>
        </w:rPr>
        <w:t>היחוד</w:t>
      </w:r>
      <w:proofErr w:type="spellEnd"/>
      <w:r>
        <w:rPr>
          <w:rtl/>
        </w:rPr>
        <w:t xml:space="preserve"> העליון של שבת למציאות החיצונית, הנעל</w:t>
      </w:r>
      <w:r>
        <w:rPr>
          <w:rFonts w:hint="cs"/>
          <w:rtl/>
        </w:rPr>
        <w:t>ית</w:t>
      </w:r>
      <w:r>
        <w:rPr>
          <w:rtl/>
        </w:rPr>
        <w:t xml:space="preserve"> בפן מסוים גם מההמשכה בשבת גופא</w:t>
      </w:r>
      <w:r w:rsidRPr="00DC69D9">
        <w:rPr>
          <w:rStyle w:val="a5"/>
        </w:rPr>
        <w:fldChar w:fldCharType="begin"/>
      </w:r>
      <w:r w:rsidRPr="00DC69D9">
        <w:rPr>
          <w:rStyle w:val="a5"/>
          <w:rtl/>
        </w:rPr>
        <w:instrText xml:space="preserve"> </w:instrText>
      </w:r>
      <w:r w:rsidRPr="00DC69D9">
        <w:rPr>
          <w:rStyle w:val="a5"/>
        </w:rPr>
        <w:instrText>NOTEREF</w:instrText>
      </w:r>
      <w:r w:rsidRPr="00DC69D9">
        <w:rPr>
          <w:rStyle w:val="a5"/>
          <w:rtl/>
        </w:rPr>
        <w:instrText xml:space="preserve"> _</w:instrText>
      </w:r>
      <w:r w:rsidRPr="00DC69D9">
        <w:rPr>
          <w:rStyle w:val="a5"/>
        </w:rPr>
        <w:instrText>Ref130524082 \h</w:instrText>
      </w:r>
      <w:r w:rsidRPr="00DC69D9">
        <w:rPr>
          <w:rStyle w:val="a5"/>
          <w:rtl/>
        </w:rPr>
        <w:instrText xml:space="preserve"> </w:instrText>
      </w:r>
      <w:r w:rsidRPr="00DC69D9">
        <w:rPr>
          <w:rStyle w:val="a5"/>
        </w:rPr>
      </w:r>
      <w:r>
        <w:rPr>
          <w:rStyle w:val="a5"/>
        </w:rPr>
        <w:instrText xml:space="preserve"> \* MERGEFORMAT </w:instrText>
      </w:r>
      <w:r w:rsidRPr="00DC69D9">
        <w:rPr>
          <w:rStyle w:val="a5"/>
        </w:rPr>
        <w:fldChar w:fldCharType="separate"/>
      </w:r>
      <w:r>
        <w:rPr>
          <w:rStyle w:val="a5"/>
          <w:rtl/>
        </w:rPr>
        <w:t>יד</w:t>
      </w:r>
      <w:r w:rsidRPr="00DC69D9">
        <w:rPr>
          <w:rStyle w:val="a5"/>
        </w:rPr>
        <w:fldChar w:fldCharType="end"/>
      </w:r>
      <w:r>
        <w:rPr>
          <w:rtl/>
        </w:rPr>
        <w:t>.</w:t>
      </w:r>
      <w:r>
        <w:rPr>
          <w:rFonts w:hint="cs"/>
          <w:rtl/>
        </w:rPr>
        <w:t xml:space="preserve"> [ואם אצל כל אדם (השייך לעבודת הבינונים</w:t>
      </w:r>
      <w:r w:rsidRPr="00E838EB">
        <w:rPr>
          <w:rStyle w:val="a5"/>
          <w:rtl/>
        </w:rPr>
        <w:endnoteReference w:id="15"/>
      </w:r>
      <w:r>
        <w:rPr>
          <w:rFonts w:hint="cs"/>
          <w:rtl/>
        </w:rPr>
        <w:t>) ענין זה מתגלה לפרקים (ולעתים באופן של 'בדיעבד') ומתוך תחושה כי עליו להתעלות מן החולין ולקרוא לקדושת השבת, הרי שאצל חלק מצדיקי האמת, הנקראים שבת בעצם מהותם, כנ"ל, מצינו</w:t>
      </w:r>
      <w:bookmarkStart w:id="3" w:name="_Ref129164307"/>
      <w:r w:rsidRPr="00E838EB">
        <w:rPr>
          <w:rStyle w:val="a5"/>
          <w:rtl/>
        </w:rPr>
        <w:endnoteReference w:id="16"/>
      </w:r>
      <w:bookmarkEnd w:id="3"/>
      <w:r>
        <w:rPr>
          <w:rFonts w:hint="cs"/>
          <w:rtl/>
        </w:rPr>
        <w:t xml:space="preserve"> כי הנהיגו בעצמם את עונת </w:t>
      </w:r>
      <w:proofErr w:type="spellStart"/>
      <w:r>
        <w:rPr>
          <w:rFonts w:hint="cs"/>
          <w:rtl/>
        </w:rPr>
        <w:t>הטיילין</w:t>
      </w:r>
      <w:proofErr w:type="spellEnd"/>
      <w:r w:rsidRPr="00E838EB">
        <w:rPr>
          <w:rStyle w:val="a5"/>
          <w:rtl/>
        </w:rPr>
        <w:endnoteReference w:id="17"/>
      </w:r>
      <w:r>
        <w:rPr>
          <w:rFonts w:hint="cs"/>
          <w:rtl/>
        </w:rPr>
        <w:t xml:space="preserve"> (בכל יום), מתוך </w:t>
      </w:r>
      <w:proofErr w:type="spellStart"/>
      <w:r>
        <w:rPr>
          <w:rFonts w:hint="cs"/>
          <w:rtl/>
        </w:rPr>
        <w:t>חוית</w:t>
      </w:r>
      <w:proofErr w:type="spellEnd"/>
      <w:r>
        <w:rPr>
          <w:rFonts w:hint="cs"/>
          <w:rtl/>
        </w:rPr>
        <w:t xml:space="preserve"> "</w:t>
      </w:r>
      <w:proofErr w:type="spellStart"/>
      <w:r>
        <w:rPr>
          <w:rFonts w:hint="cs"/>
          <w:rtl/>
        </w:rPr>
        <w:t>שויתי</w:t>
      </w:r>
      <w:proofErr w:type="spellEnd"/>
      <w:r>
        <w:rPr>
          <w:rFonts w:hint="cs"/>
          <w:rtl/>
        </w:rPr>
        <w:t xml:space="preserve"> הוי' לנגדי תמיד"</w:t>
      </w:r>
      <w:r w:rsidRPr="00E838EB">
        <w:rPr>
          <w:rStyle w:val="a5"/>
          <w:rtl/>
        </w:rPr>
        <w:endnoteReference w:id="18"/>
      </w:r>
      <w:r>
        <w:rPr>
          <w:rFonts w:hint="cs"/>
          <w:rtl/>
        </w:rPr>
        <w:t>, המאפשרת להם להמשיך בטבעיות ובקלות את קדושת השבת לכל ימי השבוע. בעוד שאצל הבינונים מדובר בהארת שבת בלבד, והדבר כרוך בעבודה המתאפשרת אצלם רק לפרקים, הרי שהצדיק השלם מסוגל להמשיך את עצם קדושת השבת בכל עת ובכל שעה].</w:t>
      </w:r>
      <w:r w:rsidRPr="00E838EB">
        <w:rPr>
          <w:rStyle w:val="a5"/>
          <w:rtl/>
        </w:rPr>
        <w:endnoteReference w:id="19"/>
      </w:r>
    </w:p>
    <w:p w:rsidR="005F4A47" w:rsidRDefault="005366F6">
      <w:bookmarkStart w:id="4" w:name="_GoBack"/>
      <w:bookmarkEnd w:id="4"/>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6F6" w:rsidRDefault="005366F6" w:rsidP="00934A54">
      <w:pPr>
        <w:spacing w:after="0" w:line="240" w:lineRule="auto"/>
      </w:pPr>
      <w:r>
        <w:separator/>
      </w:r>
    </w:p>
  </w:endnote>
  <w:endnote w:type="continuationSeparator" w:id="0">
    <w:p w:rsidR="005366F6" w:rsidRDefault="005366F6" w:rsidP="00934A54">
      <w:pPr>
        <w:spacing w:after="0" w:line="240" w:lineRule="auto"/>
      </w:pPr>
      <w:r>
        <w:continuationSeparator/>
      </w:r>
    </w:p>
  </w:endnote>
  <w:endnote w:id="1">
    <w:p w:rsidR="00934A54" w:rsidRDefault="00934A54" w:rsidP="00934A54">
      <w:pPr>
        <w:pStyle w:val="a3"/>
        <w:rPr>
          <w:rFonts w:hint="cs"/>
        </w:rPr>
      </w:pPr>
      <w:r>
        <w:rPr>
          <w:rtl/>
        </w:rPr>
        <w:tab/>
      </w:r>
      <w:r w:rsidRPr="00DF60BE">
        <w:rPr>
          <w:rtl/>
        </w:rPr>
        <w:endnoteRef/>
      </w:r>
      <w:r>
        <w:rPr>
          <w:rtl/>
        </w:rPr>
        <w:t>.</w:t>
      </w:r>
      <w:r>
        <w:rPr>
          <w:rtl/>
        </w:rPr>
        <w:tab/>
      </w:r>
      <w:r>
        <w:rPr>
          <w:rFonts w:hint="cs"/>
          <w:rtl/>
        </w:rPr>
        <w:t>שמות כ, י (ובכ"ד).</w:t>
      </w:r>
    </w:p>
  </w:endnote>
  <w:endnote w:id="2">
    <w:p w:rsidR="00934A54" w:rsidRDefault="00934A54" w:rsidP="00934A54">
      <w:pPr>
        <w:pStyle w:val="a3"/>
        <w:rPr>
          <w:rFonts w:hint="cs"/>
        </w:rPr>
      </w:pPr>
      <w:r>
        <w:rPr>
          <w:rtl/>
        </w:rPr>
        <w:tab/>
      </w:r>
      <w:r w:rsidRPr="00DF60BE">
        <w:rPr>
          <w:rtl/>
        </w:rPr>
        <w:endnoteRef/>
      </w:r>
      <w:r>
        <w:rPr>
          <w:rtl/>
        </w:rPr>
        <w:t>.</w:t>
      </w:r>
      <w:r>
        <w:rPr>
          <w:rtl/>
        </w:rPr>
        <w:tab/>
      </w:r>
      <w:r>
        <w:rPr>
          <w:rFonts w:hint="cs"/>
          <w:rtl/>
        </w:rPr>
        <w:t xml:space="preserve">רש"י לשמות כ, ט (עפ"י מכילתא בחדש פרשה ז, ילקוט שמעוני שמות רמז </w:t>
      </w:r>
      <w:proofErr w:type="spellStart"/>
      <w:r>
        <w:rPr>
          <w:rFonts w:hint="cs"/>
          <w:rtl/>
        </w:rPr>
        <w:t>תצו</w:t>
      </w:r>
      <w:proofErr w:type="spellEnd"/>
      <w:r>
        <w:rPr>
          <w:rFonts w:hint="cs"/>
          <w:rtl/>
        </w:rPr>
        <w:t>).</w:t>
      </w:r>
    </w:p>
  </w:endnote>
  <w:endnote w:id="3">
    <w:p w:rsidR="00934A54" w:rsidRDefault="00934A54" w:rsidP="00934A54">
      <w:pPr>
        <w:pStyle w:val="a3"/>
        <w:rPr>
          <w:rFonts w:hint="cs"/>
          <w:rtl/>
        </w:rPr>
      </w:pPr>
      <w:r>
        <w:rPr>
          <w:rtl/>
        </w:rPr>
        <w:tab/>
      </w:r>
      <w:r w:rsidRPr="00DF60BE">
        <w:rPr>
          <w:rtl/>
        </w:rPr>
        <w:endnoteRef/>
      </w:r>
      <w:r>
        <w:rPr>
          <w:rtl/>
        </w:rPr>
        <w:t>.</w:t>
      </w:r>
      <w:r>
        <w:rPr>
          <w:rtl/>
        </w:rPr>
        <w:tab/>
      </w:r>
      <w:r>
        <w:rPr>
          <w:rFonts w:hint="cs"/>
          <w:rtl/>
        </w:rPr>
        <w:t xml:space="preserve">ראה תניא, אגרת הקדש </w:t>
      </w:r>
      <w:proofErr w:type="spellStart"/>
      <w:r>
        <w:rPr>
          <w:rFonts w:hint="cs"/>
          <w:rtl/>
        </w:rPr>
        <w:t>כו</w:t>
      </w:r>
      <w:proofErr w:type="spellEnd"/>
      <w:r>
        <w:rPr>
          <w:rFonts w:hint="cs"/>
          <w:rtl/>
        </w:rPr>
        <w:t xml:space="preserve"> (וכן תניא פ"ז).</w:t>
      </w:r>
    </w:p>
  </w:endnote>
  <w:endnote w:id="4">
    <w:p w:rsidR="00934A54" w:rsidRDefault="00934A54" w:rsidP="00934A54">
      <w:pPr>
        <w:pStyle w:val="a3"/>
        <w:rPr>
          <w:rFonts w:hint="cs"/>
        </w:rPr>
      </w:pPr>
      <w:r>
        <w:rPr>
          <w:rtl/>
        </w:rPr>
        <w:tab/>
      </w:r>
      <w:r w:rsidRPr="00DF60BE">
        <w:rPr>
          <w:rtl/>
        </w:rPr>
        <w:endnoteRef/>
      </w:r>
      <w:r>
        <w:rPr>
          <w:rtl/>
        </w:rPr>
        <w:t>.</w:t>
      </w:r>
      <w:r>
        <w:rPr>
          <w:rtl/>
        </w:rPr>
        <w:tab/>
      </w:r>
      <w:r>
        <w:rPr>
          <w:rFonts w:hint="cs"/>
          <w:rtl/>
        </w:rPr>
        <w:t>פסחים נ, ב, ועוד.</w:t>
      </w:r>
    </w:p>
  </w:endnote>
  <w:endnote w:id="5">
    <w:p w:rsidR="00934A54" w:rsidRDefault="00934A54" w:rsidP="00934A54">
      <w:pPr>
        <w:pStyle w:val="a3"/>
        <w:rPr>
          <w:rFonts w:hint="cs"/>
          <w:rtl/>
        </w:rPr>
      </w:pPr>
      <w:r>
        <w:rPr>
          <w:rtl/>
        </w:rPr>
        <w:tab/>
      </w:r>
      <w:r w:rsidRPr="00DF60BE">
        <w:rPr>
          <w:rtl/>
        </w:rPr>
        <w:endnoteRef/>
      </w:r>
      <w:r>
        <w:rPr>
          <w:rtl/>
        </w:rPr>
        <w:t>.</w:t>
      </w:r>
      <w:r>
        <w:rPr>
          <w:rtl/>
        </w:rPr>
        <w:tab/>
      </w:r>
      <w:r>
        <w:rPr>
          <w:rFonts w:hint="cs"/>
          <w:rtl/>
        </w:rPr>
        <w:t xml:space="preserve">אגרות קדש כ"ק אדמו"ר </w:t>
      </w:r>
      <w:proofErr w:type="spellStart"/>
      <w:r>
        <w:rPr>
          <w:rFonts w:hint="cs"/>
          <w:rtl/>
        </w:rPr>
        <w:t>מליובאוויטש</w:t>
      </w:r>
      <w:proofErr w:type="spellEnd"/>
      <w:r>
        <w:rPr>
          <w:rFonts w:hint="cs"/>
          <w:rtl/>
        </w:rPr>
        <w:t xml:space="preserve">, כרך ד, אגרת </w:t>
      </w:r>
      <w:proofErr w:type="spellStart"/>
      <w:r>
        <w:rPr>
          <w:rFonts w:hint="cs"/>
          <w:rtl/>
        </w:rPr>
        <w:t>א'קלח</w:t>
      </w:r>
      <w:proofErr w:type="spellEnd"/>
      <w:r>
        <w:rPr>
          <w:rFonts w:hint="cs"/>
          <w:rtl/>
        </w:rPr>
        <w:t>.</w:t>
      </w:r>
    </w:p>
  </w:endnote>
  <w:endnote w:id="6">
    <w:p w:rsidR="00934A54" w:rsidRDefault="00934A54" w:rsidP="00934A54">
      <w:pPr>
        <w:pStyle w:val="a3"/>
        <w:rPr>
          <w:rFonts w:hint="cs"/>
          <w:rtl/>
        </w:rPr>
      </w:pPr>
      <w:r>
        <w:rPr>
          <w:rtl/>
        </w:rPr>
        <w:tab/>
      </w:r>
      <w:r w:rsidRPr="00DF60BE">
        <w:rPr>
          <w:rtl/>
        </w:rPr>
        <w:endnoteRef/>
      </w:r>
      <w:r>
        <w:rPr>
          <w:rtl/>
        </w:rPr>
        <w:t>.</w:t>
      </w:r>
      <w:r>
        <w:rPr>
          <w:rtl/>
        </w:rPr>
        <w:tab/>
      </w:r>
      <w:r>
        <w:rPr>
          <w:rFonts w:hint="cs"/>
          <w:rtl/>
        </w:rPr>
        <w:t xml:space="preserve">שמות </w:t>
      </w:r>
      <w:proofErr w:type="spellStart"/>
      <w:r>
        <w:rPr>
          <w:rFonts w:hint="cs"/>
          <w:rtl/>
        </w:rPr>
        <w:t>טז</w:t>
      </w:r>
      <w:proofErr w:type="spellEnd"/>
      <w:r>
        <w:rPr>
          <w:rFonts w:hint="cs"/>
          <w:rtl/>
        </w:rPr>
        <w:t>, ה.</w:t>
      </w:r>
    </w:p>
  </w:endnote>
  <w:endnote w:id="7">
    <w:p w:rsidR="00934A54" w:rsidRDefault="00934A54" w:rsidP="00934A54">
      <w:pPr>
        <w:pStyle w:val="a3"/>
        <w:rPr>
          <w:rFonts w:hint="cs"/>
          <w:rtl/>
        </w:rPr>
      </w:pPr>
      <w:r>
        <w:rPr>
          <w:rtl/>
        </w:rPr>
        <w:tab/>
      </w:r>
      <w:r w:rsidRPr="00DF60BE">
        <w:rPr>
          <w:rtl/>
        </w:rPr>
        <w:endnoteRef/>
      </w:r>
      <w:r>
        <w:rPr>
          <w:rtl/>
        </w:rPr>
        <w:t>.</w:t>
      </w:r>
      <w:r>
        <w:rPr>
          <w:rtl/>
        </w:rPr>
        <w:tab/>
      </w:r>
      <w:proofErr w:type="spellStart"/>
      <w:r>
        <w:rPr>
          <w:rFonts w:hint="cs"/>
          <w:rtl/>
        </w:rPr>
        <w:t>ח"ג</w:t>
      </w:r>
      <w:proofErr w:type="spellEnd"/>
      <w:r>
        <w:rPr>
          <w:rFonts w:hint="cs"/>
          <w:rtl/>
        </w:rPr>
        <w:t xml:space="preserve"> </w:t>
      </w:r>
      <w:proofErr w:type="spellStart"/>
      <w:r>
        <w:rPr>
          <w:rFonts w:hint="cs"/>
          <w:rtl/>
        </w:rPr>
        <w:t>כט</w:t>
      </w:r>
      <w:proofErr w:type="spellEnd"/>
      <w:r>
        <w:rPr>
          <w:rFonts w:hint="cs"/>
          <w:rtl/>
        </w:rPr>
        <w:t>, א.</w:t>
      </w:r>
    </w:p>
  </w:endnote>
  <w:endnote w:id="8">
    <w:p w:rsidR="00934A54" w:rsidRDefault="00934A54" w:rsidP="00934A54">
      <w:pPr>
        <w:pStyle w:val="a3"/>
        <w:rPr>
          <w:rFonts w:hint="cs"/>
          <w:rtl/>
        </w:rPr>
      </w:pPr>
      <w:r>
        <w:rPr>
          <w:rtl/>
        </w:rPr>
        <w:tab/>
      </w:r>
      <w:r w:rsidRPr="00DF60BE">
        <w:rPr>
          <w:rtl/>
        </w:rPr>
        <w:endnoteRef/>
      </w:r>
      <w:r>
        <w:rPr>
          <w:rtl/>
        </w:rPr>
        <w:t>.</w:t>
      </w:r>
      <w:r>
        <w:rPr>
          <w:rtl/>
        </w:rPr>
        <w:tab/>
      </w:r>
      <w:r>
        <w:rPr>
          <w:rFonts w:hint="cs"/>
          <w:rtl/>
        </w:rPr>
        <w:t xml:space="preserve">שמות </w:t>
      </w:r>
      <w:proofErr w:type="spellStart"/>
      <w:r>
        <w:rPr>
          <w:rFonts w:hint="cs"/>
          <w:rtl/>
        </w:rPr>
        <w:t>כא</w:t>
      </w:r>
      <w:proofErr w:type="spellEnd"/>
      <w:r>
        <w:rPr>
          <w:rFonts w:hint="cs"/>
          <w:rtl/>
        </w:rPr>
        <w:t>, י.</w:t>
      </w:r>
    </w:p>
  </w:endnote>
  <w:endnote w:id="9">
    <w:p w:rsidR="00934A54" w:rsidRDefault="00934A54" w:rsidP="00934A54">
      <w:pPr>
        <w:pStyle w:val="a3"/>
        <w:rPr>
          <w:rFonts w:hint="cs"/>
          <w:rtl/>
        </w:rPr>
      </w:pPr>
      <w:r>
        <w:rPr>
          <w:rtl/>
        </w:rPr>
        <w:tab/>
      </w:r>
      <w:r w:rsidRPr="00DF60BE">
        <w:rPr>
          <w:rtl/>
        </w:rPr>
        <w:endnoteRef/>
      </w:r>
      <w:r>
        <w:rPr>
          <w:rtl/>
        </w:rPr>
        <w:t>.</w:t>
      </w:r>
      <w:r>
        <w:rPr>
          <w:rtl/>
        </w:rPr>
        <w:tab/>
      </w:r>
      <w:r>
        <w:rPr>
          <w:rFonts w:hint="cs"/>
          <w:rtl/>
        </w:rPr>
        <w:t>שם.</w:t>
      </w:r>
    </w:p>
  </w:endnote>
  <w:endnote w:id="10">
    <w:p w:rsidR="00934A54" w:rsidRDefault="00934A54" w:rsidP="00934A54">
      <w:pPr>
        <w:pStyle w:val="a3"/>
        <w:rPr>
          <w:rFonts w:hint="cs"/>
          <w:rtl/>
        </w:rPr>
      </w:pPr>
      <w:r>
        <w:rPr>
          <w:rtl/>
        </w:rPr>
        <w:tab/>
      </w:r>
      <w:r w:rsidRPr="00DF60BE">
        <w:rPr>
          <w:rtl/>
        </w:rPr>
        <w:endnoteRef/>
      </w:r>
      <w:r>
        <w:rPr>
          <w:rtl/>
        </w:rPr>
        <w:t>.</w:t>
      </w:r>
      <w:r>
        <w:rPr>
          <w:rtl/>
        </w:rPr>
        <w:tab/>
      </w:r>
      <w:r>
        <w:rPr>
          <w:rFonts w:hint="cs"/>
          <w:rtl/>
        </w:rPr>
        <w:t xml:space="preserve">ראה </w:t>
      </w:r>
      <w:proofErr w:type="spellStart"/>
      <w:r>
        <w:rPr>
          <w:rFonts w:hint="cs"/>
          <w:rtl/>
        </w:rPr>
        <w:t>לקוטי</w:t>
      </w:r>
      <w:proofErr w:type="spellEnd"/>
      <w:r>
        <w:rPr>
          <w:rFonts w:hint="cs"/>
          <w:rtl/>
        </w:rPr>
        <w:t xml:space="preserve"> </w:t>
      </w:r>
      <w:proofErr w:type="spellStart"/>
      <w:r>
        <w:rPr>
          <w:rFonts w:hint="cs"/>
          <w:rtl/>
        </w:rPr>
        <w:t>מוהר"ן</w:t>
      </w:r>
      <w:proofErr w:type="spellEnd"/>
      <w:r>
        <w:rPr>
          <w:rFonts w:hint="cs"/>
          <w:rtl/>
        </w:rPr>
        <w:t xml:space="preserve"> סימן יא, ה-ו.</w:t>
      </w:r>
    </w:p>
  </w:endnote>
  <w:endnote w:id="11">
    <w:p w:rsidR="00934A54" w:rsidRDefault="00934A54" w:rsidP="00934A54">
      <w:pPr>
        <w:pStyle w:val="a3"/>
        <w:rPr>
          <w:rFonts w:hint="cs"/>
          <w:rtl/>
        </w:rPr>
      </w:pPr>
      <w:r>
        <w:rPr>
          <w:rtl/>
        </w:rPr>
        <w:tab/>
      </w:r>
      <w:r w:rsidRPr="00DF60BE">
        <w:rPr>
          <w:rtl/>
        </w:rPr>
        <w:endnoteRef/>
      </w:r>
      <w:r>
        <w:rPr>
          <w:rtl/>
        </w:rPr>
        <w:t>.</w:t>
      </w:r>
      <w:r>
        <w:rPr>
          <w:rtl/>
        </w:rPr>
        <w:tab/>
      </w:r>
      <w:r>
        <w:rPr>
          <w:rFonts w:hint="cs"/>
          <w:rtl/>
        </w:rPr>
        <w:t xml:space="preserve">כתובות סב, ב. </w:t>
      </w:r>
      <w:proofErr w:type="spellStart"/>
      <w:r>
        <w:rPr>
          <w:rFonts w:hint="cs"/>
          <w:rtl/>
        </w:rPr>
        <w:t>שו"ע</w:t>
      </w:r>
      <w:proofErr w:type="spellEnd"/>
      <w:r>
        <w:rPr>
          <w:rFonts w:hint="cs"/>
          <w:rtl/>
        </w:rPr>
        <w:t xml:space="preserve"> </w:t>
      </w:r>
      <w:proofErr w:type="spellStart"/>
      <w:r>
        <w:rPr>
          <w:rFonts w:hint="cs"/>
          <w:rtl/>
        </w:rPr>
        <w:t>או"ח</w:t>
      </w:r>
      <w:proofErr w:type="spellEnd"/>
      <w:r>
        <w:rPr>
          <w:rFonts w:hint="cs"/>
          <w:rtl/>
        </w:rPr>
        <w:t xml:space="preserve"> ריש סימנים </w:t>
      </w:r>
      <w:proofErr w:type="spellStart"/>
      <w:r>
        <w:rPr>
          <w:rFonts w:hint="cs"/>
          <w:rtl/>
        </w:rPr>
        <w:t>רמ</w:t>
      </w:r>
      <w:proofErr w:type="spellEnd"/>
      <w:r>
        <w:rPr>
          <w:rFonts w:hint="cs"/>
          <w:rtl/>
        </w:rPr>
        <w:t xml:space="preserve">, </w:t>
      </w:r>
      <w:proofErr w:type="spellStart"/>
      <w:r>
        <w:rPr>
          <w:rFonts w:hint="cs"/>
          <w:rtl/>
        </w:rPr>
        <w:t>רפ</w:t>
      </w:r>
      <w:proofErr w:type="spellEnd"/>
      <w:r>
        <w:rPr>
          <w:rFonts w:hint="cs"/>
          <w:rtl/>
        </w:rPr>
        <w:t>.</w:t>
      </w:r>
    </w:p>
  </w:endnote>
  <w:endnote w:id="12">
    <w:p w:rsidR="00934A54" w:rsidRDefault="00934A54" w:rsidP="00934A54">
      <w:pPr>
        <w:pStyle w:val="a3"/>
        <w:rPr>
          <w:rFonts w:hint="cs"/>
        </w:rPr>
      </w:pPr>
      <w:r>
        <w:rPr>
          <w:rtl/>
        </w:rPr>
        <w:tab/>
      </w:r>
      <w:r w:rsidRPr="00DF60BE">
        <w:rPr>
          <w:rtl/>
        </w:rPr>
        <w:endnoteRef/>
      </w:r>
      <w:r>
        <w:rPr>
          <w:rtl/>
        </w:rPr>
        <w:t>.</w:t>
      </w:r>
      <w:r>
        <w:rPr>
          <w:rtl/>
        </w:rPr>
        <w:tab/>
      </w:r>
      <w:r>
        <w:rPr>
          <w:rFonts w:hint="cs"/>
          <w:rtl/>
        </w:rPr>
        <w:t>ראה גם שכינה ביניהם פ"ז.</w:t>
      </w:r>
    </w:p>
  </w:endnote>
  <w:endnote w:id="13">
    <w:p w:rsidR="00934A54" w:rsidRDefault="00934A54" w:rsidP="00934A54">
      <w:pPr>
        <w:pStyle w:val="a3"/>
        <w:rPr>
          <w:rFonts w:hint="cs"/>
        </w:rPr>
      </w:pPr>
      <w:r>
        <w:rPr>
          <w:rtl/>
        </w:rPr>
        <w:tab/>
      </w:r>
      <w:r w:rsidRPr="00DF60BE">
        <w:rPr>
          <w:rtl/>
        </w:rPr>
        <w:endnoteRef/>
      </w:r>
      <w:r>
        <w:rPr>
          <w:rtl/>
        </w:rPr>
        <w:t>.</w:t>
      </w:r>
      <w:r>
        <w:rPr>
          <w:rtl/>
        </w:rPr>
        <w:tab/>
      </w:r>
      <w:r>
        <w:rPr>
          <w:rFonts w:hint="cs"/>
          <w:rtl/>
        </w:rPr>
        <w:t xml:space="preserve">ויקרא </w:t>
      </w:r>
      <w:proofErr w:type="spellStart"/>
      <w:r>
        <w:rPr>
          <w:rFonts w:hint="cs"/>
          <w:rtl/>
        </w:rPr>
        <w:t>כג</w:t>
      </w:r>
      <w:proofErr w:type="spellEnd"/>
      <w:r>
        <w:rPr>
          <w:rFonts w:hint="cs"/>
          <w:rtl/>
        </w:rPr>
        <w:t xml:space="preserve">, </w:t>
      </w:r>
      <w:proofErr w:type="spellStart"/>
      <w:r>
        <w:rPr>
          <w:rFonts w:hint="cs"/>
          <w:rtl/>
        </w:rPr>
        <w:t>כא</w:t>
      </w:r>
      <w:proofErr w:type="spellEnd"/>
      <w:r>
        <w:rPr>
          <w:rFonts w:hint="cs"/>
          <w:rtl/>
        </w:rPr>
        <w:t xml:space="preserve"> ועוד.</w:t>
      </w:r>
    </w:p>
  </w:endnote>
  <w:endnote w:id="14">
    <w:p w:rsidR="00934A54" w:rsidRDefault="00934A54" w:rsidP="00934A54">
      <w:pPr>
        <w:pStyle w:val="a3"/>
        <w:rPr>
          <w:rFonts w:hint="cs"/>
          <w:rtl/>
        </w:rPr>
      </w:pPr>
      <w:r>
        <w:rPr>
          <w:rtl/>
        </w:rPr>
        <w:tab/>
      </w:r>
      <w:r w:rsidRPr="00DF60BE">
        <w:rPr>
          <w:rtl/>
        </w:rPr>
        <w:endnoteRef/>
      </w:r>
      <w:r>
        <w:rPr>
          <w:rtl/>
        </w:rPr>
        <w:t>.</w:t>
      </w:r>
      <w:r>
        <w:rPr>
          <w:rtl/>
        </w:rPr>
        <w:tab/>
      </w:r>
      <w:r>
        <w:rPr>
          <w:rFonts w:hint="cs"/>
          <w:rtl/>
        </w:rPr>
        <w:t>וראה בארוכה בתורות הבאות.</w:t>
      </w:r>
    </w:p>
  </w:endnote>
  <w:endnote w:id="15">
    <w:p w:rsidR="00934A54" w:rsidRDefault="00934A54" w:rsidP="00934A54">
      <w:pPr>
        <w:pStyle w:val="a3"/>
        <w:rPr>
          <w:rFonts w:hint="cs"/>
          <w:rtl/>
        </w:rPr>
      </w:pPr>
      <w:r>
        <w:rPr>
          <w:rtl/>
        </w:rPr>
        <w:tab/>
      </w:r>
      <w:r w:rsidRPr="00DF60BE">
        <w:rPr>
          <w:rtl/>
        </w:rPr>
        <w:endnoteRef/>
      </w:r>
      <w:r>
        <w:rPr>
          <w:rtl/>
        </w:rPr>
        <w:t>.</w:t>
      </w:r>
      <w:r>
        <w:rPr>
          <w:rtl/>
        </w:rPr>
        <w:tab/>
      </w:r>
      <w:r>
        <w:rPr>
          <w:rFonts w:hint="cs"/>
          <w:rtl/>
        </w:rPr>
        <w:t>תניא ריש פרק יד.</w:t>
      </w:r>
    </w:p>
  </w:endnote>
  <w:endnote w:id="16">
    <w:p w:rsidR="00934A54" w:rsidRDefault="00934A54" w:rsidP="00934A54">
      <w:pPr>
        <w:pStyle w:val="a3"/>
        <w:rPr>
          <w:rFonts w:hint="cs"/>
          <w:rtl/>
        </w:rPr>
      </w:pPr>
      <w:r>
        <w:rPr>
          <w:rtl/>
        </w:rPr>
        <w:tab/>
      </w:r>
      <w:r w:rsidRPr="00DF60BE">
        <w:rPr>
          <w:rtl/>
        </w:rPr>
        <w:endnoteRef/>
      </w:r>
      <w:r>
        <w:rPr>
          <w:rtl/>
        </w:rPr>
        <w:t>.</w:t>
      </w:r>
      <w:r>
        <w:rPr>
          <w:rtl/>
        </w:rPr>
        <w:tab/>
      </w:r>
      <w:r>
        <w:rPr>
          <w:rFonts w:hint="cs"/>
          <w:rtl/>
        </w:rPr>
        <w:t xml:space="preserve">שמע שלמה חלק הסיפורים סיפור נח (עמ' צו בהוצאת ירושלים תשט"ז), וראה כתובות סב, א </w:t>
      </w:r>
      <w:r>
        <w:rPr>
          <w:rtl/>
        </w:rPr>
        <w:t>–</w:t>
      </w:r>
      <w:r>
        <w:rPr>
          <w:rFonts w:hint="cs"/>
          <w:rtl/>
        </w:rPr>
        <w:t xml:space="preserve"> </w:t>
      </w:r>
      <w:proofErr w:type="spellStart"/>
      <w:r>
        <w:rPr>
          <w:rFonts w:hint="cs"/>
          <w:rtl/>
        </w:rPr>
        <w:t>כנסמן</w:t>
      </w:r>
      <w:proofErr w:type="spellEnd"/>
      <w:r>
        <w:rPr>
          <w:rFonts w:hint="cs"/>
          <w:rtl/>
        </w:rPr>
        <w:t xml:space="preserve"> שם בשמע שלמה.</w:t>
      </w:r>
    </w:p>
  </w:endnote>
  <w:endnote w:id="17">
    <w:p w:rsidR="00934A54" w:rsidRDefault="00934A54" w:rsidP="00934A54">
      <w:pPr>
        <w:pStyle w:val="a3"/>
        <w:rPr>
          <w:rFonts w:hint="cs"/>
        </w:rPr>
      </w:pPr>
      <w:r>
        <w:rPr>
          <w:rtl/>
        </w:rPr>
        <w:tab/>
      </w:r>
      <w:r w:rsidRPr="00DF60BE">
        <w:rPr>
          <w:rtl/>
        </w:rPr>
        <w:endnoteRef/>
      </w:r>
      <w:r>
        <w:rPr>
          <w:rtl/>
        </w:rPr>
        <w:t>.</w:t>
      </w:r>
      <w:r>
        <w:rPr>
          <w:rtl/>
        </w:rPr>
        <w:tab/>
      </w:r>
      <w:r>
        <w:rPr>
          <w:rFonts w:hint="cs"/>
          <w:rtl/>
        </w:rPr>
        <w:t>כתובות פ"ה מ"ו.</w:t>
      </w:r>
    </w:p>
  </w:endnote>
  <w:endnote w:id="18">
    <w:p w:rsidR="00934A54" w:rsidRDefault="00934A54" w:rsidP="00934A54">
      <w:pPr>
        <w:pStyle w:val="a3"/>
        <w:rPr>
          <w:rFonts w:hint="cs"/>
          <w:rtl/>
        </w:rPr>
      </w:pPr>
      <w:r>
        <w:rPr>
          <w:rtl/>
        </w:rPr>
        <w:tab/>
      </w:r>
      <w:r w:rsidRPr="00DF60BE">
        <w:rPr>
          <w:rtl/>
        </w:rPr>
        <w:endnoteRef/>
      </w:r>
      <w:r>
        <w:rPr>
          <w:rtl/>
        </w:rPr>
        <w:t>.</w:t>
      </w:r>
      <w:r>
        <w:rPr>
          <w:rtl/>
        </w:rPr>
        <w:tab/>
      </w:r>
      <w:r>
        <w:rPr>
          <w:rFonts w:hint="cs"/>
          <w:rtl/>
        </w:rPr>
        <w:t xml:space="preserve">תהלים </w:t>
      </w:r>
      <w:proofErr w:type="spellStart"/>
      <w:r>
        <w:rPr>
          <w:rFonts w:hint="cs"/>
          <w:rtl/>
        </w:rPr>
        <w:t>טז</w:t>
      </w:r>
      <w:proofErr w:type="spellEnd"/>
      <w:r>
        <w:rPr>
          <w:rFonts w:hint="cs"/>
          <w:rtl/>
        </w:rPr>
        <w:t xml:space="preserve">, ח (ועיין במקורות שבהערה </w:t>
      </w:r>
      <w:r>
        <w:rPr>
          <w:rtl/>
        </w:rPr>
        <w:fldChar w:fldCharType="begin"/>
      </w:r>
      <w:r>
        <w:rPr>
          <w:rtl/>
        </w:rPr>
        <w:instrText xml:space="preserve"> </w:instrText>
      </w:r>
      <w:r>
        <w:rPr>
          <w:rFonts w:hint="cs"/>
        </w:rPr>
        <w:instrText>NOTEREF</w:instrText>
      </w:r>
      <w:r>
        <w:rPr>
          <w:rFonts w:hint="cs"/>
          <w:rtl/>
        </w:rPr>
        <w:instrText xml:space="preserve"> _</w:instrText>
      </w:r>
      <w:r>
        <w:rPr>
          <w:rFonts w:hint="cs"/>
        </w:rPr>
        <w:instrText>Ref129164307 \h</w:instrText>
      </w:r>
      <w:r>
        <w:rPr>
          <w:rtl/>
        </w:rPr>
        <w:instrText xml:space="preserve"> </w:instrText>
      </w:r>
      <w:r>
        <w:rPr>
          <w:rtl/>
        </w:rPr>
        <w:fldChar w:fldCharType="separate"/>
      </w:r>
      <w:proofErr w:type="spellStart"/>
      <w:r>
        <w:rPr>
          <w:rtl/>
        </w:rPr>
        <w:t>טז</w:t>
      </w:r>
      <w:proofErr w:type="spellEnd"/>
      <w:r>
        <w:rPr>
          <w:rtl/>
        </w:rPr>
        <w:fldChar w:fldCharType="end"/>
      </w:r>
      <w:r>
        <w:rPr>
          <w:rFonts w:hint="cs"/>
          <w:rtl/>
        </w:rPr>
        <w:t>).</w:t>
      </w:r>
    </w:p>
  </w:endnote>
  <w:endnote w:id="19">
    <w:p w:rsidR="00934A54" w:rsidRDefault="00934A54" w:rsidP="00934A54">
      <w:pPr>
        <w:pStyle w:val="a3"/>
        <w:rPr>
          <w:rFonts w:hint="cs"/>
          <w:rtl/>
        </w:rPr>
      </w:pPr>
      <w:r>
        <w:rPr>
          <w:rtl/>
        </w:rPr>
        <w:tab/>
      </w:r>
      <w:r w:rsidRPr="00DF60BE">
        <w:rPr>
          <w:rtl/>
        </w:rPr>
        <w:endnoteRef/>
      </w:r>
      <w:r>
        <w:rPr>
          <w:rtl/>
        </w:rPr>
        <w:t>.</w:t>
      </w:r>
      <w:r>
        <w:rPr>
          <w:rtl/>
        </w:rPr>
        <w:tab/>
      </w:r>
      <w:r>
        <w:rPr>
          <w:rFonts w:hint="cs"/>
          <w:rtl/>
        </w:rPr>
        <w:t xml:space="preserve">על פי חתן עם הכלה ביאור קי (בעיקר עמ' </w:t>
      </w:r>
      <w:proofErr w:type="spellStart"/>
      <w:r>
        <w:rPr>
          <w:rFonts w:hint="cs"/>
          <w:rtl/>
        </w:rPr>
        <w:t>רכג-רכד</w:t>
      </w:r>
      <w:proofErr w:type="spellEnd"/>
      <w:r>
        <w:rPr>
          <w:rFonts w:hint="cs"/>
          <w:rt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6F6" w:rsidRDefault="005366F6" w:rsidP="00934A54">
      <w:pPr>
        <w:spacing w:after="0" w:line="240" w:lineRule="auto"/>
      </w:pPr>
      <w:r>
        <w:separator/>
      </w:r>
    </w:p>
  </w:footnote>
  <w:footnote w:type="continuationSeparator" w:id="0">
    <w:p w:rsidR="005366F6" w:rsidRDefault="005366F6" w:rsidP="00934A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F69"/>
    <w:rsid w:val="00061E65"/>
    <w:rsid w:val="00097F69"/>
    <w:rsid w:val="005366F6"/>
    <w:rsid w:val="00934A54"/>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934A54"/>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934A54"/>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934A54"/>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934A54"/>
    <w:pPr>
      <w:tabs>
        <w:tab w:val="right" w:pos="171"/>
        <w:tab w:val="left" w:pos="268"/>
      </w:tabs>
      <w:spacing w:after="20" w:line="240" w:lineRule="exact"/>
      <w:ind w:left="266" w:hanging="266"/>
    </w:pPr>
    <w:rPr>
      <w:sz w:val="20"/>
      <w:szCs w:val="20"/>
    </w:rPr>
  </w:style>
  <w:style w:type="character" w:customStyle="1" w:styleId="a4">
    <w:name w:val="טקסט הערת סיום תו"/>
    <w:basedOn w:val="a0"/>
    <w:link w:val="a3"/>
    <w:semiHidden/>
    <w:rsid w:val="00934A54"/>
    <w:rPr>
      <w:rFonts w:ascii="Times New Roman" w:eastAsia="Times New Roman" w:hAnsi="Times New Roman" w:cs="FrankRuehl"/>
      <w:sz w:val="20"/>
      <w:szCs w:val="20"/>
      <w:lang w:eastAsia="he-IL"/>
    </w:rPr>
  </w:style>
  <w:style w:type="character" w:styleId="a5">
    <w:name w:val="endnote reference"/>
    <w:aliases w:val="Endnote Reference"/>
    <w:basedOn w:val="a6"/>
    <w:semiHidden/>
    <w:rsid w:val="00934A54"/>
    <w:rPr>
      <w:noProof/>
      <w:position w:val="-4"/>
      <w:szCs w:val="27"/>
      <w:vertAlign w:val="superscript"/>
    </w:rPr>
  </w:style>
  <w:style w:type="paragraph" w:customStyle="1" w:styleId="a7">
    <w:name w:val="פתיח תו"/>
    <w:basedOn w:val="a"/>
    <w:link w:val="a8"/>
    <w:rsid w:val="00934A54"/>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934A54"/>
    <w:rPr>
      <w:rFonts w:ascii="Times New Roman" w:eastAsia="Times New Roman" w:hAnsi="Times New Roman" w:cs="Guttman Soncino"/>
      <w:b/>
      <w:bCs/>
      <w:color w:val="808080"/>
      <w:position w:val="-5"/>
      <w:sz w:val="85"/>
      <w:szCs w:val="85"/>
      <w:lang w:eastAsia="he-IL"/>
    </w:rPr>
  </w:style>
  <w:style w:type="character" w:styleId="a6">
    <w:name w:val="footnote reference"/>
    <w:basedOn w:val="a0"/>
    <w:uiPriority w:val="99"/>
    <w:semiHidden/>
    <w:unhideWhenUsed/>
    <w:rsid w:val="00934A5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934A54"/>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934A54"/>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934A54"/>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934A54"/>
    <w:pPr>
      <w:tabs>
        <w:tab w:val="right" w:pos="171"/>
        <w:tab w:val="left" w:pos="268"/>
      </w:tabs>
      <w:spacing w:after="20" w:line="240" w:lineRule="exact"/>
      <w:ind w:left="266" w:hanging="266"/>
    </w:pPr>
    <w:rPr>
      <w:sz w:val="20"/>
      <w:szCs w:val="20"/>
    </w:rPr>
  </w:style>
  <w:style w:type="character" w:customStyle="1" w:styleId="a4">
    <w:name w:val="טקסט הערת סיום תו"/>
    <w:basedOn w:val="a0"/>
    <w:link w:val="a3"/>
    <w:semiHidden/>
    <w:rsid w:val="00934A54"/>
    <w:rPr>
      <w:rFonts w:ascii="Times New Roman" w:eastAsia="Times New Roman" w:hAnsi="Times New Roman" w:cs="FrankRuehl"/>
      <w:sz w:val="20"/>
      <w:szCs w:val="20"/>
      <w:lang w:eastAsia="he-IL"/>
    </w:rPr>
  </w:style>
  <w:style w:type="character" w:styleId="a5">
    <w:name w:val="endnote reference"/>
    <w:aliases w:val="Endnote Reference"/>
    <w:basedOn w:val="a6"/>
    <w:semiHidden/>
    <w:rsid w:val="00934A54"/>
    <w:rPr>
      <w:noProof/>
      <w:position w:val="-4"/>
      <w:szCs w:val="27"/>
      <w:vertAlign w:val="superscript"/>
    </w:rPr>
  </w:style>
  <w:style w:type="paragraph" w:customStyle="1" w:styleId="a7">
    <w:name w:val="פתיח תו"/>
    <w:basedOn w:val="a"/>
    <w:link w:val="a8"/>
    <w:rsid w:val="00934A54"/>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934A54"/>
    <w:rPr>
      <w:rFonts w:ascii="Times New Roman" w:eastAsia="Times New Roman" w:hAnsi="Times New Roman" w:cs="Guttman Soncino"/>
      <w:b/>
      <w:bCs/>
      <w:color w:val="808080"/>
      <w:position w:val="-5"/>
      <w:sz w:val="85"/>
      <w:szCs w:val="85"/>
      <w:lang w:eastAsia="he-IL"/>
    </w:rPr>
  </w:style>
  <w:style w:type="character" w:styleId="a6">
    <w:name w:val="footnote reference"/>
    <w:basedOn w:val="a0"/>
    <w:uiPriority w:val="99"/>
    <w:semiHidden/>
    <w:unhideWhenUsed/>
    <w:rsid w:val="00934A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89;\&#1513;&#1506;&#1512;%20&#1513;&#1513;&#1497;%20&#1493;&#1513;&#1502;&#1512;&#1493;%20&#1489;&#1504;&#1497;%20&#1497;&#1513;&#1512;&#1488;&#1500;%20&#1488;&#1514;%20&#1492;&#1513;&#1489;&#1514;\&#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610</Words>
  <Characters>3051</Characters>
  <Application>Microsoft Office Word</Application>
  <DocSecurity>0</DocSecurity>
  <Lines>25</Lines>
  <Paragraphs>7</Paragraphs>
  <ScaleCrop>false</ScaleCrop>
  <Company/>
  <LinksUpToDate>false</LinksUpToDate>
  <CharactersWithSpaces>3654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2017-08-14T21:49:00Z</dcterms:created>
  <dcterms:modified xsi:type="dcterms:W3CDTF">2017-08-14T21:49:00Z</dcterms:modified>
</cp:coreProperties>
</file>