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DEE" w:rsidRDefault="00D55DEE" w:rsidP="00D55DEE">
      <w:pPr>
        <w:pStyle w:val="2"/>
        <w:rPr>
          <w:rFonts w:hint="cs"/>
          <w:sz w:val="24"/>
          <w:rtl/>
        </w:rPr>
      </w:pPr>
      <w:bookmarkStart w:id="0" w:name="_Toc130537248"/>
      <w:bookmarkStart w:id="1" w:name="_Ref130537631"/>
      <w:r>
        <w:rPr>
          <w:w w:val="100"/>
          <w:sz w:val="24"/>
          <w:rtl/>
        </w:rPr>
        <w:drawing>
          <wp:anchor distT="0" distB="0" distL="114300" distR="114300" simplePos="0" relativeHeight="251659264" behindDoc="1" locked="0" layoutInCell="1" allowOverlap="1">
            <wp:simplePos x="0" y="0"/>
            <wp:positionH relativeFrom="column">
              <wp:posOffset>2686050</wp:posOffset>
            </wp:positionH>
            <wp:positionV relativeFrom="paragraph">
              <wp:posOffset>656590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sz w:val="24"/>
          <w:rtl/>
        </w:rPr>
        <w:t>"לב טהור ברא לי אלהים"</w:t>
      </w:r>
      <w:bookmarkEnd w:id="0"/>
      <w:bookmarkEnd w:id="1"/>
    </w:p>
    <w:p w:rsidR="00D55DEE" w:rsidRPr="00DE003D" w:rsidRDefault="00D55DEE" w:rsidP="00D55DEE">
      <w:pPr>
        <w:keepNext/>
        <w:framePr w:dropCap="drop" w:lines="2" w:hSpace="57" w:wrap="around" w:vAnchor="text" w:hAnchor="text" w:xAlign="right"/>
        <w:spacing w:after="0" w:line="760" w:lineRule="exact"/>
        <w:textAlignment w:val="baseline"/>
        <w:rPr>
          <w:rStyle w:val="a9"/>
          <w:rtl/>
        </w:rPr>
      </w:pPr>
      <w:r w:rsidRPr="00DE003D">
        <w:rPr>
          <w:rStyle w:val="a9"/>
          <w:rFonts w:hint="cs"/>
          <w:rtl/>
        </w:rPr>
        <w:t>א</w:t>
      </w:r>
    </w:p>
    <w:p w:rsidR="00D55DEE" w:rsidRDefault="00D55DEE" w:rsidP="00D55DEE">
      <w:pPr>
        <w:rPr>
          <w:rFonts w:hint="cs"/>
          <w:rtl/>
        </w:rPr>
      </w:pPr>
      <w:r>
        <w:rPr>
          <w:rFonts w:hint="cs"/>
          <w:rtl/>
        </w:rPr>
        <w:t>מרו חז"ל כי עונתם של תלמידי חכמים "מערב שבת לערב שבת"</w:t>
      </w:r>
      <w:r w:rsidRPr="00E838EB">
        <w:rPr>
          <w:rStyle w:val="a6"/>
          <w:rtl/>
        </w:rPr>
        <w:endnoteReference w:id="1"/>
      </w:r>
      <w:r>
        <w:rPr>
          <w:rFonts w:hint="cs"/>
          <w:rtl/>
        </w:rPr>
        <w:t xml:space="preserve">, וכי על הזוכה בכך נאמר "אשר פריו </w:t>
      </w:r>
      <w:proofErr w:type="spellStart"/>
      <w:r>
        <w:rPr>
          <w:rFonts w:hint="cs"/>
          <w:rtl/>
        </w:rPr>
        <w:t>יתן</w:t>
      </w:r>
      <w:proofErr w:type="spellEnd"/>
      <w:r>
        <w:rPr>
          <w:rFonts w:hint="cs"/>
          <w:rtl/>
        </w:rPr>
        <w:t xml:space="preserve"> בעתו"</w:t>
      </w:r>
      <w:r w:rsidRPr="00E838EB">
        <w:rPr>
          <w:rStyle w:val="a6"/>
          <w:rtl/>
        </w:rPr>
        <w:endnoteReference w:id="2"/>
      </w:r>
      <w:r>
        <w:rPr>
          <w:rFonts w:hint="cs"/>
          <w:rtl/>
        </w:rPr>
        <w:t>. על פי הקבלה נראה כי הדברים חמורים עוד יותר, ויש מעלה וחשיבות מיוחדת בכך שהזיווג יתקיים רק בשבת, ולא בימי החול. למרות כל זאת, כבר כתב אחד האחרונים</w:t>
      </w:r>
      <w:r w:rsidRPr="00E838EB">
        <w:rPr>
          <w:rStyle w:val="a6"/>
          <w:rtl/>
        </w:rPr>
        <w:endnoteReference w:id="3"/>
      </w:r>
      <w:r>
        <w:rPr>
          <w:rFonts w:hint="cs"/>
          <w:rtl/>
        </w:rPr>
        <w:t xml:space="preserve"> "אך משום פריצת הדור וקנאת ירך חברתה אני מורגל לומר לכל הסובבים אלי לקיים עונת פועלים שתים בשבת </w:t>
      </w:r>
      <w:proofErr w:type="spellStart"/>
      <w:r>
        <w:rPr>
          <w:rFonts w:hint="cs"/>
          <w:rtl/>
        </w:rPr>
        <w:t>כו</w:t>
      </w:r>
      <w:proofErr w:type="spellEnd"/>
      <w:r>
        <w:rPr>
          <w:rFonts w:hint="cs"/>
          <w:rtl/>
        </w:rPr>
        <w:t>'", ודבריו הובאו להלכה אצל פוסקי דורנו</w:t>
      </w:r>
      <w:r w:rsidRPr="00E838EB">
        <w:rPr>
          <w:rStyle w:val="a6"/>
          <w:rtl/>
        </w:rPr>
        <w:endnoteReference w:id="4"/>
      </w:r>
      <w:r>
        <w:rPr>
          <w:rFonts w:hint="cs"/>
          <w:rtl/>
        </w:rPr>
        <w:t xml:space="preserve">. אך אם אצל הפוסקים ניתן להבין כי "פריצת הדור וקנאת ירך חברתה" היינו שינוי </w:t>
      </w:r>
      <w:proofErr w:type="spellStart"/>
      <w:r>
        <w:rPr>
          <w:rFonts w:hint="cs"/>
          <w:rtl/>
        </w:rPr>
        <w:t>באוירה</w:t>
      </w:r>
      <w:proofErr w:type="spellEnd"/>
      <w:r>
        <w:rPr>
          <w:rFonts w:hint="cs"/>
          <w:rtl/>
        </w:rPr>
        <w:t xml:space="preserve"> החברתית, הגורמת לאשה להשתוקק ליותר קרבה ומטילה בכך יותר חיוב על האיש, הרי שבא הרבי </w:t>
      </w:r>
      <w:proofErr w:type="spellStart"/>
      <w:r>
        <w:rPr>
          <w:rFonts w:hint="cs"/>
          <w:rtl/>
        </w:rPr>
        <w:t>מליובאוויטש</w:t>
      </w:r>
      <w:proofErr w:type="spellEnd"/>
      <w:r w:rsidRPr="00E838EB">
        <w:rPr>
          <w:rStyle w:val="a6"/>
          <w:rtl/>
        </w:rPr>
        <w:endnoteReference w:id="5"/>
      </w:r>
      <w:r>
        <w:rPr>
          <w:rFonts w:hint="cs"/>
          <w:rtl/>
        </w:rPr>
        <w:t xml:space="preserve"> ומדגיש כי עונת שבת בלבד שייכת לבעלי מדרגה וכיו"ב, וככלל בדורנו, דור יתום, ראוי "לפרוש מהפרישות" שעלולה להביא לעוונות חמורים של הוצאת שכבת זרע לבטלה ר"ל</w:t>
      </w:r>
      <w:r w:rsidRPr="00E838EB">
        <w:rPr>
          <w:rStyle w:val="a6"/>
          <w:rtl/>
        </w:rPr>
        <w:endnoteReference w:id="6"/>
      </w:r>
      <w:r>
        <w:rPr>
          <w:rFonts w:hint="cs"/>
          <w:rtl/>
        </w:rPr>
        <w:t>.</w:t>
      </w:r>
    </w:p>
    <w:p w:rsidR="00D55DEE" w:rsidRDefault="00D55DEE" w:rsidP="00D55DEE">
      <w:pPr>
        <w:rPr>
          <w:rFonts w:hint="cs"/>
          <w:rtl/>
        </w:rPr>
      </w:pPr>
      <w:r>
        <w:rPr>
          <w:rFonts w:hint="cs"/>
          <w:rtl/>
        </w:rPr>
        <w:t>לכאורה, ניתן היה לחשוב כי התשובה ל"פריצת הדור" היא דווקא הגברת הפרישות, אך מתברר כי הדבר עלול רק להגביר את הפריצות ואת פגם הברית. לפי זה, כוונה בסיסית של זיווג בימות החול היא תיקון פגם הברית. תיקון פגם הברית הוא בעבודת "קדש עצמך במותר לך"</w:t>
      </w:r>
      <w:r w:rsidRPr="00E838EB">
        <w:rPr>
          <w:rStyle w:val="a6"/>
          <w:rtl/>
        </w:rPr>
        <w:endnoteReference w:id="7"/>
      </w:r>
      <w:r>
        <w:rPr>
          <w:rFonts w:hint="cs"/>
          <w:rtl/>
        </w:rPr>
        <w:t xml:space="preserve">. בפשטות, ניתן להבין עבודה זו כפרישות מהמותר, אך באה החסידות ולמדה כי על האדם לקדש את עצמו תוך כדי עיסוקו בתחומי המותר, וגם כאן נלמד כי תיקון הברית הוא תוך כדי כוונה נכונה וקדושה בזיווג המותר. בשבת אין האדם עוסק בתשובה על חטאיו ובתיקון פגם הברית, וגם הזיווג עצמו איננו בגדר "מותר", אלא הוא חובה ומצוה. רק בימות החול עוסק האדם בתשובה ובתיקון פגם הברית, ורק אז יש לו זיווגי היתר </w:t>
      </w:r>
      <w:r>
        <w:rPr>
          <w:rtl/>
        </w:rPr>
        <w:t>–</w:t>
      </w:r>
      <w:r>
        <w:rPr>
          <w:rFonts w:hint="cs"/>
          <w:rtl/>
        </w:rPr>
        <w:t xml:space="preserve"> ולא מצוה </w:t>
      </w:r>
      <w:r>
        <w:rPr>
          <w:rtl/>
        </w:rPr>
        <w:t>–</w:t>
      </w:r>
      <w:r>
        <w:rPr>
          <w:rFonts w:hint="cs"/>
          <w:rtl/>
        </w:rPr>
        <w:t xml:space="preserve"> בהם יכול הוא לקדש את עצמו.</w:t>
      </w:r>
    </w:p>
    <w:p w:rsidR="00D55DEE" w:rsidRDefault="00D55DEE" w:rsidP="00D55DEE">
      <w:pPr>
        <w:rPr>
          <w:rFonts w:hint="cs"/>
          <w:rtl/>
        </w:rPr>
      </w:pPr>
      <w:r>
        <w:rPr>
          <w:rFonts w:hint="cs"/>
          <w:rtl/>
        </w:rPr>
        <w:t>ונפרט יותר: חז"ל אמרו כי "מיום שחרב בית המקדש ניטלה טעם ביאה וניתנה לעוברי עבירה, שנאמר 'מים גנובים ימתקו ולחם סתרים ינעם'</w:t>
      </w:r>
      <w:r w:rsidRPr="00E838EB">
        <w:rPr>
          <w:rStyle w:val="a6"/>
          <w:rtl/>
        </w:rPr>
        <w:endnoteReference w:id="8"/>
      </w:r>
      <w:r>
        <w:rPr>
          <w:rFonts w:hint="cs"/>
          <w:rtl/>
        </w:rPr>
        <w:t>"</w:t>
      </w:r>
      <w:r w:rsidRPr="00E838EB">
        <w:rPr>
          <w:rStyle w:val="a6"/>
          <w:rtl/>
        </w:rPr>
        <w:endnoteReference w:id="9"/>
      </w:r>
      <w:r>
        <w:rPr>
          <w:rFonts w:hint="cs"/>
          <w:rtl/>
        </w:rPr>
        <w:t xml:space="preserve">. תחושת ה"מים גנובים", המעניקה "טעם ביאה" בזמן הזה, מורגשת גם בזיווג של ימי החול, כאשר הוא בא מתוך חשק גשמי של בני הזוג. כאשר מצליחים להמשיך כוונה נכונה לזיווג של ימות החול, יש בכך תיקון ל"טעם ביאה" שניתן לנואפים </w:t>
      </w:r>
      <w:r>
        <w:rPr>
          <w:rtl/>
        </w:rPr>
        <w:t>–</w:t>
      </w:r>
      <w:r>
        <w:rPr>
          <w:rFonts w:hint="cs"/>
          <w:rtl/>
        </w:rPr>
        <w:t xml:space="preserve"> </w:t>
      </w:r>
      <w:r w:rsidRPr="00EC6CF9">
        <w:rPr>
          <w:rFonts w:hint="cs"/>
          <w:b/>
          <w:bCs/>
          <w:sz w:val="28"/>
          <w:szCs w:val="28"/>
          <w:rtl/>
        </w:rPr>
        <w:t>טעם</w:t>
      </w:r>
      <w:r>
        <w:rPr>
          <w:rFonts w:hint="cs"/>
          <w:rtl/>
        </w:rPr>
        <w:t xml:space="preserve"> </w:t>
      </w:r>
      <w:r w:rsidRPr="00EC6CF9">
        <w:rPr>
          <w:rFonts w:hint="cs"/>
          <w:b/>
          <w:bCs/>
          <w:sz w:val="28"/>
          <w:szCs w:val="28"/>
          <w:rtl/>
        </w:rPr>
        <w:t>ביאה</w:t>
      </w:r>
      <w:r>
        <w:rPr>
          <w:rFonts w:hint="cs"/>
          <w:rtl/>
        </w:rPr>
        <w:t xml:space="preserve"> עולה </w:t>
      </w:r>
      <w:proofErr w:type="spellStart"/>
      <w:r>
        <w:rPr>
          <w:rFonts w:hint="cs"/>
          <w:rtl/>
        </w:rPr>
        <w:t>בגימטריא</w:t>
      </w:r>
      <w:proofErr w:type="spellEnd"/>
      <w:r>
        <w:rPr>
          <w:rFonts w:hint="cs"/>
          <w:rtl/>
        </w:rPr>
        <w:t xml:space="preserve"> </w:t>
      </w:r>
      <w:proofErr w:type="spellStart"/>
      <w:r w:rsidRPr="00EC6CF9">
        <w:rPr>
          <w:rFonts w:hint="cs"/>
          <w:b/>
          <w:bCs/>
          <w:sz w:val="28"/>
          <w:szCs w:val="28"/>
          <w:rtl/>
        </w:rPr>
        <w:t>נאוף</w:t>
      </w:r>
      <w:proofErr w:type="spellEnd"/>
      <w:r>
        <w:rPr>
          <w:rFonts w:hint="cs"/>
          <w:rtl/>
        </w:rPr>
        <w:t>, אך הכוונה הנכונה שמלמדת תורת ה</w:t>
      </w:r>
      <w:r w:rsidRPr="00EC6CF9">
        <w:rPr>
          <w:rFonts w:hint="cs"/>
          <w:b/>
          <w:bCs/>
          <w:sz w:val="28"/>
          <w:szCs w:val="28"/>
          <w:rtl/>
        </w:rPr>
        <w:t>קבלה</w:t>
      </w:r>
      <w:r>
        <w:rPr>
          <w:rFonts w:hint="cs"/>
          <w:rtl/>
        </w:rPr>
        <w:t xml:space="preserve"> יכולה לתקן זאת</w:t>
      </w:r>
      <w:r w:rsidRPr="00E838EB">
        <w:rPr>
          <w:rStyle w:val="a6"/>
          <w:rtl/>
        </w:rPr>
        <w:endnoteReference w:id="10"/>
      </w:r>
      <w:r>
        <w:rPr>
          <w:rFonts w:hint="cs"/>
          <w:rtl/>
        </w:rPr>
        <w:t>. עיקר החידוש בזיווגי יום חול הוא הדגשת ממד השמחה בזיווג</w:t>
      </w:r>
      <w:r w:rsidRPr="00E838EB">
        <w:rPr>
          <w:rStyle w:val="a6"/>
          <w:rtl/>
        </w:rPr>
        <w:endnoteReference w:id="11"/>
      </w:r>
      <w:r>
        <w:rPr>
          <w:rFonts w:hint="cs"/>
          <w:rtl/>
        </w:rPr>
        <w:t xml:space="preserve"> </w:t>
      </w:r>
      <w:r>
        <w:rPr>
          <w:rtl/>
        </w:rPr>
        <w:t>–</w:t>
      </w:r>
      <w:r>
        <w:rPr>
          <w:rFonts w:hint="cs"/>
          <w:rtl/>
        </w:rPr>
        <w:t xml:space="preserve"> </w:t>
      </w:r>
      <w:r w:rsidRPr="00EC6CF9">
        <w:rPr>
          <w:rFonts w:hint="cs"/>
          <w:b/>
          <w:bCs/>
          <w:sz w:val="28"/>
          <w:szCs w:val="28"/>
          <w:rtl/>
        </w:rPr>
        <w:t>שמחה</w:t>
      </w:r>
      <w:r>
        <w:rPr>
          <w:rFonts w:hint="cs"/>
          <w:rtl/>
        </w:rPr>
        <w:t xml:space="preserve"> זו מתקנת את הפגם של </w:t>
      </w:r>
      <w:r w:rsidRPr="00EC6CF9">
        <w:rPr>
          <w:rFonts w:hint="cs"/>
          <w:b/>
          <w:bCs/>
          <w:sz w:val="28"/>
          <w:szCs w:val="28"/>
          <w:rtl/>
        </w:rPr>
        <w:t>זרע</w:t>
      </w:r>
      <w:r>
        <w:rPr>
          <w:rFonts w:hint="cs"/>
          <w:rtl/>
        </w:rPr>
        <w:t xml:space="preserve"> </w:t>
      </w:r>
      <w:r w:rsidRPr="00EC6CF9">
        <w:rPr>
          <w:rFonts w:hint="cs"/>
          <w:b/>
          <w:bCs/>
          <w:sz w:val="28"/>
          <w:szCs w:val="28"/>
          <w:rtl/>
        </w:rPr>
        <w:t>לבטלה</w:t>
      </w:r>
      <w:r>
        <w:rPr>
          <w:rFonts w:hint="cs"/>
          <w:rtl/>
        </w:rPr>
        <w:t xml:space="preserve"> (וגם כאן קשור הדבר עם הכוונה הפנימית של רזי תורה </w:t>
      </w:r>
      <w:r>
        <w:rPr>
          <w:rtl/>
        </w:rPr>
        <w:t>–</w:t>
      </w:r>
      <w:r>
        <w:rPr>
          <w:rFonts w:hint="cs"/>
          <w:rtl/>
        </w:rPr>
        <w:t xml:space="preserve"> "</w:t>
      </w:r>
      <w:r w:rsidRPr="00EC6CF9">
        <w:rPr>
          <w:rFonts w:hint="cs"/>
          <w:b/>
          <w:bCs/>
          <w:sz w:val="28"/>
          <w:szCs w:val="28"/>
          <w:rtl/>
        </w:rPr>
        <w:t>סוד</w:t>
      </w:r>
      <w:r>
        <w:rPr>
          <w:rFonts w:hint="cs"/>
          <w:rtl/>
        </w:rPr>
        <w:t xml:space="preserve"> </w:t>
      </w:r>
      <w:r w:rsidRPr="00EC6CF9">
        <w:rPr>
          <w:rFonts w:hint="cs"/>
          <w:b/>
          <w:bCs/>
          <w:sz w:val="28"/>
          <w:szCs w:val="28"/>
          <w:rtl/>
        </w:rPr>
        <w:t>הוי</w:t>
      </w:r>
      <w:r>
        <w:rPr>
          <w:rFonts w:hint="cs"/>
          <w:rtl/>
        </w:rPr>
        <w:t xml:space="preserve">' </w:t>
      </w:r>
      <w:proofErr w:type="spellStart"/>
      <w:r w:rsidRPr="00EC6CF9">
        <w:rPr>
          <w:rFonts w:hint="cs"/>
          <w:b/>
          <w:bCs/>
          <w:sz w:val="28"/>
          <w:szCs w:val="28"/>
          <w:rtl/>
        </w:rPr>
        <w:t>ליראיו</w:t>
      </w:r>
      <w:proofErr w:type="spellEnd"/>
      <w:r>
        <w:rPr>
          <w:rFonts w:hint="cs"/>
          <w:rtl/>
        </w:rPr>
        <w:t>"</w:t>
      </w:r>
      <w:r w:rsidRPr="00E838EB">
        <w:rPr>
          <w:rStyle w:val="a6"/>
          <w:rtl/>
        </w:rPr>
        <w:endnoteReference w:id="12"/>
      </w:r>
      <w:r>
        <w:rPr>
          <w:rFonts w:hint="cs"/>
          <w:rtl/>
        </w:rPr>
        <w:t xml:space="preserve">). כאשר </w:t>
      </w:r>
      <w:proofErr w:type="spellStart"/>
      <w:r>
        <w:rPr>
          <w:rFonts w:hint="cs"/>
          <w:rtl/>
        </w:rPr>
        <w:t>היחוד</w:t>
      </w:r>
      <w:proofErr w:type="spellEnd"/>
      <w:r>
        <w:rPr>
          <w:rFonts w:hint="cs"/>
          <w:rtl/>
        </w:rPr>
        <w:t xml:space="preserve"> העליון חודר עד לחיצוניות </w:t>
      </w:r>
      <w:r>
        <w:rPr>
          <w:rtl/>
        </w:rPr>
        <w:t>–</w:t>
      </w:r>
      <w:r>
        <w:rPr>
          <w:rFonts w:hint="cs"/>
          <w:rtl/>
        </w:rPr>
        <w:t xml:space="preserve"> כשממשיכים הארה מקדושת השבת לזיווג ימי החול </w:t>
      </w:r>
      <w:r>
        <w:rPr>
          <w:rtl/>
        </w:rPr>
        <w:t>–</w:t>
      </w:r>
      <w:r>
        <w:rPr>
          <w:rFonts w:hint="cs"/>
          <w:rtl/>
        </w:rPr>
        <w:t xml:space="preserve"> מרוממים את החיצוניות, ואז עוצמת </w:t>
      </w:r>
      <w:proofErr w:type="spellStart"/>
      <w:r>
        <w:rPr>
          <w:rFonts w:hint="cs"/>
          <w:rtl/>
        </w:rPr>
        <w:t>החויה</w:t>
      </w:r>
      <w:proofErr w:type="spellEnd"/>
      <w:r>
        <w:rPr>
          <w:rFonts w:hint="cs"/>
          <w:rtl/>
        </w:rPr>
        <w:t xml:space="preserve"> החיצונית גם נותנת תוספת </w:t>
      </w:r>
      <w:proofErr w:type="spellStart"/>
      <w:r>
        <w:rPr>
          <w:rFonts w:hint="cs"/>
          <w:rtl/>
        </w:rPr>
        <w:t>כח</w:t>
      </w:r>
      <w:proofErr w:type="spellEnd"/>
      <w:r>
        <w:rPr>
          <w:rFonts w:hint="cs"/>
          <w:rtl/>
        </w:rPr>
        <w:t xml:space="preserve"> בקדושה, מעל ומעבר לעוצמת </w:t>
      </w:r>
      <w:proofErr w:type="spellStart"/>
      <w:r>
        <w:rPr>
          <w:rFonts w:hint="cs"/>
          <w:rtl/>
        </w:rPr>
        <w:t>החויה</w:t>
      </w:r>
      <w:proofErr w:type="spellEnd"/>
      <w:r>
        <w:rPr>
          <w:rFonts w:hint="cs"/>
          <w:rtl/>
        </w:rPr>
        <w:t xml:space="preserve"> שיש בזיווג הקדוש של שבת לכשעצמו.</w:t>
      </w:r>
    </w:p>
    <w:p w:rsidR="00D55DEE" w:rsidRDefault="00D55DEE" w:rsidP="00D55DEE">
      <w:pPr>
        <w:rPr>
          <w:rFonts w:hint="cs"/>
          <w:rtl/>
        </w:rPr>
      </w:pPr>
      <w:r>
        <w:rPr>
          <w:rFonts w:hint="cs"/>
          <w:rtl/>
        </w:rPr>
        <w:t xml:space="preserve">התיקון של הזיווג הוא המשכת מוחין </w:t>
      </w:r>
      <w:r>
        <w:rPr>
          <w:rtl/>
        </w:rPr>
        <w:t>–</w:t>
      </w:r>
      <w:r>
        <w:rPr>
          <w:rFonts w:hint="cs"/>
          <w:rtl/>
        </w:rPr>
        <w:t xml:space="preserve"> החדרת כוונה ותודעה נכונה. בשבת מאירים "מוחין </w:t>
      </w:r>
      <w:proofErr w:type="spellStart"/>
      <w:r>
        <w:rPr>
          <w:rFonts w:hint="cs"/>
          <w:rtl/>
        </w:rPr>
        <w:t>דאבא</w:t>
      </w:r>
      <w:proofErr w:type="spellEnd"/>
      <w:r>
        <w:rPr>
          <w:rFonts w:hint="cs"/>
          <w:rtl/>
        </w:rPr>
        <w:t xml:space="preserve">" </w:t>
      </w:r>
      <w:r>
        <w:rPr>
          <w:rtl/>
        </w:rPr>
        <w:t>–</w:t>
      </w:r>
      <w:r>
        <w:rPr>
          <w:rFonts w:hint="cs"/>
          <w:rtl/>
        </w:rPr>
        <w:t xml:space="preserve"> מח החכמה מאיר, ולכן זיווגי שבת רוויים בחכמה ובתודעה </w:t>
      </w:r>
      <w:proofErr w:type="spellStart"/>
      <w:r>
        <w:rPr>
          <w:rFonts w:hint="cs"/>
          <w:rtl/>
        </w:rPr>
        <w:t>אלקית</w:t>
      </w:r>
      <w:proofErr w:type="spellEnd"/>
      <w:r>
        <w:rPr>
          <w:rFonts w:hint="cs"/>
          <w:rtl/>
        </w:rPr>
        <w:t xml:space="preserve">. הזיווג בשבת הוא </w:t>
      </w:r>
      <w:r>
        <w:rPr>
          <w:rFonts w:hint="cs"/>
          <w:rtl/>
        </w:rPr>
        <w:lastRenderedPageBreak/>
        <w:t>'מעשה חכם'. לעומת זאת, ב-</w:t>
      </w:r>
      <w:r w:rsidRPr="00EC6CF9">
        <w:rPr>
          <w:rFonts w:hint="cs"/>
          <w:b/>
          <w:bCs/>
          <w:sz w:val="28"/>
          <w:szCs w:val="28"/>
          <w:rtl/>
        </w:rPr>
        <w:t>ו</w:t>
      </w:r>
      <w:r>
        <w:rPr>
          <w:rFonts w:hint="cs"/>
          <w:rtl/>
        </w:rPr>
        <w:t xml:space="preserve"> ימות החול פועל האדם באופן טבעי רק לפי הכוונת </w:t>
      </w:r>
      <w:r w:rsidRPr="00EC6CF9">
        <w:rPr>
          <w:rFonts w:hint="cs"/>
          <w:b/>
          <w:bCs/>
          <w:sz w:val="28"/>
          <w:szCs w:val="28"/>
          <w:rtl/>
        </w:rPr>
        <w:t>ו</w:t>
      </w:r>
      <w:r>
        <w:rPr>
          <w:rFonts w:hint="cs"/>
          <w:rtl/>
        </w:rPr>
        <w:t xml:space="preserve"> מדות הלב, ולכן זיווג סתמי של ימות החול, ללא כל כוונה, איננו אלא תנועה בהמית של הנפש </w:t>
      </w:r>
      <w:r>
        <w:rPr>
          <w:rtl/>
        </w:rPr>
        <w:t>–</w:t>
      </w:r>
      <w:r>
        <w:rPr>
          <w:rFonts w:hint="cs"/>
          <w:rtl/>
        </w:rPr>
        <w:t xml:space="preserve"> פעולה לפי רגש תאוותני, ללא כל מחשבה. על זיווג שכזה נכון לומר "אין אדם עובר עבירה אלא אם כן נכנס בו רוח שטות"</w:t>
      </w:r>
      <w:r w:rsidRPr="00E838EB">
        <w:rPr>
          <w:rStyle w:val="a6"/>
          <w:rtl/>
        </w:rPr>
        <w:endnoteReference w:id="13"/>
      </w:r>
      <w:r>
        <w:rPr>
          <w:rFonts w:hint="cs"/>
          <w:rtl/>
        </w:rPr>
        <w:t xml:space="preserve">, אך </w:t>
      </w:r>
      <w:proofErr w:type="spellStart"/>
      <w:r>
        <w:rPr>
          <w:rFonts w:hint="cs"/>
          <w:rtl/>
        </w:rPr>
        <w:t>מכיון</w:t>
      </w:r>
      <w:proofErr w:type="spellEnd"/>
      <w:r>
        <w:rPr>
          <w:rFonts w:hint="cs"/>
          <w:rtl/>
        </w:rPr>
        <w:t xml:space="preserve"> שמדובר במעשה של היתר </w:t>
      </w:r>
      <w:r>
        <w:rPr>
          <w:rtl/>
        </w:rPr>
        <w:t>–</w:t>
      </w:r>
      <w:r>
        <w:rPr>
          <w:rFonts w:hint="cs"/>
          <w:rtl/>
        </w:rPr>
        <w:t xml:space="preserve"> ולא בדבר עבירה ממש </w:t>
      </w:r>
      <w:r>
        <w:rPr>
          <w:rtl/>
        </w:rPr>
        <w:t>–</w:t>
      </w:r>
      <w:r>
        <w:rPr>
          <w:rFonts w:hint="cs"/>
          <w:rtl/>
        </w:rPr>
        <w:t xml:space="preserve"> מתאפשר כאן גם התיקון לאותה רוח שטות. הזיווג בימות החול הוא 'מעשה שטות', אך ניתן להעלותו להיות שטות </w:t>
      </w:r>
      <w:proofErr w:type="spellStart"/>
      <w:r>
        <w:rPr>
          <w:rFonts w:hint="cs"/>
          <w:rtl/>
        </w:rPr>
        <w:t>דקדושה</w:t>
      </w:r>
      <w:proofErr w:type="spellEnd"/>
      <w:r w:rsidRPr="00E838EB">
        <w:rPr>
          <w:rStyle w:val="a6"/>
          <w:rtl/>
        </w:rPr>
        <w:endnoteReference w:id="14"/>
      </w:r>
      <w:r>
        <w:rPr>
          <w:rFonts w:hint="cs"/>
          <w:rtl/>
        </w:rPr>
        <w:t>.</w:t>
      </w:r>
    </w:p>
    <w:p w:rsidR="00D55DEE" w:rsidRDefault="00D55DEE" w:rsidP="00D55DEE">
      <w:pPr>
        <w:rPr>
          <w:rFonts w:hint="cs"/>
          <w:rtl/>
        </w:rPr>
      </w:pPr>
      <w:r>
        <w:rPr>
          <w:rFonts w:hint="cs"/>
          <w:rtl/>
        </w:rPr>
        <w:t xml:space="preserve">תיקון זיווגי ימות החול הוא בהמשכת "מוחין </w:t>
      </w:r>
      <w:proofErr w:type="spellStart"/>
      <w:r>
        <w:rPr>
          <w:rFonts w:hint="cs"/>
          <w:rtl/>
        </w:rPr>
        <w:t>דאמא</w:t>
      </w:r>
      <w:proofErr w:type="spellEnd"/>
      <w:r>
        <w:rPr>
          <w:rFonts w:hint="cs"/>
          <w:rtl/>
        </w:rPr>
        <w:t xml:space="preserve">" עליהם </w:t>
      </w:r>
      <w:r>
        <w:rPr>
          <w:rtl/>
        </w:rPr>
        <w:t>–</w:t>
      </w:r>
      <w:r>
        <w:rPr>
          <w:rFonts w:hint="cs"/>
          <w:rtl/>
        </w:rPr>
        <w:t xml:space="preserve"> המשכת תודעה של ספירת הבינה, שפנימיותה מדת השמחה, הבולטת במיוחד בזיווגי ימי החול, כנ"ל. שמחה מודגשת זו יכולה להפוך את הזיווג של ימות החול לשטות </w:t>
      </w:r>
      <w:proofErr w:type="spellStart"/>
      <w:r>
        <w:rPr>
          <w:rFonts w:hint="cs"/>
          <w:rtl/>
        </w:rPr>
        <w:t>דקדושה</w:t>
      </w:r>
      <w:proofErr w:type="spellEnd"/>
      <w:r>
        <w:rPr>
          <w:rFonts w:hint="cs"/>
          <w:rtl/>
        </w:rPr>
        <w:t>, המתקנת את רוח השטות של הקליפה. ספירת הבינה מכוונת כנגד רקיע "</w:t>
      </w:r>
      <w:r w:rsidRPr="00EC6CF9">
        <w:rPr>
          <w:rStyle w:val="a3"/>
          <w:rFonts w:hint="cs"/>
          <w:rtl/>
        </w:rPr>
        <w:t>ערבות</w:t>
      </w:r>
      <w:r>
        <w:rPr>
          <w:rFonts w:hint="cs"/>
          <w:rtl/>
        </w:rPr>
        <w:t>"</w:t>
      </w:r>
      <w:r w:rsidRPr="00E838EB">
        <w:rPr>
          <w:rStyle w:val="a6"/>
          <w:rtl/>
        </w:rPr>
        <w:endnoteReference w:id="15"/>
      </w:r>
      <w:r>
        <w:rPr>
          <w:rFonts w:hint="cs"/>
          <w:rtl/>
        </w:rPr>
        <w:t xml:space="preserve"> </w:t>
      </w:r>
      <w:r>
        <w:rPr>
          <w:rtl/>
        </w:rPr>
        <w:t>–</w:t>
      </w:r>
      <w:r>
        <w:rPr>
          <w:rFonts w:hint="cs"/>
          <w:rtl/>
        </w:rPr>
        <w:t xml:space="preserve"> מקור הרוח שטות, שלמעלה מטעם ודעת (כ</w:t>
      </w:r>
      <w:r w:rsidRPr="00EC6CF9">
        <w:rPr>
          <w:rStyle w:val="a3"/>
          <w:rFonts w:hint="cs"/>
          <w:rtl/>
        </w:rPr>
        <w:t>ערבות</w:t>
      </w:r>
      <w:r>
        <w:rPr>
          <w:rFonts w:hint="cs"/>
          <w:rtl/>
        </w:rPr>
        <w:t xml:space="preserve"> חסרות הטעם והריח)</w:t>
      </w:r>
      <w:r w:rsidRPr="00E838EB">
        <w:rPr>
          <w:rStyle w:val="a6"/>
          <w:rtl/>
        </w:rPr>
        <w:endnoteReference w:id="16"/>
      </w:r>
      <w:r>
        <w:rPr>
          <w:rFonts w:hint="cs"/>
          <w:rtl/>
        </w:rPr>
        <w:t xml:space="preserve"> </w:t>
      </w:r>
      <w:r>
        <w:rPr>
          <w:rtl/>
        </w:rPr>
        <w:t>–</w:t>
      </w:r>
      <w:r>
        <w:rPr>
          <w:rFonts w:hint="cs"/>
          <w:rtl/>
        </w:rPr>
        <w:t xml:space="preserve"> וכאשר היא נעשית כדבעי יש בה את הטעם ה</w:t>
      </w:r>
      <w:r w:rsidRPr="00EC6CF9">
        <w:rPr>
          <w:rStyle w:val="a3"/>
          <w:rFonts w:hint="cs"/>
          <w:rtl/>
        </w:rPr>
        <w:t>ערב</w:t>
      </w:r>
      <w:r>
        <w:rPr>
          <w:rFonts w:hint="cs"/>
          <w:rtl/>
        </w:rPr>
        <w:t xml:space="preserve"> והמיוחד של דבר מר או חריף אשר נכבש ותובל היטב למאכל (בניגוד לזיווג שבת, הטוב והראוי מלכתחילה, שטעמו מתוק וטעים)</w:t>
      </w:r>
      <w:r w:rsidRPr="00E838EB">
        <w:rPr>
          <w:rStyle w:val="a6"/>
          <w:rtl/>
        </w:rPr>
        <w:endnoteReference w:id="17"/>
      </w:r>
      <w:r>
        <w:rPr>
          <w:rFonts w:hint="cs"/>
          <w:rtl/>
        </w:rPr>
        <w:t xml:space="preserve">. זהו הטעם המיוחד והערב של זיווג יום החול המתוקן </w:t>
      </w:r>
      <w:r>
        <w:rPr>
          <w:rtl/>
        </w:rPr>
        <w:t>–</w:t>
      </w:r>
      <w:r>
        <w:rPr>
          <w:rFonts w:hint="cs"/>
          <w:rtl/>
        </w:rPr>
        <w:t xml:space="preserve"> המבוסס על תאוות נמוכות, מרות וחריפות, אך כובש אותן ומתקן אותן.</w:t>
      </w:r>
    </w:p>
    <w:p w:rsidR="00D55DEE" w:rsidRDefault="00D55DEE" w:rsidP="00D55DEE">
      <w:pPr>
        <w:rPr>
          <w:rFonts w:hint="cs"/>
          <w:rtl/>
        </w:rPr>
      </w:pPr>
      <w:r>
        <w:rPr>
          <w:rFonts w:hint="cs"/>
          <w:rtl/>
        </w:rPr>
        <w:t xml:space="preserve">אחד ההפרשים בין תודעת החכמה לתודעה הבינה הוא בין קדושה לטהרה. בשבת קדש מורגשת קדושת הזיווג </w:t>
      </w:r>
      <w:r>
        <w:rPr>
          <w:rtl/>
        </w:rPr>
        <w:t>–</w:t>
      </w:r>
      <w:r>
        <w:rPr>
          <w:rFonts w:hint="cs"/>
          <w:rtl/>
        </w:rPr>
        <w:t xml:space="preserve"> ההתעלות מעל המציאות הגופנית, והחשיפה של הזיווג </w:t>
      </w:r>
      <w:proofErr w:type="spellStart"/>
      <w:r>
        <w:rPr>
          <w:rFonts w:hint="cs"/>
          <w:rtl/>
        </w:rPr>
        <w:t>האלקי</w:t>
      </w:r>
      <w:proofErr w:type="spellEnd"/>
      <w:r>
        <w:rPr>
          <w:rFonts w:hint="cs"/>
          <w:rtl/>
        </w:rPr>
        <w:t xml:space="preserve"> העליון והנבדל בכוונת בני הזוג. לעומת זאת, דווקא בימות החול </w:t>
      </w:r>
      <w:r>
        <w:rPr>
          <w:rtl/>
        </w:rPr>
        <w:t>–</w:t>
      </w:r>
      <w:r>
        <w:rPr>
          <w:rFonts w:hint="cs"/>
          <w:rtl/>
        </w:rPr>
        <w:t xml:space="preserve"> בהם ניתן לעסוק בעבודת </w:t>
      </w:r>
      <w:proofErr w:type="spellStart"/>
      <w:r>
        <w:rPr>
          <w:rFonts w:hint="cs"/>
          <w:rtl/>
        </w:rPr>
        <w:t>ההטהרות</w:t>
      </w:r>
      <w:proofErr w:type="spellEnd"/>
      <w:r>
        <w:rPr>
          <w:rFonts w:hint="cs"/>
          <w:rtl/>
        </w:rPr>
        <w:t xml:space="preserve"> כדבעי </w:t>
      </w:r>
      <w:r>
        <w:rPr>
          <w:rtl/>
        </w:rPr>
        <w:t>–</w:t>
      </w:r>
      <w:r>
        <w:rPr>
          <w:rFonts w:hint="cs"/>
          <w:rtl/>
        </w:rPr>
        <w:t xml:space="preserve"> ניתן להגיע </w:t>
      </w:r>
      <w:proofErr w:type="spellStart"/>
      <w:r>
        <w:rPr>
          <w:rFonts w:hint="cs"/>
          <w:rtl/>
        </w:rPr>
        <w:t>לחויה</w:t>
      </w:r>
      <w:proofErr w:type="spellEnd"/>
      <w:r>
        <w:rPr>
          <w:rFonts w:hint="cs"/>
          <w:rtl/>
        </w:rPr>
        <w:t xml:space="preserve"> המיוחדת של הגוף היהודי הטהור (</w:t>
      </w:r>
      <w:proofErr w:type="spellStart"/>
      <w:r>
        <w:rPr>
          <w:rFonts w:hint="cs"/>
          <w:rtl/>
        </w:rPr>
        <w:t>ובכח</w:t>
      </w:r>
      <w:proofErr w:type="spellEnd"/>
      <w:r>
        <w:rPr>
          <w:rFonts w:hint="cs"/>
          <w:rtl/>
        </w:rPr>
        <w:t xml:space="preserve"> הגוף הטהור לגלות את האורות המקיפים השורים עליו מבחוץ, הנעלים מהאורות הפנימיים המתגלים בקדושת הכוונה הפנימית). בזיווגי יום חול על בני הזוג לכוון לתיקון פגמיהם ולטהרת גופם </w:t>
      </w:r>
      <w:r>
        <w:rPr>
          <w:rtl/>
        </w:rPr>
        <w:t>–</w:t>
      </w:r>
      <w:r>
        <w:rPr>
          <w:rFonts w:hint="cs"/>
          <w:rtl/>
        </w:rPr>
        <w:t xml:space="preserve"> עליהם להתפלל תוך כדי הזיווג "לב טהור ברא לי </w:t>
      </w:r>
      <w:proofErr w:type="spellStart"/>
      <w:r>
        <w:rPr>
          <w:rFonts w:hint="cs"/>
          <w:rtl/>
        </w:rPr>
        <w:t>אלהים</w:t>
      </w:r>
      <w:proofErr w:type="spellEnd"/>
      <w:r>
        <w:rPr>
          <w:rFonts w:hint="cs"/>
          <w:rtl/>
        </w:rPr>
        <w:t xml:space="preserve"> [במעשה בריאה, השייך לימות החול, בהם 'ברא </w:t>
      </w:r>
      <w:proofErr w:type="spellStart"/>
      <w:r>
        <w:rPr>
          <w:rFonts w:hint="cs"/>
          <w:rtl/>
        </w:rPr>
        <w:t>אלהים</w:t>
      </w:r>
      <w:proofErr w:type="spellEnd"/>
      <w:r>
        <w:rPr>
          <w:rFonts w:hint="cs"/>
          <w:rtl/>
        </w:rPr>
        <w:t>']"</w:t>
      </w:r>
      <w:r w:rsidRPr="00E838EB">
        <w:rPr>
          <w:rStyle w:val="a6"/>
          <w:rtl/>
        </w:rPr>
        <w:endnoteReference w:id="18"/>
      </w:r>
      <w:r>
        <w:rPr>
          <w:rFonts w:hint="cs"/>
          <w:rtl/>
        </w:rPr>
        <w:t>. לב טהור הוא לב שמח מכל נדנוד של עצבות וטומאה</w:t>
      </w:r>
      <w:r w:rsidRPr="00E838EB">
        <w:rPr>
          <w:rStyle w:val="a6"/>
          <w:rtl/>
        </w:rPr>
        <w:endnoteReference w:id="19"/>
      </w:r>
      <w:r>
        <w:rPr>
          <w:rFonts w:hint="cs"/>
          <w:rtl/>
        </w:rPr>
        <w:t xml:space="preserve"> </w:t>
      </w:r>
      <w:r>
        <w:rPr>
          <w:rtl/>
        </w:rPr>
        <w:t>–</w:t>
      </w:r>
      <w:r>
        <w:rPr>
          <w:rFonts w:hint="cs"/>
          <w:rtl/>
        </w:rPr>
        <w:t xml:space="preserve"> לב המשתחרר מדאגת וטומאת עוונות פגם הברית </w:t>
      </w:r>
      <w:r>
        <w:rPr>
          <w:rtl/>
        </w:rPr>
        <w:t>–</w:t>
      </w:r>
      <w:r>
        <w:rPr>
          <w:rFonts w:hint="cs"/>
          <w:rtl/>
        </w:rPr>
        <w:t xml:space="preserve"> וכך כוונת הטהרה מגבירה את השמחה הנדרשת בזיווגי ימות החול.</w:t>
      </w:r>
    </w:p>
    <w:p w:rsidR="005F4A47" w:rsidRDefault="00D027FD">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7FD" w:rsidRDefault="00D027FD" w:rsidP="00D55DEE">
      <w:pPr>
        <w:spacing w:after="0" w:line="240" w:lineRule="auto"/>
      </w:pPr>
      <w:r>
        <w:separator/>
      </w:r>
    </w:p>
  </w:endnote>
  <w:endnote w:type="continuationSeparator" w:id="0">
    <w:p w:rsidR="00D027FD" w:rsidRDefault="00D027FD" w:rsidP="00D55DEE">
      <w:pPr>
        <w:spacing w:after="0" w:line="240" w:lineRule="auto"/>
      </w:pPr>
      <w:r>
        <w:continuationSeparator/>
      </w:r>
    </w:p>
  </w:endnote>
  <w:endnote w:id="1">
    <w:p w:rsidR="00D55DEE" w:rsidRDefault="00D55DEE" w:rsidP="00D55DEE">
      <w:pPr>
        <w:pStyle w:val="a4"/>
        <w:rPr>
          <w:rFonts w:hint="cs"/>
          <w:rtl/>
        </w:rPr>
      </w:pPr>
      <w:r>
        <w:rPr>
          <w:rtl/>
        </w:rPr>
        <w:tab/>
      </w:r>
      <w:r w:rsidRPr="00DF60BE">
        <w:rPr>
          <w:rtl/>
        </w:rPr>
        <w:endnoteRef/>
      </w:r>
      <w:r>
        <w:rPr>
          <w:rtl/>
        </w:rPr>
        <w:t>.</w:t>
      </w:r>
      <w:r>
        <w:rPr>
          <w:rtl/>
        </w:rPr>
        <w:tab/>
      </w:r>
      <w:r>
        <w:rPr>
          <w:rFonts w:hint="cs"/>
          <w:rtl/>
        </w:rPr>
        <w:t xml:space="preserve">כתובות סב, ב. </w:t>
      </w:r>
      <w:proofErr w:type="spellStart"/>
      <w:r>
        <w:rPr>
          <w:rFonts w:hint="cs"/>
          <w:rtl/>
        </w:rPr>
        <w:t>שו"ע</w:t>
      </w:r>
      <w:proofErr w:type="spellEnd"/>
      <w:r>
        <w:rPr>
          <w:rFonts w:hint="cs"/>
          <w:rtl/>
        </w:rPr>
        <w:t xml:space="preserve"> </w:t>
      </w:r>
      <w:proofErr w:type="spellStart"/>
      <w:r>
        <w:rPr>
          <w:rFonts w:hint="cs"/>
          <w:rtl/>
        </w:rPr>
        <w:t>או"ח</w:t>
      </w:r>
      <w:proofErr w:type="spellEnd"/>
      <w:r>
        <w:rPr>
          <w:rFonts w:hint="cs"/>
          <w:rtl/>
        </w:rPr>
        <w:t xml:space="preserve"> ריש סימנים </w:t>
      </w:r>
      <w:proofErr w:type="spellStart"/>
      <w:r>
        <w:rPr>
          <w:rFonts w:hint="cs"/>
          <w:rtl/>
        </w:rPr>
        <w:t>רמ</w:t>
      </w:r>
      <w:proofErr w:type="spellEnd"/>
      <w:r>
        <w:rPr>
          <w:rFonts w:hint="cs"/>
          <w:rtl/>
        </w:rPr>
        <w:t xml:space="preserve">, </w:t>
      </w:r>
      <w:proofErr w:type="spellStart"/>
      <w:r>
        <w:rPr>
          <w:rFonts w:hint="cs"/>
          <w:rtl/>
        </w:rPr>
        <w:t>רפ</w:t>
      </w:r>
      <w:proofErr w:type="spellEnd"/>
      <w:r>
        <w:rPr>
          <w:rFonts w:hint="cs"/>
          <w:rtl/>
        </w:rPr>
        <w:t>.</w:t>
      </w:r>
    </w:p>
  </w:endnote>
  <w:endnote w:id="2">
    <w:p w:rsidR="00D55DEE" w:rsidRDefault="00D55DEE" w:rsidP="00D55DEE">
      <w:pPr>
        <w:pStyle w:val="a4"/>
        <w:rPr>
          <w:rFonts w:hint="cs"/>
          <w:rtl/>
        </w:rPr>
      </w:pPr>
      <w:r>
        <w:rPr>
          <w:rtl/>
        </w:rPr>
        <w:tab/>
      </w:r>
      <w:r w:rsidRPr="00DF60BE">
        <w:rPr>
          <w:rtl/>
        </w:rPr>
        <w:endnoteRef/>
      </w:r>
      <w:r>
        <w:rPr>
          <w:rtl/>
        </w:rPr>
        <w:t>.</w:t>
      </w:r>
      <w:r>
        <w:rPr>
          <w:rtl/>
        </w:rPr>
        <w:tab/>
      </w:r>
      <w:r>
        <w:rPr>
          <w:rFonts w:hint="cs"/>
          <w:rtl/>
        </w:rPr>
        <w:t xml:space="preserve">תהלים א, ג. </w:t>
      </w:r>
    </w:p>
  </w:endnote>
  <w:endnote w:id="3">
    <w:p w:rsidR="00D55DEE" w:rsidRDefault="00D55DEE" w:rsidP="00D55DEE">
      <w:pPr>
        <w:pStyle w:val="a4"/>
        <w:rPr>
          <w:rFonts w:hint="cs"/>
          <w:rtl/>
        </w:rPr>
      </w:pPr>
      <w:r>
        <w:rPr>
          <w:rtl/>
        </w:rPr>
        <w:tab/>
      </w:r>
      <w:r w:rsidRPr="00DF60BE">
        <w:rPr>
          <w:rtl/>
        </w:rPr>
        <w:endnoteRef/>
      </w:r>
      <w:r>
        <w:rPr>
          <w:rtl/>
        </w:rPr>
        <w:t>.</w:t>
      </w:r>
      <w:r>
        <w:rPr>
          <w:rtl/>
        </w:rPr>
        <w:tab/>
      </w:r>
      <w:r>
        <w:rPr>
          <w:rFonts w:hint="cs"/>
          <w:rtl/>
        </w:rPr>
        <w:t xml:space="preserve">שו"ת מעיל צדקה סימן נא (והובא בפתחי תשובה </w:t>
      </w:r>
      <w:proofErr w:type="spellStart"/>
      <w:r>
        <w:rPr>
          <w:rFonts w:hint="cs"/>
          <w:rtl/>
        </w:rPr>
        <w:t>לאבה"ע</w:t>
      </w:r>
      <w:proofErr w:type="spellEnd"/>
      <w:r>
        <w:rPr>
          <w:rFonts w:hint="cs"/>
          <w:rtl/>
        </w:rPr>
        <w:t xml:space="preserve"> סימן </w:t>
      </w:r>
      <w:proofErr w:type="spellStart"/>
      <w:r>
        <w:rPr>
          <w:rFonts w:hint="cs"/>
          <w:rtl/>
        </w:rPr>
        <w:t>עו</w:t>
      </w:r>
      <w:proofErr w:type="spellEnd"/>
      <w:r>
        <w:rPr>
          <w:rFonts w:hint="cs"/>
          <w:rtl/>
        </w:rPr>
        <w:t>).</w:t>
      </w:r>
    </w:p>
  </w:endnote>
  <w:endnote w:id="4">
    <w:p w:rsidR="00D55DEE" w:rsidRDefault="00D55DEE" w:rsidP="00D55DEE">
      <w:pPr>
        <w:pStyle w:val="a4"/>
        <w:rPr>
          <w:rFonts w:hint="cs"/>
          <w:rtl/>
        </w:rPr>
      </w:pPr>
      <w:r>
        <w:rPr>
          <w:rtl/>
        </w:rPr>
        <w:tab/>
      </w:r>
      <w:r w:rsidRPr="00DF60BE">
        <w:rPr>
          <w:rtl/>
        </w:rPr>
        <w:endnoteRef/>
      </w:r>
      <w:r>
        <w:rPr>
          <w:rtl/>
        </w:rPr>
        <w:t>.</w:t>
      </w:r>
      <w:r>
        <w:rPr>
          <w:rtl/>
        </w:rPr>
        <w:tab/>
      </w:r>
      <w:r>
        <w:rPr>
          <w:rFonts w:hint="cs"/>
          <w:rtl/>
        </w:rPr>
        <w:t xml:space="preserve">ראה ביאור הלכה למשנה ברורה </w:t>
      </w:r>
      <w:proofErr w:type="spellStart"/>
      <w:r>
        <w:rPr>
          <w:rFonts w:hint="cs"/>
          <w:rtl/>
        </w:rPr>
        <w:t>או"ח</w:t>
      </w:r>
      <w:proofErr w:type="spellEnd"/>
      <w:r>
        <w:rPr>
          <w:rFonts w:hint="cs"/>
          <w:rtl/>
        </w:rPr>
        <w:t xml:space="preserve"> סימן </w:t>
      </w:r>
      <w:proofErr w:type="spellStart"/>
      <w:r>
        <w:rPr>
          <w:rFonts w:hint="cs"/>
          <w:rtl/>
        </w:rPr>
        <w:t>רמ</w:t>
      </w:r>
      <w:proofErr w:type="spellEnd"/>
      <w:r>
        <w:rPr>
          <w:rFonts w:hint="cs"/>
          <w:rtl/>
        </w:rPr>
        <w:t xml:space="preserve">. אגרות משה </w:t>
      </w:r>
      <w:proofErr w:type="spellStart"/>
      <w:r>
        <w:rPr>
          <w:rFonts w:hint="cs"/>
          <w:rtl/>
        </w:rPr>
        <w:t>אבה"ע</w:t>
      </w:r>
      <w:proofErr w:type="spellEnd"/>
      <w:r>
        <w:rPr>
          <w:rFonts w:hint="cs"/>
          <w:rtl/>
        </w:rPr>
        <w:t xml:space="preserve"> </w:t>
      </w:r>
      <w:proofErr w:type="spellStart"/>
      <w:r>
        <w:rPr>
          <w:rFonts w:hint="cs"/>
          <w:rtl/>
        </w:rPr>
        <w:t>ח"ג</w:t>
      </w:r>
      <w:proofErr w:type="spellEnd"/>
      <w:r>
        <w:rPr>
          <w:rFonts w:hint="cs"/>
          <w:rtl/>
        </w:rPr>
        <w:t xml:space="preserve"> סימן </w:t>
      </w:r>
      <w:proofErr w:type="spellStart"/>
      <w:r>
        <w:rPr>
          <w:rFonts w:hint="cs"/>
          <w:rtl/>
        </w:rPr>
        <w:t>כח</w:t>
      </w:r>
      <w:proofErr w:type="spellEnd"/>
      <w:r>
        <w:rPr>
          <w:rFonts w:hint="cs"/>
          <w:rtl/>
        </w:rPr>
        <w:t>.</w:t>
      </w:r>
    </w:p>
  </w:endnote>
  <w:endnote w:id="5">
    <w:p w:rsidR="00D55DEE" w:rsidRDefault="00D55DEE" w:rsidP="00D55DEE">
      <w:pPr>
        <w:pStyle w:val="a4"/>
        <w:rPr>
          <w:rFonts w:hint="cs"/>
          <w:rtl/>
        </w:rPr>
      </w:pPr>
      <w:r>
        <w:rPr>
          <w:rtl/>
        </w:rPr>
        <w:tab/>
      </w:r>
      <w:r w:rsidRPr="00DF60BE">
        <w:rPr>
          <w:rtl/>
        </w:rPr>
        <w:endnoteRef/>
      </w:r>
      <w:r>
        <w:rPr>
          <w:rtl/>
        </w:rPr>
        <w:t>.</w:t>
      </w:r>
      <w:r>
        <w:rPr>
          <w:rtl/>
        </w:rPr>
        <w:tab/>
      </w:r>
      <w:proofErr w:type="spellStart"/>
      <w:r>
        <w:rPr>
          <w:rFonts w:hint="cs"/>
          <w:rtl/>
        </w:rPr>
        <w:t>אג"ק</w:t>
      </w:r>
      <w:proofErr w:type="spellEnd"/>
      <w:r>
        <w:rPr>
          <w:rFonts w:hint="cs"/>
          <w:rtl/>
        </w:rPr>
        <w:t xml:space="preserve"> </w:t>
      </w:r>
      <w:proofErr w:type="spellStart"/>
      <w:r>
        <w:rPr>
          <w:rFonts w:hint="cs"/>
          <w:rtl/>
        </w:rPr>
        <w:t>חי"ב</w:t>
      </w:r>
      <w:proofErr w:type="spellEnd"/>
      <w:r>
        <w:rPr>
          <w:rFonts w:hint="cs"/>
          <w:rtl/>
        </w:rPr>
        <w:t xml:space="preserve"> עמ' שפט, </w:t>
      </w:r>
      <w:proofErr w:type="spellStart"/>
      <w:r>
        <w:rPr>
          <w:rFonts w:hint="cs"/>
          <w:rtl/>
        </w:rPr>
        <w:t>חט"ו</w:t>
      </w:r>
      <w:proofErr w:type="spellEnd"/>
      <w:r>
        <w:rPr>
          <w:rFonts w:hint="cs"/>
          <w:rtl/>
        </w:rPr>
        <w:t xml:space="preserve"> עמ' </w:t>
      </w:r>
      <w:proofErr w:type="spellStart"/>
      <w:r>
        <w:rPr>
          <w:rFonts w:hint="cs"/>
          <w:rtl/>
        </w:rPr>
        <w:t>רכח</w:t>
      </w:r>
      <w:proofErr w:type="spellEnd"/>
      <w:r>
        <w:rPr>
          <w:rFonts w:hint="cs"/>
          <w:rtl/>
        </w:rPr>
        <w:t xml:space="preserve"> </w:t>
      </w:r>
      <w:r>
        <w:rPr>
          <w:rtl/>
        </w:rPr>
        <w:t>–</w:t>
      </w:r>
      <w:r>
        <w:rPr>
          <w:rFonts w:hint="cs"/>
          <w:rtl/>
        </w:rPr>
        <w:t xml:space="preserve"> ובכ"ד.</w:t>
      </w:r>
    </w:p>
  </w:endnote>
  <w:endnote w:id="6">
    <w:p w:rsidR="00D55DEE" w:rsidRDefault="00D55DEE" w:rsidP="00D55DEE">
      <w:pPr>
        <w:pStyle w:val="a4"/>
        <w:rPr>
          <w:rFonts w:hint="cs"/>
          <w:rtl/>
        </w:rPr>
      </w:pPr>
      <w:r>
        <w:rPr>
          <w:rtl/>
        </w:rPr>
        <w:tab/>
      </w:r>
      <w:r w:rsidRPr="00DF60BE">
        <w:rPr>
          <w:rtl/>
        </w:rPr>
        <w:endnoteRef/>
      </w:r>
      <w:r>
        <w:rPr>
          <w:rtl/>
        </w:rPr>
        <w:t>.</w:t>
      </w:r>
      <w:r>
        <w:rPr>
          <w:rtl/>
        </w:rPr>
        <w:tab/>
      </w:r>
      <w:r>
        <w:rPr>
          <w:rFonts w:hint="cs"/>
          <w:rtl/>
        </w:rPr>
        <w:t xml:space="preserve">וראה על דרך זה, בתוקף רב, בחכמת אדם כלל קכ"ח (סעיפים </w:t>
      </w:r>
      <w:proofErr w:type="spellStart"/>
      <w:r>
        <w:rPr>
          <w:rFonts w:hint="cs"/>
          <w:rtl/>
        </w:rPr>
        <w:t>יט</w:t>
      </w:r>
      <w:proofErr w:type="spellEnd"/>
      <w:r>
        <w:rPr>
          <w:rFonts w:hint="cs"/>
          <w:rtl/>
        </w:rPr>
        <w:t>-כ).</w:t>
      </w:r>
    </w:p>
  </w:endnote>
  <w:endnote w:id="7">
    <w:p w:rsidR="00D55DEE" w:rsidRDefault="00D55DEE" w:rsidP="00D55DEE">
      <w:pPr>
        <w:pStyle w:val="a4"/>
        <w:rPr>
          <w:rFonts w:hint="cs"/>
          <w:rtl/>
        </w:rPr>
      </w:pPr>
      <w:r>
        <w:rPr>
          <w:rtl/>
        </w:rPr>
        <w:tab/>
      </w:r>
      <w:r w:rsidRPr="00DF60BE">
        <w:rPr>
          <w:rtl/>
        </w:rPr>
        <w:endnoteRef/>
      </w:r>
      <w:r>
        <w:rPr>
          <w:rtl/>
        </w:rPr>
        <w:t>.</w:t>
      </w:r>
      <w:r>
        <w:rPr>
          <w:rtl/>
        </w:rPr>
        <w:tab/>
      </w:r>
      <w:r>
        <w:rPr>
          <w:rFonts w:hint="cs"/>
          <w:rtl/>
        </w:rPr>
        <w:t>יבמות כ, א.</w:t>
      </w:r>
    </w:p>
  </w:endnote>
  <w:endnote w:id="8">
    <w:p w:rsidR="00D55DEE" w:rsidRDefault="00D55DEE" w:rsidP="00D55DEE">
      <w:pPr>
        <w:pStyle w:val="a4"/>
        <w:rPr>
          <w:rFonts w:hint="cs"/>
          <w:rtl/>
        </w:rPr>
      </w:pPr>
      <w:r>
        <w:rPr>
          <w:rtl/>
        </w:rPr>
        <w:tab/>
      </w:r>
      <w:r w:rsidRPr="00DF60BE">
        <w:rPr>
          <w:rtl/>
        </w:rPr>
        <w:endnoteRef/>
      </w:r>
      <w:r>
        <w:rPr>
          <w:rtl/>
        </w:rPr>
        <w:t>.</w:t>
      </w:r>
      <w:r>
        <w:rPr>
          <w:rtl/>
        </w:rPr>
        <w:tab/>
      </w:r>
      <w:r>
        <w:rPr>
          <w:rFonts w:hint="cs"/>
          <w:rtl/>
        </w:rPr>
        <w:t xml:space="preserve">משלי ט, </w:t>
      </w:r>
      <w:proofErr w:type="spellStart"/>
      <w:r>
        <w:rPr>
          <w:rFonts w:hint="cs"/>
          <w:rtl/>
        </w:rPr>
        <w:t>יז</w:t>
      </w:r>
      <w:proofErr w:type="spellEnd"/>
      <w:r>
        <w:rPr>
          <w:rFonts w:hint="cs"/>
          <w:rtl/>
        </w:rPr>
        <w:t>.</w:t>
      </w:r>
    </w:p>
  </w:endnote>
  <w:endnote w:id="9">
    <w:p w:rsidR="00D55DEE" w:rsidRDefault="00D55DEE" w:rsidP="00D55DEE">
      <w:pPr>
        <w:pStyle w:val="a4"/>
        <w:rPr>
          <w:rFonts w:hint="cs"/>
          <w:rtl/>
        </w:rPr>
      </w:pPr>
      <w:r>
        <w:rPr>
          <w:rtl/>
        </w:rPr>
        <w:tab/>
      </w:r>
      <w:r w:rsidRPr="00DF60BE">
        <w:rPr>
          <w:rtl/>
        </w:rPr>
        <w:endnoteRef/>
      </w:r>
      <w:r>
        <w:rPr>
          <w:rtl/>
        </w:rPr>
        <w:t>.</w:t>
      </w:r>
      <w:r>
        <w:rPr>
          <w:rtl/>
        </w:rPr>
        <w:tab/>
      </w:r>
      <w:r>
        <w:rPr>
          <w:rFonts w:hint="cs"/>
          <w:rtl/>
        </w:rPr>
        <w:t xml:space="preserve">סנהדרין </w:t>
      </w:r>
      <w:proofErr w:type="spellStart"/>
      <w:r>
        <w:rPr>
          <w:rFonts w:hint="cs"/>
          <w:rtl/>
        </w:rPr>
        <w:t>עה</w:t>
      </w:r>
      <w:proofErr w:type="spellEnd"/>
      <w:r>
        <w:rPr>
          <w:rFonts w:hint="cs"/>
          <w:rtl/>
        </w:rPr>
        <w:t>, א.</w:t>
      </w:r>
    </w:p>
  </w:endnote>
  <w:endnote w:id="10">
    <w:p w:rsidR="00D55DEE" w:rsidRDefault="00D55DEE" w:rsidP="00D55DEE">
      <w:pPr>
        <w:pStyle w:val="a4"/>
        <w:rPr>
          <w:rFonts w:hint="cs"/>
          <w:rtl/>
        </w:rPr>
      </w:pPr>
      <w:r>
        <w:rPr>
          <w:rtl/>
        </w:rPr>
        <w:tab/>
      </w:r>
      <w:r w:rsidRPr="00DF60BE">
        <w:rPr>
          <w:rtl/>
        </w:rPr>
        <w:endnoteRef/>
      </w:r>
      <w:r>
        <w:rPr>
          <w:rtl/>
        </w:rPr>
        <w:t>.</w:t>
      </w:r>
      <w:r>
        <w:rPr>
          <w:rtl/>
        </w:rPr>
        <w:tab/>
      </w:r>
      <w:r w:rsidRPr="00EC6CF9">
        <w:rPr>
          <w:rFonts w:hint="cs"/>
          <w:b/>
          <w:bCs/>
          <w:sz w:val="24"/>
          <w:szCs w:val="21"/>
          <w:rtl/>
        </w:rPr>
        <w:t>קבלה</w:t>
      </w:r>
      <w:r>
        <w:rPr>
          <w:rFonts w:hint="cs"/>
          <w:rtl/>
        </w:rPr>
        <w:t xml:space="preserve"> </w:t>
      </w:r>
      <w:proofErr w:type="spellStart"/>
      <w:r>
        <w:rPr>
          <w:rFonts w:hint="cs"/>
          <w:rtl/>
        </w:rPr>
        <w:t>בגימטריא</w:t>
      </w:r>
      <w:proofErr w:type="spellEnd"/>
      <w:r>
        <w:rPr>
          <w:rFonts w:hint="cs"/>
          <w:rtl/>
        </w:rPr>
        <w:t xml:space="preserve"> </w:t>
      </w:r>
      <w:r w:rsidRPr="00EC6CF9">
        <w:rPr>
          <w:rFonts w:hint="cs"/>
          <w:b/>
          <w:bCs/>
          <w:sz w:val="24"/>
          <w:szCs w:val="21"/>
          <w:rtl/>
        </w:rPr>
        <w:t>נואף</w:t>
      </w:r>
      <w:r>
        <w:rPr>
          <w:rFonts w:hint="cs"/>
          <w:rtl/>
        </w:rPr>
        <w:t xml:space="preserve"> </w:t>
      </w:r>
      <w:r>
        <w:rPr>
          <w:rFonts w:hint="eastAsia"/>
          <w:rtl/>
        </w:rPr>
        <w:t>–</w:t>
      </w:r>
      <w:r>
        <w:rPr>
          <w:rFonts w:hint="cs"/>
          <w:rtl/>
        </w:rPr>
        <w:t xml:space="preserve"> מובא בחיי </w:t>
      </w:r>
      <w:proofErr w:type="spellStart"/>
      <w:r>
        <w:rPr>
          <w:rFonts w:hint="cs"/>
          <w:rtl/>
        </w:rPr>
        <w:t>מוהר"ן</w:t>
      </w:r>
      <w:proofErr w:type="spellEnd"/>
      <w:r>
        <w:rPr>
          <w:rFonts w:hint="cs"/>
          <w:rtl/>
        </w:rPr>
        <w:t xml:space="preserve"> </w:t>
      </w:r>
      <w:proofErr w:type="spellStart"/>
      <w:r>
        <w:rPr>
          <w:rFonts w:hint="cs"/>
          <w:rtl/>
        </w:rPr>
        <w:t>תקכו</w:t>
      </w:r>
      <w:proofErr w:type="spellEnd"/>
      <w:r>
        <w:rPr>
          <w:rFonts w:hint="cs"/>
          <w:rtl/>
        </w:rPr>
        <w:t>, עיי"ש.</w:t>
      </w:r>
    </w:p>
  </w:endnote>
  <w:endnote w:id="11">
    <w:p w:rsidR="00D55DEE" w:rsidRDefault="00D55DEE" w:rsidP="00D55DEE">
      <w:pPr>
        <w:pStyle w:val="a4"/>
        <w:rPr>
          <w:rFonts w:hint="cs"/>
          <w:rtl/>
        </w:rPr>
      </w:pPr>
      <w:r>
        <w:rPr>
          <w:rtl/>
        </w:rPr>
        <w:tab/>
      </w:r>
      <w:r w:rsidRPr="00DF60BE">
        <w:rPr>
          <w:rtl/>
        </w:rPr>
        <w:endnoteRef/>
      </w:r>
      <w:r>
        <w:rPr>
          <w:rtl/>
        </w:rPr>
        <w:t>.</w:t>
      </w:r>
      <w:r>
        <w:rPr>
          <w:rtl/>
        </w:rPr>
        <w:tab/>
      </w:r>
      <w:r>
        <w:rPr>
          <w:rFonts w:hint="cs"/>
          <w:rtl/>
        </w:rPr>
        <w:t>כנ"ל בתורה "שמחת עונה".</w:t>
      </w:r>
    </w:p>
  </w:endnote>
  <w:endnote w:id="12">
    <w:p w:rsidR="00D55DEE" w:rsidRDefault="00D55DEE" w:rsidP="00D55DEE">
      <w:pPr>
        <w:pStyle w:val="a4"/>
        <w:rPr>
          <w:rFonts w:hint="cs"/>
          <w:rtl/>
        </w:rPr>
      </w:pPr>
      <w:r>
        <w:rPr>
          <w:rtl/>
        </w:rPr>
        <w:tab/>
      </w:r>
      <w:r w:rsidRPr="00DF60BE">
        <w:rPr>
          <w:rtl/>
        </w:rPr>
        <w:endnoteRef/>
      </w:r>
      <w:r>
        <w:rPr>
          <w:rtl/>
        </w:rPr>
        <w:t>.</w:t>
      </w:r>
      <w:r>
        <w:rPr>
          <w:rtl/>
        </w:rPr>
        <w:tab/>
      </w:r>
      <w:r>
        <w:rPr>
          <w:rFonts w:hint="cs"/>
          <w:rtl/>
        </w:rPr>
        <w:t>תהלים כה, יד (וראה לעיל שער שני בתורה "גילוי סוד האהבה").</w:t>
      </w:r>
    </w:p>
  </w:endnote>
  <w:endnote w:id="13">
    <w:p w:rsidR="00D55DEE" w:rsidRDefault="00D55DEE" w:rsidP="00D55DEE">
      <w:pPr>
        <w:pStyle w:val="a4"/>
        <w:rPr>
          <w:rFonts w:hint="cs"/>
          <w:rtl/>
        </w:rPr>
      </w:pPr>
      <w:r>
        <w:rPr>
          <w:rtl/>
        </w:rPr>
        <w:tab/>
      </w:r>
      <w:r w:rsidRPr="00DF60BE">
        <w:rPr>
          <w:rtl/>
        </w:rPr>
        <w:endnoteRef/>
      </w:r>
      <w:r>
        <w:rPr>
          <w:rtl/>
        </w:rPr>
        <w:t>.</w:t>
      </w:r>
      <w:r>
        <w:rPr>
          <w:rtl/>
        </w:rPr>
        <w:tab/>
      </w:r>
      <w:r>
        <w:rPr>
          <w:rFonts w:hint="cs"/>
          <w:rtl/>
        </w:rPr>
        <w:t>סוטה ג, א.</w:t>
      </w:r>
    </w:p>
  </w:endnote>
  <w:endnote w:id="14">
    <w:p w:rsidR="00D55DEE" w:rsidRDefault="00D55DEE" w:rsidP="00D55DEE">
      <w:pPr>
        <w:pStyle w:val="a4"/>
        <w:rPr>
          <w:rFonts w:hint="cs"/>
          <w:rtl/>
        </w:rPr>
      </w:pPr>
      <w:r>
        <w:rPr>
          <w:rtl/>
        </w:rPr>
        <w:tab/>
      </w:r>
      <w:r w:rsidRPr="00DF60BE">
        <w:rPr>
          <w:rtl/>
        </w:rPr>
        <w:endnoteRef/>
      </w:r>
      <w:r>
        <w:rPr>
          <w:rtl/>
        </w:rPr>
        <w:t>.</w:t>
      </w:r>
      <w:r>
        <w:rPr>
          <w:rtl/>
        </w:rPr>
        <w:tab/>
      </w:r>
      <w:r>
        <w:rPr>
          <w:rFonts w:hint="cs"/>
          <w:rtl/>
        </w:rPr>
        <w:t xml:space="preserve">על המושג "שטות </w:t>
      </w:r>
      <w:proofErr w:type="spellStart"/>
      <w:r>
        <w:rPr>
          <w:rFonts w:hint="cs"/>
          <w:rtl/>
        </w:rPr>
        <w:t>דקדושה</w:t>
      </w:r>
      <w:proofErr w:type="spellEnd"/>
      <w:r>
        <w:rPr>
          <w:rFonts w:hint="cs"/>
          <w:rtl/>
        </w:rPr>
        <w:t xml:space="preserve">" ראה באורך בהמשך "באתי לגני" </w:t>
      </w:r>
      <w:proofErr w:type="spellStart"/>
      <w:r>
        <w:rPr>
          <w:rFonts w:hint="cs"/>
          <w:rtl/>
        </w:rPr>
        <w:t>ה'שי"ת</w:t>
      </w:r>
      <w:proofErr w:type="spellEnd"/>
      <w:r>
        <w:rPr>
          <w:rFonts w:hint="cs"/>
          <w:rtl/>
        </w:rPr>
        <w:t xml:space="preserve"> ובכ"ד.</w:t>
      </w:r>
    </w:p>
  </w:endnote>
  <w:endnote w:id="15">
    <w:p w:rsidR="00D55DEE" w:rsidRDefault="00D55DEE" w:rsidP="00D55DEE">
      <w:pPr>
        <w:pStyle w:val="a4"/>
        <w:rPr>
          <w:rFonts w:hint="cs"/>
          <w:rtl/>
        </w:rPr>
      </w:pPr>
      <w:r>
        <w:rPr>
          <w:rtl/>
        </w:rPr>
        <w:tab/>
      </w:r>
      <w:r w:rsidRPr="00DF60BE">
        <w:rPr>
          <w:rtl/>
        </w:rPr>
        <w:endnoteRef/>
      </w:r>
      <w:r>
        <w:rPr>
          <w:rtl/>
        </w:rPr>
        <w:t>.</w:t>
      </w:r>
      <w:r>
        <w:rPr>
          <w:rtl/>
        </w:rPr>
        <w:tab/>
      </w:r>
      <w:proofErr w:type="spellStart"/>
      <w:r>
        <w:rPr>
          <w:rFonts w:hint="cs"/>
          <w:rtl/>
        </w:rPr>
        <w:t>לקוטי</w:t>
      </w:r>
      <w:proofErr w:type="spellEnd"/>
      <w:r>
        <w:rPr>
          <w:rFonts w:hint="cs"/>
          <w:rtl/>
        </w:rPr>
        <w:t xml:space="preserve"> תורה נשא </w:t>
      </w:r>
      <w:proofErr w:type="spellStart"/>
      <w:r>
        <w:rPr>
          <w:rFonts w:hint="cs"/>
          <w:rtl/>
        </w:rPr>
        <w:t>כט</w:t>
      </w:r>
      <w:proofErr w:type="spellEnd"/>
      <w:r>
        <w:rPr>
          <w:rFonts w:hint="cs"/>
          <w:rtl/>
        </w:rPr>
        <w:t xml:space="preserve">, ג, </w:t>
      </w:r>
      <w:proofErr w:type="spellStart"/>
      <w:r>
        <w:rPr>
          <w:rFonts w:hint="cs"/>
          <w:rtl/>
        </w:rPr>
        <w:t>וש"נ</w:t>
      </w:r>
      <w:proofErr w:type="spellEnd"/>
      <w:r>
        <w:rPr>
          <w:rFonts w:hint="cs"/>
          <w:rtl/>
        </w:rPr>
        <w:t>.</w:t>
      </w:r>
    </w:p>
  </w:endnote>
  <w:endnote w:id="16">
    <w:p w:rsidR="00D55DEE" w:rsidRDefault="00D55DEE" w:rsidP="00D55DEE">
      <w:pPr>
        <w:pStyle w:val="a4"/>
        <w:rPr>
          <w:rFonts w:hint="cs"/>
          <w:rtl/>
        </w:rPr>
      </w:pPr>
      <w:r>
        <w:rPr>
          <w:rtl/>
        </w:rPr>
        <w:tab/>
      </w:r>
      <w:r w:rsidRPr="00DF60BE">
        <w:rPr>
          <w:rtl/>
        </w:rPr>
        <w:endnoteRef/>
      </w:r>
      <w:r>
        <w:rPr>
          <w:rtl/>
        </w:rPr>
        <w:t>.</w:t>
      </w:r>
      <w:r>
        <w:rPr>
          <w:rtl/>
        </w:rPr>
        <w:tab/>
      </w:r>
      <w:r>
        <w:rPr>
          <w:rFonts w:hint="cs"/>
          <w:rtl/>
        </w:rPr>
        <w:t>וראה בתורה "ארבעת המינים בחתונה" בשער הרביעי.</w:t>
      </w:r>
    </w:p>
  </w:endnote>
  <w:endnote w:id="17">
    <w:p w:rsidR="00D55DEE" w:rsidRDefault="00D55DEE" w:rsidP="00D55DEE">
      <w:pPr>
        <w:pStyle w:val="a4"/>
        <w:rPr>
          <w:rFonts w:hint="cs"/>
          <w:rtl/>
        </w:rPr>
      </w:pPr>
      <w:r>
        <w:rPr>
          <w:rtl/>
        </w:rPr>
        <w:tab/>
      </w:r>
      <w:r w:rsidRPr="00DF60BE">
        <w:rPr>
          <w:rtl/>
        </w:rPr>
        <w:endnoteRef/>
      </w:r>
      <w:r>
        <w:rPr>
          <w:rtl/>
        </w:rPr>
        <w:t>.</w:t>
      </w:r>
      <w:r>
        <w:rPr>
          <w:rtl/>
        </w:rPr>
        <w:tab/>
      </w:r>
      <w:r>
        <w:rPr>
          <w:rFonts w:hint="cs"/>
          <w:rtl/>
        </w:rPr>
        <w:t xml:space="preserve">ראה תניא פרק </w:t>
      </w:r>
      <w:proofErr w:type="spellStart"/>
      <w:r>
        <w:rPr>
          <w:rFonts w:hint="cs"/>
          <w:rtl/>
        </w:rPr>
        <w:t>כז</w:t>
      </w:r>
      <w:proofErr w:type="spellEnd"/>
      <w:r>
        <w:rPr>
          <w:rFonts w:hint="cs"/>
          <w:rtl/>
        </w:rPr>
        <w:t>.</w:t>
      </w:r>
    </w:p>
  </w:endnote>
  <w:endnote w:id="18">
    <w:p w:rsidR="00D55DEE" w:rsidRDefault="00D55DEE" w:rsidP="00D55DEE">
      <w:pPr>
        <w:pStyle w:val="a4"/>
        <w:rPr>
          <w:rFonts w:hint="cs"/>
          <w:rtl/>
        </w:rPr>
      </w:pPr>
      <w:r>
        <w:rPr>
          <w:rtl/>
        </w:rPr>
        <w:tab/>
      </w:r>
      <w:r w:rsidRPr="00DF60BE">
        <w:rPr>
          <w:rtl/>
        </w:rPr>
        <w:endnoteRef/>
      </w:r>
      <w:r>
        <w:rPr>
          <w:rtl/>
        </w:rPr>
        <w:t>.</w:t>
      </w:r>
      <w:r>
        <w:rPr>
          <w:rtl/>
        </w:rPr>
        <w:tab/>
      </w:r>
      <w:r>
        <w:rPr>
          <w:rFonts w:hint="cs"/>
          <w:rtl/>
        </w:rPr>
        <w:t xml:space="preserve">תהלים נא, </w:t>
      </w:r>
      <w:proofErr w:type="spellStart"/>
      <w:r>
        <w:rPr>
          <w:rFonts w:hint="cs"/>
          <w:rtl/>
        </w:rPr>
        <w:t>יב</w:t>
      </w:r>
      <w:proofErr w:type="spellEnd"/>
      <w:r>
        <w:rPr>
          <w:rFonts w:hint="cs"/>
          <w:rtl/>
        </w:rPr>
        <w:t>.</w:t>
      </w:r>
    </w:p>
  </w:endnote>
  <w:endnote w:id="19">
    <w:p w:rsidR="00D55DEE" w:rsidRDefault="00D55DEE" w:rsidP="00D55DEE">
      <w:pPr>
        <w:pStyle w:val="a4"/>
        <w:rPr>
          <w:rFonts w:hint="cs"/>
          <w:rtl/>
        </w:rPr>
      </w:pPr>
      <w:r>
        <w:rPr>
          <w:rtl/>
        </w:rPr>
        <w:tab/>
      </w:r>
      <w:r w:rsidRPr="00DF60BE">
        <w:rPr>
          <w:rtl/>
        </w:rPr>
        <w:endnoteRef/>
      </w:r>
      <w:r>
        <w:rPr>
          <w:rtl/>
        </w:rPr>
        <w:t>.</w:t>
      </w:r>
      <w:r>
        <w:rPr>
          <w:rtl/>
        </w:rPr>
        <w:tab/>
      </w:r>
      <w:r>
        <w:rPr>
          <w:rFonts w:hint="cs"/>
          <w:rtl/>
        </w:rPr>
        <w:t xml:space="preserve">כמבואר </w:t>
      </w:r>
      <w:proofErr w:type="spellStart"/>
      <w:r>
        <w:rPr>
          <w:rFonts w:hint="cs"/>
          <w:rtl/>
        </w:rPr>
        <w:t>בתניא</w:t>
      </w:r>
      <w:proofErr w:type="spellEnd"/>
      <w:r>
        <w:rPr>
          <w:rFonts w:hint="cs"/>
          <w:rtl/>
        </w:rPr>
        <w:t xml:space="preserve"> פרק </w:t>
      </w:r>
      <w:proofErr w:type="spellStart"/>
      <w:r>
        <w:rPr>
          <w:rFonts w:hint="cs"/>
          <w:rtl/>
        </w:rPr>
        <w:t>כו</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7FD" w:rsidRDefault="00D027FD" w:rsidP="00D55DEE">
      <w:pPr>
        <w:spacing w:after="0" w:line="240" w:lineRule="auto"/>
      </w:pPr>
      <w:r>
        <w:separator/>
      </w:r>
    </w:p>
  </w:footnote>
  <w:footnote w:type="continuationSeparator" w:id="0">
    <w:p w:rsidR="00D027FD" w:rsidRDefault="00D027FD" w:rsidP="00D55D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89D"/>
    <w:rsid w:val="00061E65"/>
    <w:rsid w:val="0058189D"/>
    <w:rsid w:val="00AC2310"/>
    <w:rsid w:val="00D027FD"/>
    <w:rsid w:val="00D55D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D55DEE"/>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D55DEE"/>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D55DEE"/>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D55DEE"/>
    <w:rPr>
      <w:rFonts w:cs="Miriam"/>
      <w:w w:val="100"/>
      <w:sz w:val="21"/>
      <w:szCs w:val="23"/>
    </w:rPr>
  </w:style>
  <w:style w:type="paragraph" w:styleId="a4">
    <w:name w:val="endnote text"/>
    <w:aliases w:val="Endnote Text"/>
    <w:basedOn w:val="a"/>
    <w:link w:val="a5"/>
    <w:autoRedefine/>
    <w:semiHidden/>
    <w:rsid w:val="00D55DEE"/>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D55DEE"/>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D55DEE"/>
    <w:rPr>
      <w:noProof/>
      <w:position w:val="-4"/>
      <w:szCs w:val="27"/>
      <w:vertAlign w:val="superscript"/>
    </w:rPr>
  </w:style>
  <w:style w:type="paragraph" w:customStyle="1" w:styleId="a8">
    <w:name w:val="פתיח תו"/>
    <w:basedOn w:val="a"/>
    <w:link w:val="a9"/>
    <w:rsid w:val="00D55DEE"/>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D55DEE"/>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D55DE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D55DEE"/>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D55DEE"/>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D55DEE"/>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D55DEE"/>
    <w:rPr>
      <w:rFonts w:cs="Miriam"/>
      <w:w w:val="100"/>
      <w:sz w:val="21"/>
      <w:szCs w:val="23"/>
    </w:rPr>
  </w:style>
  <w:style w:type="paragraph" w:styleId="a4">
    <w:name w:val="endnote text"/>
    <w:aliases w:val="Endnote Text"/>
    <w:basedOn w:val="a"/>
    <w:link w:val="a5"/>
    <w:autoRedefine/>
    <w:semiHidden/>
    <w:rsid w:val="00D55DEE"/>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D55DEE"/>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D55DEE"/>
    <w:rPr>
      <w:noProof/>
      <w:position w:val="-4"/>
      <w:szCs w:val="27"/>
      <w:vertAlign w:val="superscript"/>
    </w:rPr>
  </w:style>
  <w:style w:type="paragraph" w:customStyle="1" w:styleId="a8">
    <w:name w:val="פתיח תו"/>
    <w:basedOn w:val="a"/>
    <w:link w:val="a9"/>
    <w:rsid w:val="00D55DEE"/>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D55DEE"/>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D55D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3;&#1513;&#1497;%20&#1493;&#1513;&#1502;&#1512;&#1493;%20&#1489;&#1504;&#1497;%20&#1497;&#1513;&#1512;&#1488;&#1500;%20&#1488;&#1514;%20&#1492;&#1513;&#1489;&#1514;\&#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686</Words>
  <Characters>3431</Characters>
  <Application>Microsoft Office Word</Application>
  <DocSecurity>0</DocSecurity>
  <Lines>28</Lines>
  <Paragraphs>8</Paragraphs>
  <ScaleCrop>false</ScaleCrop>
  <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2017-08-14T21:50:00Z</dcterms:created>
  <dcterms:modified xsi:type="dcterms:W3CDTF">2017-08-14T21:50:00Z</dcterms:modified>
</cp:coreProperties>
</file>