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D0B" w:rsidRDefault="00346D0B" w:rsidP="00346D0B">
      <w:pPr>
        <w:pStyle w:val="2"/>
        <w:rPr>
          <w:rFonts w:hint="cs"/>
          <w:rtl/>
        </w:rPr>
      </w:pPr>
      <w:bookmarkStart w:id="0" w:name="_Toc130537250"/>
      <w:bookmarkStart w:id="1" w:name="_Ref130537636"/>
      <w:r>
        <w:rPr>
          <w:w w:val="100"/>
          <w:rtl/>
        </w:rPr>
        <w:drawing>
          <wp:anchor distT="0" distB="0" distL="114300" distR="114300" simplePos="0" relativeHeight="251659264" behindDoc="1" locked="0" layoutInCell="1" allowOverlap="1">
            <wp:simplePos x="0" y="0"/>
            <wp:positionH relativeFrom="column">
              <wp:posOffset>1743075</wp:posOffset>
            </wp:positionH>
            <wp:positionV relativeFrom="paragraph">
              <wp:posOffset>666750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ירידה צורך עליה</w:t>
      </w:r>
      <w:bookmarkEnd w:id="0"/>
      <w:bookmarkEnd w:id="1"/>
    </w:p>
    <w:p w:rsidR="00346D0B" w:rsidRPr="00DE003D" w:rsidRDefault="00346D0B" w:rsidP="00346D0B">
      <w:pPr>
        <w:keepNext/>
        <w:framePr w:dropCap="drop" w:lines="2" w:hSpace="57" w:wrap="around" w:vAnchor="text" w:hAnchor="text" w:xAlign="right"/>
        <w:spacing w:after="0" w:line="760" w:lineRule="exact"/>
        <w:textAlignment w:val="baseline"/>
        <w:rPr>
          <w:rStyle w:val="a9"/>
          <w:rtl/>
        </w:rPr>
      </w:pPr>
      <w:r w:rsidRPr="00DE003D">
        <w:rPr>
          <w:rStyle w:val="a9"/>
          <w:rFonts w:hint="cs"/>
          <w:rtl/>
        </w:rPr>
        <w:t>ע</w:t>
      </w:r>
    </w:p>
    <w:p w:rsidR="00346D0B" w:rsidRDefault="00346D0B" w:rsidP="00346D0B">
      <w:pPr>
        <w:rPr>
          <w:rFonts w:hint="cs"/>
          <w:rtl/>
        </w:rPr>
      </w:pPr>
      <w:r>
        <w:rPr>
          <w:rFonts w:hint="cs"/>
          <w:rtl/>
        </w:rPr>
        <w:t xml:space="preserve">בור תלמיד חכם </w:t>
      </w:r>
      <w:proofErr w:type="spellStart"/>
      <w:r>
        <w:rPr>
          <w:rFonts w:hint="cs"/>
          <w:rtl/>
        </w:rPr>
        <w:t>אמיתי</w:t>
      </w:r>
      <w:proofErr w:type="spellEnd"/>
      <w:r>
        <w:rPr>
          <w:rFonts w:hint="cs"/>
          <w:rtl/>
        </w:rPr>
        <w:t>, שעונתו מערב שבת לערב שבת</w:t>
      </w:r>
      <w:bookmarkStart w:id="2" w:name="_Ref130316856"/>
      <w:r w:rsidRPr="00E838EB">
        <w:rPr>
          <w:rStyle w:val="a6"/>
          <w:rtl/>
        </w:rPr>
        <w:endnoteReference w:id="1"/>
      </w:r>
      <w:bookmarkEnd w:id="2"/>
      <w:r>
        <w:rPr>
          <w:rFonts w:hint="cs"/>
          <w:rtl/>
        </w:rPr>
        <w:t xml:space="preserve">, זיווג בימות חול הוא בגדר ירידה ממדרגתו. אכן, ירידה זו </w:t>
      </w:r>
      <w:r>
        <w:rPr>
          <w:rtl/>
        </w:rPr>
        <w:t>–</w:t>
      </w:r>
      <w:r>
        <w:rPr>
          <w:rFonts w:hint="cs"/>
          <w:rtl/>
        </w:rPr>
        <w:t xml:space="preserve"> כמבואר בחסידות ביחס לנפילת הצדיק, על מנת להעלות נשמות חוטאים </w:t>
      </w:r>
      <w:r>
        <w:rPr>
          <w:rtl/>
        </w:rPr>
        <w:t>–</w:t>
      </w:r>
      <w:r>
        <w:rPr>
          <w:rFonts w:hint="cs"/>
          <w:rtl/>
        </w:rPr>
        <w:t xml:space="preserve"> היא בגדר "ירידה צורך עליה"</w:t>
      </w:r>
      <w:r w:rsidRPr="00E838EB">
        <w:rPr>
          <w:rStyle w:val="a6"/>
          <w:rtl/>
        </w:rPr>
        <w:endnoteReference w:id="2"/>
      </w:r>
      <w:r>
        <w:rPr>
          <w:rFonts w:hint="cs"/>
          <w:rtl/>
        </w:rPr>
        <w:t xml:space="preserve">. כאשר תלמיד חכם יורד מזיווג שבת לזיווג חול </w:t>
      </w:r>
      <w:r>
        <w:rPr>
          <w:rtl/>
        </w:rPr>
        <w:t>–</w:t>
      </w:r>
      <w:r>
        <w:rPr>
          <w:rFonts w:hint="cs"/>
          <w:rtl/>
        </w:rPr>
        <w:t xml:space="preserve"> כאשר תוך כדי זיווג החול הוא מכוון כוונות נכונות, של תיקון פגמי הברית וטהרת הגוף היהודי</w:t>
      </w:r>
      <w:r w:rsidRPr="00E838EB">
        <w:rPr>
          <w:rStyle w:val="a6"/>
          <w:rtl/>
        </w:rPr>
        <w:endnoteReference w:id="3"/>
      </w:r>
      <w:r>
        <w:rPr>
          <w:rFonts w:hint="cs"/>
          <w:rtl/>
        </w:rPr>
        <w:t xml:space="preserve"> </w:t>
      </w:r>
      <w:r>
        <w:rPr>
          <w:rtl/>
        </w:rPr>
        <w:t>–</w:t>
      </w:r>
      <w:r>
        <w:rPr>
          <w:rFonts w:hint="cs"/>
          <w:rtl/>
        </w:rPr>
        <w:t xml:space="preserve"> הוא מעורר הרהורי תשובה וטהרה בזיווגי החול של אותם אנשים שכלל אינם שייכים לזיווג הנעלה של שבת קדש. וכן, אצל תלמיד חכם </w:t>
      </w:r>
      <w:r>
        <w:rPr>
          <w:rtl/>
        </w:rPr>
        <w:t>–</w:t>
      </w:r>
      <w:r>
        <w:rPr>
          <w:rFonts w:hint="cs"/>
          <w:rtl/>
        </w:rPr>
        <w:t xml:space="preserve"> אשר איננו הולך לישון בלי לעשות תשובה על פגמיו באותו יום</w:t>
      </w:r>
      <w:r w:rsidRPr="00E838EB">
        <w:rPr>
          <w:rStyle w:val="a6"/>
          <w:rtl/>
        </w:rPr>
        <w:endnoteReference w:id="4"/>
      </w:r>
      <w:r>
        <w:rPr>
          <w:rFonts w:hint="cs"/>
          <w:rtl/>
        </w:rPr>
        <w:t xml:space="preserve"> </w:t>
      </w:r>
      <w:r>
        <w:rPr>
          <w:rtl/>
        </w:rPr>
        <w:t>–</w:t>
      </w:r>
      <w:r>
        <w:rPr>
          <w:rFonts w:hint="cs"/>
          <w:rtl/>
        </w:rPr>
        <w:t xml:space="preserve"> זמן הזיווג בליל חול הוא זמן מסוגל לתשובה על כל הקלקולים, ותשובתו שלו מעוררת יהודים רבים אחרים לתשובה בכל </w:t>
      </w:r>
      <w:proofErr w:type="spellStart"/>
      <w:r>
        <w:rPr>
          <w:rFonts w:hint="cs"/>
          <w:rtl/>
        </w:rPr>
        <w:t>עניניהם</w:t>
      </w:r>
      <w:proofErr w:type="spellEnd"/>
      <w:r>
        <w:rPr>
          <w:rFonts w:hint="cs"/>
          <w:rtl/>
        </w:rPr>
        <w:t>.</w:t>
      </w:r>
    </w:p>
    <w:p w:rsidR="00346D0B" w:rsidRDefault="00346D0B" w:rsidP="00346D0B">
      <w:pPr>
        <w:rPr>
          <w:rFonts w:hint="cs"/>
          <w:rtl/>
        </w:rPr>
      </w:pPr>
      <w:r>
        <w:rPr>
          <w:rFonts w:hint="cs"/>
          <w:rtl/>
        </w:rPr>
        <w:t>ואכן, מבואר בכתבי האר"י</w:t>
      </w:r>
      <w:r w:rsidRPr="00E838EB">
        <w:rPr>
          <w:rStyle w:val="a6"/>
          <w:rtl/>
        </w:rPr>
        <w:endnoteReference w:id="5"/>
      </w:r>
      <w:r>
        <w:rPr>
          <w:rFonts w:hint="cs"/>
          <w:rtl/>
        </w:rPr>
        <w:t xml:space="preserve"> כי ההקפדה על כך שהזיווג יהיה בשבת היא דווקא בזיווגים שתכליתם קיום מצות "פרו ורבו"</w:t>
      </w:r>
      <w:r w:rsidRPr="00E838EB">
        <w:rPr>
          <w:rStyle w:val="a6"/>
          <w:rtl/>
        </w:rPr>
        <w:endnoteReference w:id="6"/>
      </w:r>
      <w:r>
        <w:rPr>
          <w:rFonts w:hint="cs"/>
          <w:rtl/>
        </w:rPr>
        <w:t xml:space="preserve"> כפשוטה (כאשר </w:t>
      </w:r>
      <w:proofErr w:type="spellStart"/>
      <w:r>
        <w:rPr>
          <w:rFonts w:hint="cs"/>
          <w:rtl/>
        </w:rPr>
        <w:t>האשה</w:t>
      </w:r>
      <w:proofErr w:type="spellEnd"/>
      <w:r>
        <w:rPr>
          <w:rFonts w:hint="cs"/>
          <w:rtl/>
        </w:rPr>
        <w:t xml:space="preserve"> איננה בהריון או מניקה, והיא בתקופה ובגיל בו היא מסוגלת להתעבר) </w:t>
      </w:r>
      <w:r>
        <w:rPr>
          <w:rtl/>
        </w:rPr>
        <w:t>–</w:t>
      </w:r>
      <w:r>
        <w:rPr>
          <w:rFonts w:hint="cs"/>
          <w:rtl/>
        </w:rPr>
        <w:t xml:space="preserve"> ודווקא על כך אמרו חז"ל</w:t>
      </w:r>
      <w:r w:rsidRPr="00A643A9">
        <w:rPr>
          <w:rStyle w:val="a6"/>
          <w:rtl/>
        </w:rPr>
        <w:fldChar w:fldCharType="begin"/>
      </w:r>
      <w:r w:rsidRPr="00A643A9">
        <w:rPr>
          <w:rStyle w:val="a6"/>
          <w:rtl/>
        </w:rPr>
        <w:instrText xml:space="preserve"> </w:instrText>
      </w:r>
      <w:r w:rsidRPr="00A643A9">
        <w:rPr>
          <w:rStyle w:val="a6"/>
          <w:rFonts w:hint="cs"/>
        </w:rPr>
        <w:instrText>NOTEREF</w:instrText>
      </w:r>
      <w:r w:rsidRPr="00A643A9">
        <w:rPr>
          <w:rStyle w:val="a6"/>
          <w:rFonts w:hint="cs"/>
          <w:rtl/>
        </w:rPr>
        <w:instrText xml:space="preserve"> _</w:instrText>
      </w:r>
      <w:r w:rsidRPr="00A643A9">
        <w:rPr>
          <w:rStyle w:val="a6"/>
          <w:rFonts w:hint="cs"/>
        </w:rPr>
        <w:instrText>Ref130316856 \h</w:instrText>
      </w:r>
      <w:r w:rsidRPr="00A643A9">
        <w:rPr>
          <w:rStyle w:val="a6"/>
          <w:rtl/>
        </w:rPr>
        <w:instrText xml:space="preserve"> </w:instrText>
      </w:r>
      <w:r w:rsidRPr="00A643A9">
        <w:rPr>
          <w:rStyle w:val="a6"/>
        </w:rPr>
      </w:r>
      <w:r>
        <w:rPr>
          <w:rStyle w:val="a6"/>
          <w:rtl/>
        </w:rPr>
        <w:instrText xml:space="preserve"> \* </w:instrText>
      </w:r>
      <w:r>
        <w:rPr>
          <w:rStyle w:val="a6"/>
        </w:rPr>
        <w:instrText>MERGEFORMAT</w:instrText>
      </w:r>
      <w:r>
        <w:rPr>
          <w:rStyle w:val="a6"/>
          <w:rtl/>
        </w:rPr>
        <w:instrText xml:space="preserve"> </w:instrText>
      </w:r>
      <w:r w:rsidRPr="00A643A9">
        <w:rPr>
          <w:rStyle w:val="a6"/>
          <w:rtl/>
        </w:rPr>
        <w:fldChar w:fldCharType="separate"/>
      </w:r>
      <w:r>
        <w:rPr>
          <w:rStyle w:val="a6"/>
          <w:rtl/>
        </w:rPr>
        <w:t>א</w:t>
      </w:r>
      <w:r w:rsidRPr="00A643A9">
        <w:rPr>
          <w:rStyle w:val="a6"/>
          <w:rtl/>
        </w:rPr>
        <w:fldChar w:fldCharType="end"/>
      </w:r>
      <w:r>
        <w:rPr>
          <w:rFonts w:hint="cs"/>
          <w:rtl/>
        </w:rPr>
        <w:t xml:space="preserve"> "'אשר פריו [ילדיו] </w:t>
      </w:r>
      <w:proofErr w:type="spellStart"/>
      <w:r>
        <w:rPr>
          <w:rFonts w:hint="cs"/>
          <w:rtl/>
        </w:rPr>
        <w:t>יתן</w:t>
      </w:r>
      <w:proofErr w:type="spellEnd"/>
      <w:r>
        <w:rPr>
          <w:rFonts w:hint="cs"/>
          <w:rtl/>
        </w:rPr>
        <w:t xml:space="preserve"> בעתו'</w:t>
      </w:r>
      <w:r w:rsidRPr="00E838EB">
        <w:rPr>
          <w:rStyle w:val="a6"/>
          <w:rtl/>
        </w:rPr>
        <w:endnoteReference w:id="7"/>
      </w:r>
      <w:r>
        <w:rPr>
          <w:rFonts w:hint="cs"/>
          <w:rtl/>
        </w:rPr>
        <w:t xml:space="preserve">… זה המשמש </w:t>
      </w:r>
      <w:proofErr w:type="spellStart"/>
      <w:r>
        <w:rPr>
          <w:rFonts w:hint="cs"/>
          <w:rtl/>
        </w:rPr>
        <w:t>מטתו</w:t>
      </w:r>
      <w:proofErr w:type="spellEnd"/>
      <w:r>
        <w:rPr>
          <w:rFonts w:hint="cs"/>
          <w:rtl/>
        </w:rPr>
        <w:t xml:space="preserve"> מערב שבת לערב שבת". אמנם, גם זיווג שאיננו מסתיים בהריון פועל פעולה של לידה </w:t>
      </w:r>
      <w:r>
        <w:rPr>
          <w:rtl/>
        </w:rPr>
        <w:t>–</w:t>
      </w:r>
      <w:r>
        <w:rPr>
          <w:rFonts w:hint="cs"/>
          <w:rtl/>
        </w:rPr>
        <w:t xml:space="preserve"> הוא ממשיך לעולם נשמות גרים</w:t>
      </w:r>
      <w:r w:rsidRPr="00E838EB">
        <w:rPr>
          <w:rStyle w:val="a6"/>
          <w:rtl/>
        </w:rPr>
        <w:endnoteReference w:id="8"/>
      </w:r>
      <w:r>
        <w:rPr>
          <w:rFonts w:hint="cs"/>
          <w:rtl/>
        </w:rPr>
        <w:t xml:space="preserve"> או מוליד הרהורי תשובה בלבם של הזקוקים לכך</w:t>
      </w:r>
      <w:r w:rsidRPr="00E838EB">
        <w:rPr>
          <w:rStyle w:val="a6"/>
          <w:rtl/>
        </w:rPr>
        <w:endnoteReference w:id="9"/>
      </w:r>
      <w:r>
        <w:rPr>
          <w:rFonts w:hint="cs"/>
          <w:rtl/>
        </w:rPr>
        <w:t>. לפי זה, מטרתם העיקרית של זיווגי יום חול היא דווקא המשכת נשמות גרים והרהורי תשובה.</w:t>
      </w:r>
    </w:p>
    <w:p w:rsidR="00346D0B" w:rsidRDefault="00346D0B" w:rsidP="00346D0B">
      <w:pPr>
        <w:rPr>
          <w:rFonts w:hint="cs"/>
          <w:rtl/>
        </w:rPr>
      </w:pPr>
      <w:r>
        <w:rPr>
          <w:rFonts w:hint="cs"/>
          <w:rtl/>
        </w:rPr>
        <w:t xml:space="preserve">אם כן, ניתן לומר כי זיווג יום השבת הוא זיווג 'צודק' </w:t>
      </w:r>
      <w:r>
        <w:rPr>
          <w:rtl/>
        </w:rPr>
        <w:t>–</w:t>
      </w:r>
      <w:r>
        <w:rPr>
          <w:rFonts w:hint="cs"/>
          <w:rtl/>
        </w:rPr>
        <w:t xml:space="preserve"> השבת היא בסוד ספירת המלכות, בה נאמר "צדק </w:t>
      </w:r>
      <w:r>
        <w:rPr>
          <w:rtl/>
        </w:rPr>
        <w:t>–</w:t>
      </w:r>
      <w:r>
        <w:rPr>
          <w:rFonts w:hint="cs"/>
          <w:rtl/>
        </w:rPr>
        <w:t xml:space="preserve"> </w:t>
      </w:r>
      <w:proofErr w:type="spellStart"/>
      <w:r>
        <w:rPr>
          <w:rFonts w:hint="cs"/>
          <w:rtl/>
        </w:rPr>
        <w:t>מלכותא</w:t>
      </w:r>
      <w:proofErr w:type="spellEnd"/>
      <w:r>
        <w:rPr>
          <w:rFonts w:hint="cs"/>
          <w:rtl/>
        </w:rPr>
        <w:t xml:space="preserve"> קדישא"</w:t>
      </w:r>
      <w:r w:rsidRPr="00E838EB">
        <w:rPr>
          <w:rStyle w:val="a6"/>
          <w:rtl/>
        </w:rPr>
        <w:endnoteReference w:id="10"/>
      </w:r>
      <w:r>
        <w:rPr>
          <w:rFonts w:hint="cs"/>
          <w:rtl/>
        </w:rPr>
        <w:t xml:space="preserve">, והזיווג בה מסוגל להמשיך לעולם נשמות צדיקים. לעומת זאת, הזיווג בימות החול </w:t>
      </w:r>
      <w:r>
        <w:rPr>
          <w:rtl/>
        </w:rPr>
        <w:t>–</w:t>
      </w:r>
      <w:r>
        <w:rPr>
          <w:rFonts w:hint="cs"/>
          <w:rtl/>
        </w:rPr>
        <w:t xml:space="preserve"> בכוונה נכונה </w:t>
      </w:r>
      <w:r>
        <w:rPr>
          <w:rtl/>
        </w:rPr>
        <w:t>–</w:t>
      </w:r>
      <w:r>
        <w:rPr>
          <w:rFonts w:hint="cs"/>
          <w:rtl/>
        </w:rPr>
        <w:t xml:space="preserve"> הוא מעשה 'טוב', שנועד לגמול חסד עם נשמות נפולות שצריכות להתעלות אל הקדושה בעבודה של תשובה או אף בגיור (ועל מעשים טובים כאלו, המעוררים לתשובה, נאמר כי "תכלית חכמה [זיווג השבת, כדלקמן] תשובה ומעשים טובים"</w:t>
      </w:r>
      <w:r w:rsidRPr="00E838EB">
        <w:rPr>
          <w:rStyle w:val="a6"/>
          <w:rtl/>
        </w:rPr>
        <w:endnoteReference w:id="11"/>
      </w:r>
      <w:r>
        <w:rPr>
          <w:rFonts w:hint="cs"/>
          <w:rtl/>
        </w:rPr>
        <w:t xml:space="preserve">). אם על זיווג השבת נאמר "אשר פריו </w:t>
      </w:r>
      <w:proofErr w:type="spellStart"/>
      <w:r>
        <w:rPr>
          <w:rFonts w:hint="cs"/>
          <w:rtl/>
        </w:rPr>
        <w:t>יתן</w:t>
      </w:r>
      <w:proofErr w:type="spellEnd"/>
      <w:r>
        <w:rPr>
          <w:rFonts w:hint="cs"/>
          <w:rtl/>
        </w:rPr>
        <w:t xml:space="preserve"> </w:t>
      </w:r>
      <w:r w:rsidRPr="00EC6CF9">
        <w:rPr>
          <w:rStyle w:val="a3"/>
          <w:rFonts w:hint="cs"/>
          <w:rtl/>
        </w:rPr>
        <w:t>בעתו</w:t>
      </w:r>
      <w:r>
        <w:rPr>
          <w:rFonts w:hint="cs"/>
          <w:rtl/>
        </w:rPr>
        <w:t>", הרי שמעלת זיווג החול היא כמעלת גאולת "</w:t>
      </w:r>
      <w:proofErr w:type="spellStart"/>
      <w:r>
        <w:rPr>
          <w:rFonts w:hint="cs"/>
          <w:rtl/>
        </w:rPr>
        <w:t>אחישנה</w:t>
      </w:r>
      <w:proofErr w:type="spellEnd"/>
      <w:r>
        <w:rPr>
          <w:rFonts w:hint="cs"/>
          <w:rtl/>
        </w:rPr>
        <w:t>" על גאולת "</w:t>
      </w:r>
      <w:r w:rsidRPr="00EC6CF9">
        <w:rPr>
          <w:rStyle w:val="a3"/>
          <w:rFonts w:hint="cs"/>
          <w:rtl/>
        </w:rPr>
        <w:t>בעתה</w:t>
      </w:r>
      <w:r>
        <w:rPr>
          <w:rFonts w:hint="cs"/>
          <w:rtl/>
        </w:rPr>
        <w:t>"</w:t>
      </w:r>
      <w:r w:rsidRPr="00E838EB">
        <w:rPr>
          <w:rStyle w:val="a6"/>
          <w:rtl/>
        </w:rPr>
        <w:endnoteReference w:id="12"/>
      </w:r>
      <w:r>
        <w:rPr>
          <w:rFonts w:hint="cs"/>
          <w:rtl/>
        </w:rPr>
        <w:t xml:space="preserve"> </w:t>
      </w:r>
      <w:r>
        <w:rPr>
          <w:rtl/>
        </w:rPr>
        <w:t>–</w:t>
      </w:r>
      <w:r>
        <w:rPr>
          <w:rFonts w:hint="cs"/>
          <w:rtl/>
        </w:rPr>
        <w:t xml:space="preserve"> גאולת "</w:t>
      </w:r>
      <w:proofErr w:type="spellStart"/>
      <w:r>
        <w:rPr>
          <w:rFonts w:hint="cs"/>
          <w:rtl/>
        </w:rPr>
        <w:t>אחישנה</w:t>
      </w:r>
      <w:proofErr w:type="spellEnd"/>
      <w:r>
        <w:rPr>
          <w:rFonts w:hint="cs"/>
          <w:rtl/>
        </w:rPr>
        <w:t xml:space="preserve">" תלויה דווקא </w:t>
      </w:r>
      <w:proofErr w:type="spellStart"/>
      <w:r>
        <w:rPr>
          <w:rFonts w:hint="cs"/>
          <w:rtl/>
        </w:rPr>
        <w:t>בזכיה</w:t>
      </w:r>
      <w:proofErr w:type="spellEnd"/>
      <w:r>
        <w:rPr>
          <w:rFonts w:hint="cs"/>
          <w:rtl/>
        </w:rPr>
        <w:t xml:space="preserve"> של התעוררות תשובה מצד נשמות ישראל</w:t>
      </w:r>
      <w:r w:rsidRPr="00E838EB">
        <w:rPr>
          <w:rStyle w:val="a6"/>
          <w:rtl/>
        </w:rPr>
        <w:endnoteReference w:id="13"/>
      </w:r>
      <w:r>
        <w:rPr>
          <w:rFonts w:hint="cs"/>
          <w:rtl/>
        </w:rPr>
        <w:t>. "</w:t>
      </w:r>
      <w:proofErr w:type="spellStart"/>
      <w:r w:rsidRPr="00EC6CF9">
        <w:rPr>
          <w:rFonts w:hint="cs"/>
          <w:b/>
          <w:bCs/>
          <w:sz w:val="28"/>
          <w:szCs w:val="28"/>
          <w:rtl/>
        </w:rPr>
        <w:t>אחישנה</w:t>
      </w:r>
      <w:proofErr w:type="spellEnd"/>
      <w:r>
        <w:rPr>
          <w:rFonts w:hint="cs"/>
          <w:rtl/>
        </w:rPr>
        <w:t xml:space="preserve">" עולה </w:t>
      </w:r>
      <w:r w:rsidRPr="00EC6CF9">
        <w:rPr>
          <w:rFonts w:hint="cs"/>
          <w:b/>
          <w:bCs/>
          <w:sz w:val="28"/>
          <w:szCs w:val="28"/>
          <w:rtl/>
        </w:rPr>
        <w:t>טוב</w:t>
      </w:r>
      <w:r>
        <w:rPr>
          <w:rFonts w:hint="cs"/>
          <w:rtl/>
        </w:rPr>
        <w:t xml:space="preserve"> פעמים </w:t>
      </w:r>
      <w:r w:rsidRPr="00EC6CF9">
        <w:rPr>
          <w:rFonts w:hint="cs"/>
          <w:b/>
          <w:bCs/>
          <w:sz w:val="28"/>
          <w:szCs w:val="28"/>
          <w:rtl/>
        </w:rPr>
        <w:t>טובה</w:t>
      </w:r>
      <w:r w:rsidRPr="00E838EB">
        <w:rPr>
          <w:rStyle w:val="a6"/>
          <w:rtl/>
        </w:rPr>
        <w:endnoteReference w:id="14"/>
      </w:r>
      <w:r>
        <w:rPr>
          <w:rFonts w:hint="cs"/>
          <w:rtl/>
        </w:rPr>
        <w:t xml:space="preserve"> </w:t>
      </w:r>
      <w:r>
        <w:rPr>
          <w:rtl/>
        </w:rPr>
        <w:t>–</w:t>
      </w:r>
      <w:r>
        <w:rPr>
          <w:rFonts w:hint="cs"/>
          <w:rtl/>
        </w:rPr>
        <w:t xml:space="preserve"> זהו הכפל-הזיווג של איש טוב ואשה טובה, היורדים ממדרגתם כדי לעשות נפשות, לגייר גרים ולקרב בעלי תשובה, ובכך להחיש את הגאולה.</w:t>
      </w:r>
    </w:p>
    <w:p w:rsidR="00346D0B" w:rsidRDefault="00346D0B" w:rsidP="00346D0B">
      <w:pPr>
        <w:rPr>
          <w:rFonts w:hint="cs"/>
          <w:rtl/>
        </w:rPr>
      </w:pPr>
      <w:r>
        <w:rPr>
          <w:rFonts w:hint="cs"/>
          <w:rtl/>
        </w:rPr>
        <w:t xml:space="preserve">מעלת זיווגי החול </w:t>
      </w:r>
      <w:proofErr w:type="spellStart"/>
      <w:r>
        <w:rPr>
          <w:rFonts w:hint="cs"/>
          <w:rtl/>
        </w:rPr>
        <w:t>והכח</w:t>
      </w:r>
      <w:proofErr w:type="spellEnd"/>
      <w:r>
        <w:rPr>
          <w:rFonts w:hint="cs"/>
          <w:rtl/>
        </w:rPr>
        <w:t xml:space="preserve"> המיוחד שלהם מתחדדת כאשר מתבוננים בתודעה הפנימית </w:t>
      </w:r>
      <w:r>
        <w:rPr>
          <w:rtl/>
        </w:rPr>
        <w:t>–</w:t>
      </w:r>
      <w:r>
        <w:rPr>
          <w:rFonts w:hint="cs"/>
          <w:rtl/>
        </w:rPr>
        <w:t xml:space="preserve"> המוחין העליונים </w:t>
      </w:r>
      <w:r>
        <w:rPr>
          <w:rtl/>
        </w:rPr>
        <w:t>–</w:t>
      </w:r>
      <w:r>
        <w:rPr>
          <w:rFonts w:hint="cs"/>
          <w:rtl/>
        </w:rPr>
        <w:t xml:space="preserve"> שנמשכים בכל זיווג: ביום השבת מאירים מוחין </w:t>
      </w:r>
      <w:proofErr w:type="spellStart"/>
      <w:r>
        <w:rPr>
          <w:rFonts w:hint="cs"/>
          <w:rtl/>
        </w:rPr>
        <w:t>דאבא</w:t>
      </w:r>
      <w:proofErr w:type="spellEnd"/>
      <w:r>
        <w:rPr>
          <w:rFonts w:hint="cs"/>
          <w:rtl/>
        </w:rPr>
        <w:t xml:space="preserve"> </w:t>
      </w:r>
      <w:r>
        <w:rPr>
          <w:rtl/>
        </w:rPr>
        <w:t>–</w:t>
      </w:r>
      <w:r>
        <w:rPr>
          <w:rFonts w:hint="cs"/>
          <w:rtl/>
        </w:rPr>
        <w:t xml:space="preserve"> מח החכמה </w:t>
      </w:r>
      <w:r>
        <w:rPr>
          <w:rtl/>
        </w:rPr>
        <w:t>–</w:t>
      </w:r>
      <w:r>
        <w:rPr>
          <w:rFonts w:hint="cs"/>
          <w:rtl/>
        </w:rPr>
        <w:t xml:space="preserve"> והם הנמשכים בזיווגי שבת. לעומת זאת, בזיווגי החול יש להמשיך את הארת מוחין </w:t>
      </w:r>
      <w:proofErr w:type="spellStart"/>
      <w:r>
        <w:rPr>
          <w:rFonts w:hint="cs"/>
          <w:rtl/>
        </w:rPr>
        <w:t>דאמא</w:t>
      </w:r>
      <w:proofErr w:type="spellEnd"/>
      <w:r>
        <w:rPr>
          <w:rFonts w:hint="cs"/>
          <w:rtl/>
        </w:rPr>
        <w:t xml:space="preserve"> </w:t>
      </w:r>
      <w:r>
        <w:rPr>
          <w:rtl/>
        </w:rPr>
        <w:t>–</w:t>
      </w:r>
      <w:r>
        <w:rPr>
          <w:rFonts w:hint="cs"/>
          <w:rtl/>
        </w:rPr>
        <w:t xml:space="preserve"> מח הבינה (שהוא גם מקור התשובה, כלשון הפסוק "ולבבו יבין </w:t>
      </w:r>
      <w:r>
        <w:rPr>
          <w:rtl/>
        </w:rPr>
        <w:t>–</w:t>
      </w:r>
      <w:r>
        <w:rPr>
          <w:rFonts w:hint="cs"/>
          <w:rtl/>
        </w:rPr>
        <w:t xml:space="preserve"> ושב"</w:t>
      </w:r>
      <w:r w:rsidRPr="00E838EB">
        <w:rPr>
          <w:rStyle w:val="a6"/>
          <w:rtl/>
        </w:rPr>
        <w:endnoteReference w:id="15"/>
      </w:r>
      <w:r>
        <w:rPr>
          <w:rFonts w:hint="cs"/>
          <w:rtl/>
        </w:rPr>
        <w:t>). חז"ל</w:t>
      </w:r>
      <w:r w:rsidRPr="00E838EB">
        <w:rPr>
          <w:rStyle w:val="a6"/>
          <w:rtl/>
        </w:rPr>
        <w:endnoteReference w:id="16"/>
      </w:r>
      <w:r>
        <w:rPr>
          <w:rFonts w:hint="cs"/>
          <w:rtl/>
        </w:rPr>
        <w:t xml:space="preserve"> מדמים את ההבדל בין חכם לנבון להפרש בין "</w:t>
      </w:r>
      <w:r>
        <w:rPr>
          <w:rtl/>
        </w:rPr>
        <w:t>שולחני עשיר</w:t>
      </w:r>
      <w:r>
        <w:rPr>
          <w:rFonts w:hint="cs"/>
          <w:rtl/>
        </w:rPr>
        <w:t>,</w:t>
      </w:r>
      <w:r>
        <w:rPr>
          <w:rtl/>
        </w:rPr>
        <w:t xml:space="preserve"> </w:t>
      </w:r>
      <w:proofErr w:type="spellStart"/>
      <w:r>
        <w:rPr>
          <w:rtl/>
        </w:rPr>
        <w:t>כשמביאין</w:t>
      </w:r>
      <w:proofErr w:type="spellEnd"/>
      <w:r>
        <w:rPr>
          <w:rtl/>
        </w:rPr>
        <w:t xml:space="preserve"> לו </w:t>
      </w:r>
      <w:proofErr w:type="spellStart"/>
      <w:r>
        <w:rPr>
          <w:rtl/>
        </w:rPr>
        <w:t>דינרין</w:t>
      </w:r>
      <w:proofErr w:type="spellEnd"/>
      <w:r>
        <w:rPr>
          <w:rtl/>
        </w:rPr>
        <w:t xml:space="preserve"> לראות רואה וכשאין </w:t>
      </w:r>
      <w:proofErr w:type="spellStart"/>
      <w:r>
        <w:rPr>
          <w:rtl/>
        </w:rPr>
        <w:t>מביאין</w:t>
      </w:r>
      <w:proofErr w:type="spellEnd"/>
      <w:r>
        <w:rPr>
          <w:rtl/>
        </w:rPr>
        <w:t xml:space="preserve"> לו יושב ותוהה</w:t>
      </w:r>
      <w:r>
        <w:rPr>
          <w:rFonts w:hint="cs"/>
          <w:rtl/>
        </w:rPr>
        <w:t>" ל"שולחני</w:t>
      </w:r>
      <w:r>
        <w:rPr>
          <w:rtl/>
        </w:rPr>
        <w:t xml:space="preserve"> תגר</w:t>
      </w:r>
      <w:r>
        <w:rPr>
          <w:rFonts w:hint="cs"/>
          <w:rtl/>
        </w:rPr>
        <w:t>,</w:t>
      </w:r>
      <w:r>
        <w:rPr>
          <w:rtl/>
        </w:rPr>
        <w:t xml:space="preserve"> </w:t>
      </w:r>
      <w:proofErr w:type="spellStart"/>
      <w:r>
        <w:rPr>
          <w:rtl/>
        </w:rPr>
        <w:t>כשמביאין</w:t>
      </w:r>
      <w:proofErr w:type="spellEnd"/>
      <w:r>
        <w:rPr>
          <w:rtl/>
        </w:rPr>
        <w:t xml:space="preserve"> לו מעות לראות רואה וכשאין </w:t>
      </w:r>
      <w:proofErr w:type="spellStart"/>
      <w:r>
        <w:rPr>
          <w:rtl/>
        </w:rPr>
        <w:t>מביאין</w:t>
      </w:r>
      <w:proofErr w:type="spellEnd"/>
      <w:r>
        <w:rPr>
          <w:rtl/>
        </w:rPr>
        <w:t xml:space="preserve"> לו הוא מחזר ומביא משלו</w:t>
      </w:r>
      <w:r>
        <w:rPr>
          <w:rFonts w:hint="cs"/>
          <w:rtl/>
        </w:rPr>
        <w:t xml:space="preserve">". מי </w:t>
      </w:r>
      <w:r>
        <w:rPr>
          <w:rFonts w:hint="cs"/>
          <w:rtl/>
        </w:rPr>
        <w:lastRenderedPageBreak/>
        <w:t>שממתין בזיווגו לשבת בלבד הוא חכם-עשיר המחכה לזמן בו מאירה הקדושה מעצמה (וברי לו כי אז יחוש בקדושה זו ויוכל להמשיך נשמות ממנה), ואילו תלמיד חכם נבון-תגר חש כי עליו לסחור ולהרוויח מירידתו בעולם והוא מחזר אחר הקדושה גם במדרגות הנמוכות, בזיווגי ימי החול. אכן, מעלה מיוחד יש בנבונים דווקא, עד שבימי משה רבינו "'נבונים' לא אשכח"</w:t>
      </w:r>
      <w:r w:rsidRPr="00E838EB">
        <w:rPr>
          <w:rStyle w:val="a6"/>
          <w:rtl/>
        </w:rPr>
        <w:endnoteReference w:id="17"/>
      </w:r>
      <w:r>
        <w:rPr>
          <w:rFonts w:hint="cs"/>
          <w:rtl/>
        </w:rPr>
        <w:t xml:space="preserve"> (אף שמשה מצא "חכמים", "נבונים" לא נמצאו לו). במעלת הצדיקים ותלמידי החכמים היורדים למקומות הנמוכים מרצון, כדי להמשיך גם בהם קדושה, הפליגו דווקא גדולי החסידות. כך שיבח רבי </w:t>
      </w:r>
      <w:proofErr w:type="spellStart"/>
      <w:r>
        <w:rPr>
          <w:rFonts w:hint="cs"/>
          <w:rtl/>
        </w:rPr>
        <w:t>שמעלקא</w:t>
      </w:r>
      <w:proofErr w:type="spellEnd"/>
      <w:r>
        <w:rPr>
          <w:rFonts w:hint="cs"/>
          <w:rtl/>
        </w:rPr>
        <w:t xml:space="preserve"> </w:t>
      </w:r>
      <w:proofErr w:type="spellStart"/>
      <w:r>
        <w:rPr>
          <w:rFonts w:hint="cs"/>
          <w:rtl/>
        </w:rPr>
        <w:t>מניקלשבורג</w:t>
      </w:r>
      <w:proofErr w:type="spellEnd"/>
      <w:r w:rsidRPr="00E838EB">
        <w:rPr>
          <w:rStyle w:val="a6"/>
          <w:rtl/>
        </w:rPr>
        <w:endnoteReference w:id="18"/>
      </w:r>
      <w:r>
        <w:rPr>
          <w:rFonts w:hint="cs"/>
          <w:rtl/>
        </w:rPr>
        <w:t xml:space="preserve"> את רבי לוי יצחק </w:t>
      </w:r>
      <w:proofErr w:type="spellStart"/>
      <w:r>
        <w:rPr>
          <w:rFonts w:hint="cs"/>
          <w:rtl/>
        </w:rPr>
        <w:t>מברדיטשוב</w:t>
      </w:r>
      <w:proofErr w:type="spellEnd"/>
      <w:r>
        <w:rPr>
          <w:rFonts w:hint="cs"/>
          <w:rtl/>
        </w:rPr>
        <w:t xml:space="preserve">, כי לעוצם דבקותו וקדושתו הוא מחזר אחרי הזדמנויות לשיחת חולין והוא מסוגל להאריך בשיחה כזו מבלי </w:t>
      </w:r>
      <w:proofErr w:type="spellStart"/>
      <w:r>
        <w:rPr>
          <w:rFonts w:hint="cs"/>
          <w:rtl/>
        </w:rPr>
        <w:t>להפרד</w:t>
      </w:r>
      <w:proofErr w:type="spellEnd"/>
      <w:r>
        <w:rPr>
          <w:rFonts w:hint="cs"/>
          <w:rtl/>
        </w:rPr>
        <w:t xml:space="preserve"> לרגע אחד מדבקותו.</w:t>
      </w:r>
    </w:p>
    <w:p w:rsidR="00346D0B" w:rsidRDefault="00346D0B" w:rsidP="00346D0B">
      <w:pPr>
        <w:rPr>
          <w:rFonts w:hint="cs"/>
          <w:rtl/>
        </w:rPr>
      </w:pPr>
      <w:r>
        <w:rPr>
          <w:rFonts w:hint="cs"/>
          <w:rtl/>
        </w:rPr>
        <w:t xml:space="preserve">יהודי טוב </w:t>
      </w:r>
      <w:proofErr w:type="spellStart"/>
      <w:r>
        <w:rPr>
          <w:rFonts w:hint="cs"/>
          <w:rtl/>
        </w:rPr>
        <w:t>ויהודיה</w:t>
      </w:r>
      <w:proofErr w:type="spellEnd"/>
      <w:r>
        <w:rPr>
          <w:rFonts w:hint="cs"/>
          <w:rtl/>
        </w:rPr>
        <w:t xml:space="preserve"> טובה צריכים לחוש כי הדחף שלהם להתייחד גם בימות החול נובע מהטבע היהודי הטוב בעצם </w:t>
      </w:r>
      <w:r>
        <w:rPr>
          <w:rtl/>
        </w:rPr>
        <w:t>–</w:t>
      </w:r>
      <w:r>
        <w:rPr>
          <w:rFonts w:hint="cs"/>
          <w:rtl/>
        </w:rPr>
        <w:t xml:space="preserve"> החפץ תמיד בהתקשרות עם הזולת, ואיננו מסוגל לשאת פירוד וריחוק (כפי שנתפרש בחסידות</w:t>
      </w:r>
      <w:r w:rsidRPr="00E838EB">
        <w:rPr>
          <w:rStyle w:val="a6"/>
          <w:rtl/>
        </w:rPr>
        <w:endnoteReference w:id="19"/>
      </w:r>
      <w:r>
        <w:rPr>
          <w:rFonts w:hint="cs"/>
          <w:rtl/>
        </w:rPr>
        <w:t xml:space="preserve"> הפסוק "והיה </w:t>
      </w:r>
      <w:proofErr w:type="spellStart"/>
      <w:r>
        <w:rPr>
          <w:rFonts w:hint="cs"/>
          <w:rtl/>
        </w:rPr>
        <w:t>העטֻפים</w:t>
      </w:r>
      <w:proofErr w:type="spellEnd"/>
      <w:r>
        <w:rPr>
          <w:rFonts w:hint="cs"/>
          <w:rtl/>
        </w:rPr>
        <w:t xml:space="preserve"> ללבן והקשֻרים ליעקב"</w:t>
      </w:r>
      <w:r w:rsidRPr="00E838EB">
        <w:rPr>
          <w:rStyle w:val="a6"/>
          <w:rtl/>
        </w:rPr>
        <w:endnoteReference w:id="20"/>
      </w:r>
      <w:r>
        <w:rPr>
          <w:rFonts w:hint="cs"/>
          <w:rtl/>
        </w:rPr>
        <w:t xml:space="preserve"> </w:t>
      </w:r>
      <w:r>
        <w:rPr>
          <w:rtl/>
        </w:rPr>
        <w:t>–</w:t>
      </w:r>
      <w:r>
        <w:rPr>
          <w:rFonts w:hint="cs"/>
          <w:rtl/>
        </w:rPr>
        <w:t xml:space="preserve"> מי שמסוגל להתעטף בצמרו-טליתו לבדו שייך לצד הקליפה של לבן, ואילו אלו שבטבעם מוכרחים קשר עם זולתם שייכים לקדושת זרע יעקב). הטבע הטוב הזה, המתבטא גם ב'הכרח' החשק הגשמי לזיווג, צריך להשפיע על כוונת זיווגי החול אצל בני הזוג </w:t>
      </w:r>
      <w:r>
        <w:rPr>
          <w:rtl/>
        </w:rPr>
        <w:t>–</w:t>
      </w:r>
      <w:r>
        <w:rPr>
          <w:rFonts w:hint="cs"/>
          <w:rtl/>
        </w:rPr>
        <w:t xml:space="preserve"> עליהם להרהר בתשובה בעת הזיווג, ולכוון לעורר לתשובה (ואף לקרב לגיור) את כל באי עולם.</w:t>
      </w:r>
    </w:p>
    <w:p w:rsidR="005F4A47" w:rsidRDefault="005F0C1F">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C1F" w:rsidRDefault="005F0C1F" w:rsidP="00346D0B">
      <w:pPr>
        <w:spacing w:after="0" w:line="240" w:lineRule="auto"/>
      </w:pPr>
      <w:r>
        <w:separator/>
      </w:r>
    </w:p>
  </w:endnote>
  <w:endnote w:type="continuationSeparator" w:id="0">
    <w:p w:rsidR="005F0C1F" w:rsidRDefault="005F0C1F" w:rsidP="00346D0B">
      <w:pPr>
        <w:spacing w:after="0" w:line="240" w:lineRule="auto"/>
      </w:pPr>
      <w:r>
        <w:continuationSeparator/>
      </w:r>
    </w:p>
  </w:endnote>
  <w:endnote w:id="1">
    <w:p w:rsidR="00346D0B" w:rsidRPr="00672B3D" w:rsidRDefault="00346D0B" w:rsidP="00346D0B">
      <w:pPr>
        <w:keepNext/>
        <w:spacing w:before="240"/>
        <w:rPr>
          <w:rFonts w:cs="Guttman Soncino" w:hint="cs"/>
          <w:spacing w:val="60"/>
          <w:sz w:val="22"/>
          <w:szCs w:val="22"/>
        </w:rPr>
      </w:pPr>
      <w:r w:rsidRPr="00672B3D">
        <w:rPr>
          <w:rFonts w:cs="Guttman Soncino" w:hint="cs"/>
          <w:spacing w:val="60"/>
          <w:sz w:val="22"/>
          <w:szCs w:val="22"/>
          <w:rtl/>
        </w:rPr>
        <w:t>מקורות:</w:t>
      </w:r>
    </w:p>
    <w:p w:rsidR="00346D0B" w:rsidRDefault="00346D0B" w:rsidP="00346D0B">
      <w:pPr>
        <w:pStyle w:val="a4"/>
        <w:rPr>
          <w:rFonts w:hint="cs"/>
        </w:rPr>
      </w:pPr>
      <w:r>
        <w:rPr>
          <w:rtl/>
        </w:rPr>
        <w:tab/>
      </w:r>
      <w:r w:rsidRPr="00DF60BE">
        <w:rPr>
          <w:rtl/>
        </w:rPr>
        <w:endnoteRef/>
      </w:r>
      <w:r>
        <w:rPr>
          <w:rtl/>
        </w:rPr>
        <w:t>.</w:t>
      </w:r>
      <w:r>
        <w:rPr>
          <w:rtl/>
        </w:rPr>
        <w:tab/>
      </w:r>
      <w:r>
        <w:rPr>
          <w:rFonts w:hint="cs"/>
          <w:rtl/>
        </w:rPr>
        <w:t>כתובות סב, ב.</w:t>
      </w:r>
    </w:p>
  </w:endnote>
  <w:endnote w:id="2">
    <w:p w:rsidR="00346D0B" w:rsidRDefault="00346D0B" w:rsidP="00346D0B">
      <w:pPr>
        <w:pStyle w:val="a4"/>
        <w:rPr>
          <w:rFonts w:hint="cs"/>
        </w:rPr>
      </w:pPr>
      <w:r>
        <w:rPr>
          <w:rtl/>
        </w:rPr>
        <w:tab/>
      </w:r>
      <w:r w:rsidRPr="00DF60BE">
        <w:rPr>
          <w:rtl/>
        </w:rPr>
        <w:endnoteRef/>
      </w:r>
      <w:r>
        <w:rPr>
          <w:rtl/>
        </w:rPr>
        <w:t>.</w:t>
      </w:r>
      <w:r>
        <w:rPr>
          <w:rtl/>
        </w:rPr>
        <w:tab/>
      </w:r>
      <w:r>
        <w:rPr>
          <w:rFonts w:hint="cs"/>
          <w:rtl/>
        </w:rPr>
        <w:t>מכות ז, ב. וראה בספר אמונה ומודעות עמ</w:t>
      </w:r>
      <w:r>
        <w:rPr>
          <w:rtl/>
        </w:rPr>
        <w:t>'</w:t>
      </w:r>
      <w:r>
        <w:rPr>
          <w:rFonts w:hint="cs"/>
          <w:rtl/>
        </w:rPr>
        <w:t xml:space="preserve"> רד-ח.</w:t>
      </w:r>
    </w:p>
  </w:endnote>
  <w:endnote w:id="3">
    <w:p w:rsidR="00346D0B" w:rsidRDefault="00346D0B" w:rsidP="00346D0B">
      <w:pPr>
        <w:pStyle w:val="a4"/>
        <w:rPr>
          <w:rFonts w:hint="cs"/>
          <w:rtl/>
        </w:rPr>
      </w:pPr>
      <w:r>
        <w:rPr>
          <w:rtl/>
        </w:rPr>
        <w:tab/>
      </w:r>
      <w:r w:rsidRPr="00DF60BE">
        <w:rPr>
          <w:rtl/>
        </w:rPr>
        <w:endnoteRef/>
      </w:r>
      <w:r>
        <w:rPr>
          <w:rtl/>
        </w:rPr>
        <w:t>.</w:t>
      </w:r>
      <w:r>
        <w:rPr>
          <w:rtl/>
        </w:rPr>
        <w:tab/>
      </w:r>
      <w:r>
        <w:rPr>
          <w:rFonts w:hint="cs"/>
          <w:rtl/>
        </w:rPr>
        <w:t xml:space="preserve">וכנ"ל בתורות "לב טהור ברא לי </w:t>
      </w:r>
      <w:proofErr w:type="spellStart"/>
      <w:r>
        <w:rPr>
          <w:rFonts w:hint="cs"/>
          <w:rtl/>
        </w:rPr>
        <w:t>אלהים</w:t>
      </w:r>
      <w:proofErr w:type="spellEnd"/>
      <w:r>
        <w:rPr>
          <w:rFonts w:hint="cs"/>
          <w:rtl/>
        </w:rPr>
        <w:t>" ו"ירידה צורך עליה".</w:t>
      </w:r>
    </w:p>
  </w:endnote>
  <w:endnote w:id="4">
    <w:p w:rsidR="00346D0B" w:rsidRDefault="00346D0B" w:rsidP="00346D0B">
      <w:pPr>
        <w:pStyle w:val="a4"/>
        <w:rPr>
          <w:rFonts w:hint="cs"/>
          <w:rtl/>
        </w:rPr>
      </w:pPr>
      <w:r>
        <w:rPr>
          <w:rtl/>
        </w:rPr>
        <w:tab/>
      </w:r>
      <w:r w:rsidRPr="00DF60BE">
        <w:rPr>
          <w:rtl/>
        </w:rPr>
        <w:endnoteRef/>
      </w:r>
      <w:r>
        <w:rPr>
          <w:rtl/>
        </w:rPr>
        <w:t>.</w:t>
      </w:r>
      <w:r>
        <w:rPr>
          <w:rtl/>
        </w:rPr>
        <w:tab/>
      </w:r>
      <w:r>
        <w:rPr>
          <w:rFonts w:hint="cs"/>
          <w:rtl/>
        </w:rPr>
        <w:t xml:space="preserve">ברכות </w:t>
      </w:r>
      <w:proofErr w:type="spellStart"/>
      <w:r>
        <w:rPr>
          <w:rFonts w:hint="cs"/>
          <w:rtl/>
        </w:rPr>
        <w:t>יט</w:t>
      </w:r>
      <w:proofErr w:type="spellEnd"/>
      <w:r>
        <w:rPr>
          <w:rFonts w:hint="cs"/>
          <w:rtl/>
        </w:rPr>
        <w:t>, א.</w:t>
      </w:r>
    </w:p>
  </w:endnote>
  <w:endnote w:id="5">
    <w:p w:rsidR="00346D0B" w:rsidRDefault="00346D0B" w:rsidP="00346D0B">
      <w:pPr>
        <w:pStyle w:val="a4"/>
        <w:rPr>
          <w:rFonts w:hint="cs"/>
          <w:rtl/>
        </w:rPr>
      </w:pPr>
      <w:r>
        <w:rPr>
          <w:rtl/>
        </w:rPr>
        <w:tab/>
      </w:r>
      <w:r w:rsidRPr="00DF60BE">
        <w:rPr>
          <w:rtl/>
        </w:rPr>
        <w:endnoteRef/>
      </w:r>
      <w:r>
        <w:rPr>
          <w:rtl/>
        </w:rPr>
        <w:t>.</w:t>
      </w:r>
      <w:r>
        <w:rPr>
          <w:rtl/>
        </w:rPr>
        <w:tab/>
      </w:r>
      <w:r>
        <w:rPr>
          <w:rFonts w:hint="cs"/>
          <w:rtl/>
        </w:rPr>
        <w:t xml:space="preserve">טעמי המצוות בראשית </w:t>
      </w:r>
      <w:r>
        <w:rPr>
          <w:rtl/>
        </w:rPr>
        <w:t>–</w:t>
      </w:r>
      <w:r>
        <w:rPr>
          <w:rFonts w:hint="cs"/>
          <w:rtl/>
        </w:rPr>
        <w:t xml:space="preserve"> מצות פריה ורביה.</w:t>
      </w:r>
    </w:p>
  </w:endnote>
  <w:endnote w:id="6">
    <w:p w:rsidR="00346D0B" w:rsidRDefault="00346D0B" w:rsidP="00346D0B">
      <w:pPr>
        <w:pStyle w:val="a4"/>
        <w:rPr>
          <w:rFonts w:hint="cs"/>
          <w:rtl/>
        </w:rPr>
      </w:pPr>
      <w:r>
        <w:rPr>
          <w:rtl/>
        </w:rPr>
        <w:tab/>
      </w:r>
      <w:r w:rsidRPr="00DF60BE">
        <w:rPr>
          <w:rtl/>
        </w:rPr>
        <w:endnoteRef/>
      </w:r>
      <w:r>
        <w:rPr>
          <w:rtl/>
        </w:rPr>
        <w:t>.</w:t>
      </w:r>
      <w:r>
        <w:rPr>
          <w:rtl/>
        </w:rPr>
        <w:tab/>
      </w:r>
      <w:r>
        <w:rPr>
          <w:rFonts w:hint="cs"/>
          <w:rtl/>
        </w:rPr>
        <w:t xml:space="preserve">בראשית א, </w:t>
      </w:r>
      <w:proofErr w:type="spellStart"/>
      <w:r>
        <w:rPr>
          <w:rFonts w:hint="cs"/>
          <w:rtl/>
        </w:rPr>
        <w:t>כח</w:t>
      </w:r>
      <w:proofErr w:type="spellEnd"/>
      <w:r>
        <w:rPr>
          <w:rFonts w:hint="cs"/>
          <w:rtl/>
        </w:rPr>
        <w:t>.</w:t>
      </w:r>
    </w:p>
  </w:endnote>
  <w:endnote w:id="7">
    <w:p w:rsidR="00346D0B" w:rsidRDefault="00346D0B" w:rsidP="00346D0B">
      <w:pPr>
        <w:pStyle w:val="a4"/>
        <w:rPr>
          <w:rFonts w:hint="cs"/>
          <w:rtl/>
        </w:rPr>
      </w:pPr>
      <w:r>
        <w:rPr>
          <w:rtl/>
        </w:rPr>
        <w:tab/>
      </w:r>
      <w:r w:rsidRPr="00DF60BE">
        <w:rPr>
          <w:rtl/>
        </w:rPr>
        <w:endnoteRef/>
      </w:r>
      <w:r>
        <w:rPr>
          <w:rtl/>
        </w:rPr>
        <w:t>.</w:t>
      </w:r>
      <w:r>
        <w:rPr>
          <w:rtl/>
        </w:rPr>
        <w:tab/>
      </w:r>
      <w:r>
        <w:rPr>
          <w:rFonts w:hint="cs"/>
          <w:rtl/>
        </w:rPr>
        <w:t>תהלים א, ג.</w:t>
      </w:r>
    </w:p>
  </w:endnote>
  <w:endnote w:id="8">
    <w:p w:rsidR="00346D0B" w:rsidRDefault="00346D0B" w:rsidP="00346D0B">
      <w:pPr>
        <w:pStyle w:val="a4"/>
        <w:rPr>
          <w:rFonts w:hint="cs"/>
          <w:rtl/>
        </w:rPr>
      </w:pPr>
      <w:r>
        <w:rPr>
          <w:rtl/>
        </w:rPr>
        <w:tab/>
      </w:r>
      <w:r w:rsidRPr="00DF60BE">
        <w:rPr>
          <w:rtl/>
        </w:rPr>
        <w:endnoteRef/>
      </w:r>
      <w:r>
        <w:rPr>
          <w:rtl/>
        </w:rPr>
        <w:t>.</w:t>
      </w:r>
      <w:r>
        <w:rPr>
          <w:rtl/>
        </w:rPr>
        <w:tab/>
      </w:r>
      <w:r>
        <w:rPr>
          <w:rFonts w:hint="cs"/>
          <w:rtl/>
        </w:rPr>
        <w:t>דרך מצותיך שם.</w:t>
      </w:r>
    </w:p>
  </w:endnote>
  <w:endnote w:id="9">
    <w:p w:rsidR="00346D0B" w:rsidRDefault="00346D0B" w:rsidP="00346D0B">
      <w:pPr>
        <w:pStyle w:val="a4"/>
        <w:rPr>
          <w:rFonts w:hint="cs"/>
          <w:rtl/>
        </w:rPr>
      </w:pPr>
      <w:r>
        <w:rPr>
          <w:rtl/>
        </w:rPr>
        <w:tab/>
      </w:r>
      <w:r w:rsidRPr="00DF60BE">
        <w:rPr>
          <w:rtl/>
        </w:rPr>
        <w:endnoteRef/>
      </w:r>
      <w:r>
        <w:rPr>
          <w:rtl/>
        </w:rPr>
        <w:t>.</w:t>
      </w:r>
      <w:r>
        <w:rPr>
          <w:rtl/>
        </w:rPr>
        <w:tab/>
      </w:r>
      <w:r>
        <w:rPr>
          <w:rFonts w:hint="cs"/>
          <w:rtl/>
        </w:rPr>
        <w:t>ראה שכינה ביניהם סוף פרק ז.</w:t>
      </w:r>
    </w:p>
  </w:endnote>
  <w:endnote w:id="10">
    <w:p w:rsidR="00346D0B" w:rsidRDefault="00346D0B" w:rsidP="00346D0B">
      <w:pPr>
        <w:pStyle w:val="a4"/>
        <w:rPr>
          <w:rFonts w:hint="cs"/>
        </w:rPr>
      </w:pPr>
      <w:r>
        <w:rPr>
          <w:rtl/>
        </w:rPr>
        <w:tab/>
      </w:r>
      <w:r w:rsidRPr="00DF60BE">
        <w:rPr>
          <w:rtl/>
        </w:rPr>
        <w:endnoteRef/>
      </w:r>
      <w:r>
        <w:rPr>
          <w:rtl/>
        </w:rPr>
        <w:t>.</w:t>
      </w:r>
      <w:r>
        <w:rPr>
          <w:rtl/>
        </w:rPr>
        <w:tab/>
      </w:r>
      <w:r>
        <w:rPr>
          <w:rFonts w:hint="cs"/>
          <w:rtl/>
        </w:rPr>
        <w:t xml:space="preserve">"פתח אליהו" </w:t>
      </w:r>
      <w:r>
        <w:rPr>
          <w:rtl/>
        </w:rPr>
        <w:t>–</w:t>
      </w:r>
      <w:r>
        <w:rPr>
          <w:rFonts w:hint="cs"/>
          <w:rtl/>
        </w:rPr>
        <w:t xml:space="preserve"> הקדמת </w:t>
      </w:r>
      <w:proofErr w:type="spellStart"/>
      <w:r>
        <w:rPr>
          <w:rFonts w:hint="cs"/>
          <w:rtl/>
        </w:rPr>
        <w:t>תקוני</w:t>
      </w:r>
      <w:proofErr w:type="spellEnd"/>
      <w:r>
        <w:rPr>
          <w:rFonts w:hint="cs"/>
          <w:rtl/>
        </w:rPr>
        <w:t xml:space="preserve"> הזהר.</w:t>
      </w:r>
    </w:p>
  </w:endnote>
  <w:endnote w:id="11">
    <w:p w:rsidR="00346D0B" w:rsidRDefault="00346D0B" w:rsidP="00346D0B">
      <w:pPr>
        <w:pStyle w:val="a4"/>
        <w:rPr>
          <w:rFonts w:hint="cs"/>
          <w:rtl/>
        </w:rPr>
      </w:pPr>
      <w:r>
        <w:rPr>
          <w:rtl/>
        </w:rPr>
        <w:tab/>
      </w:r>
      <w:r w:rsidRPr="00DF60BE">
        <w:rPr>
          <w:rtl/>
        </w:rPr>
        <w:endnoteRef/>
      </w:r>
      <w:r>
        <w:rPr>
          <w:rtl/>
        </w:rPr>
        <w:t>.</w:t>
      </w:r>
      <w:r>
        <w:rPr>
          <w:rtl/>
        </w:rPr>
        <w:tab/>
      </w:r>
      <w:r>
        <w:rPr>
          <w:rFonts w:hint="cs"/>
          <w:rtl/>
        </w:rPr>
        <w:t xml:space="preserve">ברכות </w:t>
      </w:r>
      <w:proofErr w:type="spellStart"/>
      <w:r>
        <w:rPr>
          <w:rFonts w:hint="cs"/>
          <w:rtl/>
        </w:rPr>
        <w:t>יז</w:t>
      </w:r>
      <w:proofErr w:type="spellEnd"/>
      <w:r>
        <w:rPr>
          <w:rFonts w:hint="cs"/>
          <w:rtl/>
        </w:rPr>
        <w:t>, א (וראה עוד לקמן בתורה "יפה שעה אחת").</w:t>
      </w:r>
    </w:p>
  </w:endnote>
  <w:endnote w:id="12">
    <w:p w:rsidR="00346D0B" w:rsidRDefault="00346D0B" w:rsidP="00346D0B">
      <w:pPr>
        <w:pStyle w:val="a4"/>
        <w:rPr>
          <w:rFonts w:hint="cs"/>
          <w:rtl/>
        </w:rPr>
      </w:pPr>
      <w:r>
        <w:rPr>
          <w:rtl/>
        </w:rPr>
        <w:tab/>
      </w:r>
      <w:r w:rsidRPr="00DF60BE">
        <w:rPr>
          <w:rtl/>
        </w:rPr>
        <w:endnoteRef/>
      </w:r>
      <w:r>
        <w:rPr>
          <w:rtl/>
        </w:rPr>
        <w:t>.</w:t>
      </w:r>
      <w:r>
        <w:rPr>
          <w:rtl/>
        </w:rPr>
        <w:tab/>
      </w:r>
      <w:r>
        <w:rPr>
          <w:rFonts w:hint="cs"/>
          <w:rtl/>
        </w:rPr>
        <w:t>ראה שכינה ביניהם עמ</w:t>
      </w:r>
      <w:r>
        <w:rPr>
          <w:rtl/>
        </w:rPr>
        <w:t>'</w:t>
      </w:r>
      <w:r>
        <w:rPr>
          <w:rFonts w:hint="cs"/>
          <w:rtl/>
        </w:rPr>
        <w:t xml:space="preserve"> </w:t>
      </w:r>
      <w:proofErr w:type="spellStart"/>
      <w:r>
        <w:rPr>
          <w:rFonts w:hint="cs"/>
          <w:rtl/>
        </w:rPr>
        <w:t>קעה</w:t>
      </w:r>
      <w:proofErr w:type="spellEnd"/>
      <w:r>
        <w:rPr>
          <w:rFonts w:hint="cs"/>
          <w:rtl/>
        </w:rPr>
        <w:t>, הערה ט; ולעיל בתורה "שמחת עונה".</w:t>
      </w:r>
    </w:p>
  </w:endnote>
  <w:endnote w:id="13">
    <w:p w:rsidR="00346D0B" w:rsidRDefault="00346D0B" w:rsidP="00346D0B">
      <w:pPr>
        <w:pStyle w:val="a4"/>
        <w:rPr>
          <w:rFonts w:hint="cs"/>
          <w:rtl/>
        </w:rPr>
      </w:pPr>
      <w:r>
        <w:rPr>
          <w:rtl/>
        </w:rPr>
        <w:tab/>
      </w:r>
      <w:r w:rsidRPr="00DF60BE">
        <w:rPr>
          <w:rtl/>
        </w:rPr>
        <w:endnoteRef/>
      </w:r>
      <w:r>
        <w:rPr>
          <w:rtl/>
        </w:rPr>
        <w:t>.</w:t>
      </w:r>
      <w:r>
        <w:rPr>
          <w:rtl/>
        </w:rPr>
        <w:tab/>
      </w:r>
      <w:r>
        <w:rPr>
          <w:rFonts w:hint="cs"/>
          <w:rtl/>
        </w:rPr>
        <w:t>שערי אורה שער הפורים פז, א ועוד.</w:t>
      </w:r>
    </w:p>
  </w:endnote>
  <w:endnote w:id="14">
    <w:p w:rsidR="00346D0B" w:rsidRDefault="00346D0B" w:rsidP="00346D0B">
      <w:pPr>
        <w:pStyle w:val="a4"/>
        <w:rPr>
          <w:rFonts w:hint="cs"/>
          <w:rtl/>
        </w:rPr>
      </w:pPr>
      <w:r>
        <w:rPr>
          <w:rtl/>
        </w:rPr>
        <w:tab/>
      </w:r>
      <w:r w:rsidRPr="00DF60BE">
        <w:rPr>
          <w:rtl/>
        </w:rPr>
        <w:endnoteRef/>
      </w:r>
      <w:r>
        <w:rPr>
          <w:rtl/>
        </w:rPr>
        <w:t>.</w:t>
      </w:r>
      <w:r>
        <w:rPr>
          <w:rtl/>
        </w:rPr>
        <w:tab/>
      </w:r>
      <w:r>
        <w:rPr>
          <w:rFonts w:hint="cs"/>
          <w:rtl/>
        </w:rPr>
        <w:t xml:space="preserve">וראה בספר בעתה </w:t>
      </w:r>
      <w:proofErr w:type="spellStart"/>
      <w:r>
        <w:rPr>
          <w:rFonts w:hint="cs"/>
          <w:rtl/>
        </w:rPr>
        <w:t>אחישנה</w:t>
      </w:r>
      <w:proofErr w:type="spellEnd"/>
      <w:r>
        <w:rPr>
          <w:rFonts w:hint="cs"/>
          <w:rtl/>
        </w:rPr>
        <w:t xml:space="preserve"> עמ' רפד-רפה בהערה לב.</w:t>
      </w:r>
    </w:p>
  </w:endnote>
  <w:endnote w:id="15">
    <w:p w:rsidR="00346D0B" w:rsidRDefault="00346D0B" w:rsidP="00346D0B">
      <w:pPr>
        <w:pStyle w:val="a4"/>
        <w:rPr>
          <w:rFonts w:hint="cs"/>
          <w:rtl/>
        </w:rPr>
      </w:pPr>
      <w:r>
        <w:rPr>
          <w:rtl/>
        </w:rPr>
        <w:tab/>
      </w:r>
      <w:r w:rsidRPr="00DF60BE">
        <w:rPr>
          <w:rtl/>
        </w:rPr>
        <w:endnoteRef/>
      </w:r>
      <w:r>
        <w:rPr>
          <w:rtl/>
        </w:rPr>
        <w:t>.</w:t>
      </w:r>
      <w:r>
        <w:rPr>
          <w:rtl/>
        </w:rPr>
        <w:tab/>
      </w:r>
      <w:r>
        <w:rPr>
          <w:rFonts w:hint="cs"/>
          <w:rtl/>
        </w:rPr>
        <w:t>ישעיה ו, י.</w:t>
      </w:r>
    </w:p>
  </w:endnote>
  <w:endnote w:id="16">
    <w:p w:rsidR="00346D0B" w:rsidRDefault="00346D0B" w:rsidP="00346D0B">
      <w:pPr>
        <w:pStyle w:val="a4"/>
        <w:rPr>
          <w:rFonts w:hint="cs"/>
          <w:rtl/>
        </w:rPr>
      </w:pPr>
      <w:r>
        <w:rPr>
          <w:rtl/>
        </w:rPr>
        <w:tab/>
      </w:r>
      <w:r w:rsidRPr="00DF60BE">
        <w:rPr>
          <w:rtl/>
        </w:rPr>
        <w:endnoteRef/>
      </w:r>
      <w:r>
        <w:rPr>
          <w:rtl/>
        </w:rPr>
        <w:t>.</w:t>
      </w:r>
      <w:r>
        <w:rPr>
          <w:rtl/>
        </w:rPr>
        <w:tab/>
      </w:r>
      <w:r>
        <w:rPr>
          <w:rFonts w:hint="cs"/>
          <w:rtl/>
        </w:rPr>
        <w:t xml:space="preserve">ספרי דברים </w:t>
      </w:r>
      <w:proofErr w:type="spellStart"/>
      <w:r>
        <w:rPr>
          <w:rFonts w:hint="cs"/>
          <w:rtl/>
        </w:rPr>
        <w:t>פיסקא</w:t>
      </w:r>
      <w:proofErr w:type="spellEnd"/>
      <w:r>
        <w:rPr>
          <w:rFonts w:hint="cs"/>
          <w:rtl/>
        </w:rPr>
        <w:t xml:space="preserve"> </w:t>
      </w:r>
      <w:proofErr w:type="spellStart"/>
      <w:r>
        <w:rPr>
          <w:rFonts w:hint="cs"/>
          <w:rtl/>
        </w:rPr>
        <w:t>יג</w:t>
      </w:r>
      <w:proofErr w:type="spellEnd"/>
      <w:r>
        <w:rPr>
          <w:rFonts w:hint="cs"/>
          <w:rtl/>
        </w:rPr>
        <w:t xml:space="preserve"> (הובא ברש"י לדברים א, </w:t>
      </w:r>
      <w:proofErr w:type="spellStart"/>
      <w:r>
        <w:rPr>
          <w:rFonts w:hint="cs"/>
          <w:rtl/>
        </w:rPr>
        <w:t>יג</w:t>
      </w:r>
      <w:proofErr w:type="spellEnd"/>
      <w:r>
        <w:rPr>
          <w:rFonts w:hint="cs"/>
          <w:rtl/>
        </w:rPr>
        <w:t>).</w:t>
      </w:r>
    </w:p>
  </w:endnote>
  <w:endnote w:id="17">
    <w:p w:rsidR="00346D0B" w:rsidRDefault="00346D0B" w:rsidP="00346D0B">
      <w:pPr>
        <w:pStyle w:val="a4"/>
        <w:rPr>
          <w:rFonts w:hint="cs"/>
          <w:rtl/>
        </w:rPr>
      </w:pPr>
      <w:r>
        <w:rPr>
          <w:rtl/>
        </w:rPr>
        <w:tab/>
      </w:r>
      <w:r w:rsidRPr="00DF60BE">
        <w:rPr>
          <w:rtl/>
        </w:rPr>
        <w:endnoteRef/>
      </w:r>
      <w:r>
        <w:rPr>
          <w:rtl/>
        </w:rPr>
        <w:t>.</w:t>
      </w:r>
      <w:r>
        <w:rPr>
          <w:rtl/>
        </w:rPr>
        <w:tab/>
      </w:r>
      <w:r>
        <w:rPr>
          <w:rFonts w:hint="cs"/>
          <w:rtl/>
        </w:rPr>
        <w:t>עירובין ק, ב.</w:t>
      </w:r>
    </w:p>
  </w:endnote>
  <w:endnote w:id="18">
    <w:p w:rsidR="00346D0B" w:rsidRDefault="00346D0B" w:rsidP="00346D0B">
      <w:pPr>
        <w:pStyle w:val="a4"/>
        <w:rPr>
          <w:rFonts w:hint="cs"/>
          <w:rtl/>
        </w:rPr>
      </w:pPr>
      <w:r>
        <w:rPr>
          <w:rtl/>
        </w:rPr>
        <w:tab/>
      </w:r>
      <w:r w:rsidRPr="00DF60BE">
        <w:rPr>
          <w:rtl/>
        </w:rPr>
        <w:endnoteRef/>
      </w:r>
      <w:r>
        <w:rPr>
          <w:rtl/>
        </w:rPr>
        <w:t>.</w:t>
      </w:r>
      <w:r>
        <w:rPr>
          <w:rtl/>
        </w:rPr>
        <w:tab/>
      </w:r>
      <w:r>
        <w:rPr>
          <w:rFonts w:hint="cs"/>
          <w:rtl/>
        </w:rPr>
        <w:t>עוד על אודותיו ראה לעיל בתורה "זיווג שבת בחול".</w:t>
      </w:r>
    </w:p>
  </w:endnote>
  <w:endnote w:id="19">
    <w:p w:rsidR="00346D0B" w:rsidRDefault="00346D0B" w:rsidP="00346D0B">
      <w:pPr>
        <w:pStyle w:val="a4"/>
        <w:rPr>
          <w:rFonts w:hint="cs"/>
        </w:rPr>
      </w:pPr>
      <w:r>
        <w:rPr>
          <w:rtl/>
        </w:rPr>
        <w:tab/>
      </w:r>
      <w:r w:rsidRPr="00DF60BE">
        <w:rPr>
          <w:rtl/>
        </w:rPr>
        <w:endnoteRef/>
      </w:r>
      <w:r>
        <w:rPr>
          <w:rtl/>
        </w:rPr>
        <w:t>.</w:t>
      </w:r>
      <w:r>
        <w:rPr>
          <w:rtl/>
        </w:rPr>
        <w:tab/>
      </w:r>
      <w:r>
        <w:rPr>
          <w:rFonts w:hint="cs"/>
          <w:rtl/>
        </w:rPr>
        <w:t>ד"ה "והיה העטופים ללבן" תקס"ה (</w:t>
      </w:r>
      <w:proofErr w:type="spellStart"/>
      <w:r>
        <w:rPr>
          <w:rFonts w:hint="cs"/>
          <w:rtl/>
        </w:rPr>
        <w:t>סה"מ</w:t>
      </w:r>
      <w:proofErr w:type="spellEnd"/>
      <w:r>
        <w:rPr>
          <w:rFonts w:hint="cs"/>
          <w:rtl/>
        </w:rPr>
        <w:t xml:space="preserve"> תקס"ה ח"א עמ' </w:t>
      </w:r>
      <w:proofErr w:type="spellStart"/>
      <w:r>
        <w:rPr>
          <w:rFonts w:hint="cs"/>
          <w:rtl/>
        </w:rPr>
        <w:t>מז</w:t>
      </w:r>
      <w:proofErr w:type="spellEnd"/>
      <w:r>
        <w:rPr>
          <w:rFonts w:hint="cs"/>
          <w:rtl/>
        </w:rPr>
        <w:t>; נוסחה אחרת במאמרי אדמו"ר הזקן על התורה ח"א עמ</w:t>
      </w:r>
      <w:r>
        <w:rPr>
          <w:rtl/>
        </w:rPr>
        <w:t>'</w:t>
      </w:r>
      <w:r>
        <w:rPr>
          <w:rFonts w:hint="cs"/>
          <w:rtl/>
        </w:rPr>
        <w:t xml:space="preserve"> קסט).</w:t>
      </w:r>
    </w:p>
  </w:endnote>
  <w:endnote w:id="20">
    <w:p w:rsidR="00346D0B" w:rsidRDefault="00346D0B" w:rsidP="00346D0B">
      <w:pPr>
        <w:pStyle w:val="a4"/>
        <w:rPr>
          <w:rFonts w:hint="cs"/>
          <w:rtl/>
        </w:rPr>
      </w:pPr>
      <w:r>
        <w:rPr>
          <w:rtl/>
        </w:rPr>
        <w:tab/>
      </w:r>
      <w:r w:rsidRPr="00DF60BE">
        <w:rPr>
          <w:rtl/>
        </w:rPr>
        <w:endnoteRef/>
      </w:r>
      <w:r>
        <w:rPr>
          <w:rtl/>
        </w:rPr>
        <w:t>.</w:t>
      </w:r>
      <w:r>
        <w:rPr>
          <w:rtl/>
        </w:rPr>
        <w:tab/>
      </w:r>
      <w:r>
        <w:rPr>
          <w:rFonts w:hint="cs"/>
          <w:rtl/>
        </w:rPr>
        <w:t xml:space="preserve">בראשית ל, </w:t>
      </w:r>
      <w:proofErr w:type="spellStart"/>
      <w:r>
        <w:rPr>
          <w:rFonts w:hint="cs"/>
          <w:rtl/>
        </w:rPr>
        <w:t>מב</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C1F" w:rsidRDefault="005F0C1F" w:rsidP="00346D0B">
      <w:pPr>
        <w:spacing w:after="0" w:line="240" w:lineRule="auto"/>
      </w:pPr>
      <w:r>
        <w:separator/>
      </w:r>
    </w:p>
  </w:footnote>
  <w:footnote w:type="continuationSeparator" w:id="0">
    <w:p w:rsidR="005F0C1F" w:rsidRDefault="005F0C1F" w:rsidP="00346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874"/>
    <w:rsid w:val="00061E65"/>
    <w:rsid w:val="00346D0B"/>
    <w:rsid w:val="005F0C1F"/>
    <w:rsid w:val="00810874"/>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46D0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46D0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46D0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346D0B"/>
    <w:rPr>
      <w:rFonts w:cs="Miriam"/>
      <w:w w:val="100"/>
      <w:sz w:val="21"/>
      <w:szCs w:val="23"/>
    </w:rPr>
  </w:style>
  <w:style w:type="paragraph" w:styleId="a4">
    <w:name w:val="endnote text"/>
    <w:aliases w:val="Endnote Text"/>
    <w:basedOn w:val="a"/>
    <w:link w:val="a5"/>
    <w:autoRedefine/>
    <w:semiHidden/>
    <w:rsid w:val="00346D0B"/>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346D0B"/>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346D0B"/>
    <w:rPr>
      <w:noProof/>
      <w:position w:val="-4"/>
      <w:szCs w:val="27"/>
      <w:vertAlign w:val="superscript"/>
    </w:rPr>
  </w:style>
  <w:style w:type="paragraph" w:customStyle="1" w:styleId="a8">
    <w:name w:val="פתיח תו"/>
    <w:basedOn w:val="a"/>
    <w:link w:val="a9"/>
    <w:rsid w:val="00346D0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346D0B"/>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346D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46D0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346D0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46D0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346D0B"/>
    <w:rPr>
      <w:rFonts w:cs="Miriam"/>
      <w:w w:val="100"/>
      <w:sz w:val="21"/>
      <w:szCs w:val="23"/>
    </w:rPr>
  </w:style>
  <w:style w:type="paragraph" w:styleId="a4">
    <w:name w:val="endnote text"/>
    <w:aliases w:val="Endnote Text"/>
    <w:basedOn w:val="a"/>
    <w:link w:val="a5"/>
    <w:autoRedefine/>
    <w:semiHidden/>
    <w:rsid w:val="00346D0B"/>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346D0B"/>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346D0B"/>
    <w:rPr>
      <w:noProof/>
      <w:position w:val="-4"/>
      <w:szCs w:val="27"/>
      <w:vertAlign w:val="superscript"/>
    </w:rPr>
  </w:style>
  <w:style w:type="paragraph" w:customStyle="1" w:styleId="a8">
    <w:name w:val="פתיח תו"/>
    <w:basedOn w:val="a"/>
    <w:link w:val="a9"/>
    <w:rsid w:val="00346D0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346D0B"/>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346D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3;&#1513;&#1497;%20&#1493;&#1513;&#1502;&#1512;&#1493;%20&#1489;&#1504;&#1497;%20&#1497;&#1513;&#1512;&#1488;&#1500;%20&#1488;&#1514;%20&#1492;&#1513;&#1489;&#1514;\&#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3003</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2017-08-14T21:51:00Z</dcterms:created>
  <dcterms:modified xsi:type="dcterms:W3CDTF">2017-08-14T21:51:00Z</dcterms:modified>
</cp:coreProperties>
</file>