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F75" w:rsidRDefault="005B4F75" w:rsidP="005B4F75">
      <w:pPr>
        <w:pStyle w:val="2"/>
        <w:rPr>
          <w:rFonts w:hint="cs"/>
          <w:rtl/>
        </w:rPr>
      </w:pPr>
      <w:bookmarkStart w:id="0" w:name="_Toc130537251"/>
      <w:bookmarkStart w:id="1" w:name="_Ref130537638"/>
      <w:r>
        <w:rPr>
          <w:w w:val="100"/>
          <w:rtl/>
        </w:rPr>
        <w:drawing>
          <wp:anchor distT="0" distB="0" distL="114300" distR="114300" simplePos="0" relativeHeight="251659264" behindDoc="1" locked="0" layoutInCell="1" allowOverlap="1">
            <wp:simplePos x="0" y="0"/>
            <wp:positionH relativeFrom="column">
              <wp:posOffset>2828925</wp:posOffset>
            </wp:positionH>
            <wp:positionV relativeFrom="paragraph">
              <wp:posOffset>675640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כוונות הזיווג בימי המעשה</w:t>
      </w:r>
      <w:bookmarkEnd w:id="0"/>
      <w:bookmarkEnd w:id="1"/>
    </w:p>
    <w:p w:rsidR="005B4F75" w:rsidRPr="00DE003D" w:rsidRDefault="005B4F75" w:rsidP="005B4F75">
      <w:pPr>
        <w:keepNext/>
        <w:framePr w:dropCap="drop" w:lines="2" w:hSpace="57" w:wrap="around" w:vAnchor="text" w:hAnchor="text" w:xAlign="right"/>
        <w:spacing w:after="0" w:line="760" w:lineRule="exact"/>
        <w:textAlignment w:val="baseline"/>
        <w:rPr>
          <w:rStyle w:val="a8"/>
          <w:rtl/>
        </w:rPr>
      </w:pPr>
      <w:r w:rsidRPr="00DE003D">
        <w:rPr>
          <w:rStyle w:val="a8"/>
          <w:rFonts w:hint="cs"/>
          <w:rtl/>
        </w:rPr>
        <w:t>מ</w:t>
      </w:r>
    </w:p>
    <w:p w:rsidR="005B4F75" w:rsidRDefault="005B4F75" w:rsidP="005B4F75">
      <w:pPr>
        <w:rPr>
          <w:rFonts w:hint="cs"/>
          <w:rtl/>
        </w:rPr>
      </w:pPr>
      <w:r>
        <w:rPr>
          <w:rFonts w:hint="cs"/>
          <w:rtl/>
        </w:rPr>
        <w:t>בואר בכתבי האר"י</w:t>
      </w:r>
      <w:r w:rsidRPr="00E838EB">
        <w:rPr>
          <w:rStyle w:val="a5"/>
          <w:rtl/>
        </w:rPr>
        <w:endnoteReference w:id="1"/>
      </w:r>
      <w:r>
        <w:rPr>
          <w:rFonts w:hint="cs"/>
          <w:rtl/>
        </w:rPr>
        <w:t xml:space="preserve"> כי יום השבת מכוון כנגד עולם האצילות, כאשר בשלשת הימים שלפניו (רביעי-חמישי-ששי) עולים לקראתו בעולמות עשיה-יצירה-בריאה ובשלשת הימים שלאחריו (ראשון-שני-שלישי) יורדים ממנו בעולמות בריאה-יצירה-עשיה. בעולם האצילות </w:t>
      </w:r>
      <w:r>
        <w:rPr>
          <w:rtl/>
        </w:rPr>
        <w:t>–</w:t>
      </w:r>
      <w:r>
        <w:rPr>
          <w:rFonts w:hint="cs"/>
          <w:rtl/>
        </w:rPr>
        <w:t xml:space="preserve"> ביום השבת </w:t>
      </w:r>
      <w:r>
        <w:rPr>
          <w:rtl/>
        </w:rPr>
        <w:t>–</w:t>
      </w:r>
      <w:r>
        <w:rPr>
          <w:rFonts w:hint="cs"/>
          <w:rtl/>
        </w:rPr>
        <w:t xml:space="preserve"> מתקיים הזיווג העצמי והנעלה של תלמיד חכם</w:t>
      </w:r>
      <w:r w:rsidRPr="00E838EB">
        <w:rPr>
          <w:rStyle w:val="a5"/>
          <w:rtl/>
        </w:rPr>
        <w:endnoteReference w:id="2"/>
      </w:r>
      <w:r>
        <w:rPr>
          <w:rFonts w:hint="cs"/>
          <w:rtl/>
        </w:rPr>
        <w:t xml:space="preserve">, ואילו הזיווגים של ימות החול שייכים לעולמות התחתונים בריאה-יצירה-עשיה. על פי סדר הימים כנגד עולמות </w:t>
      </w:r>
      <w:proofErr w:type="spellStart"/>
      <w:r>
        <w:rPr>
          <w:rFonts w:hint="cs"/>
          <w:rtl/>
        </w:rPr>
        <w:t>אבי"ע</w:t>
      </w:r>
      <w:proofErr w:type="spellEnd"/>
      <w:r>
        <w:rPr>
          <w:rFonts w:hint="cs"/>
          <w:rtl/>
        </w:rPr>
        <w:t xml:space="preserve"> ניתן ללמוד כוונה מיוחדת ושונה לזיווג בכל יום ויום מימות השבוע</w:t>
      </w:r>
      <w:r w:rsidRPr="00E838EB">
        <w:rPr>
          <w:rStyle w:val="a5"/>
          <w:rtl/>
        </w:rPr>
        <w:endnoteReference w:id="3"/>
      </w:r>
      <w:r>
        <w:rPr>
          <w:rFonts w:hint="cs"/>
          <w:rtl/>
        </w:rPr>
        <w:t>:</w:t>
      </w:r>
    </w:p>
    <w:p w:rsidR="005B4F75" w:rsidRDefault="005B4F75" w:rsidP="005B4F75">
      <w:pPr>
        <w:rPr>
          <w:rFonts w:hint="cs"/>
          <w:rtl/>
        </w:rPr>
      </w:pPr>
      <w:r>
        <w:rPr>
          <w:rFonts w:hint="cs"/>
          <w:rtl/>
        </w:rPr>
        <w:t xml:space="preserve">הזיווג שביום השבת מבטא אחדות עצמית, שלמעלה מכל פירוד, כפי שמופיעות נשמות בני הזוג בעולם האצילות </w:t>
      </w:r>
      <w:r>
        <w:rPr>
          <w:rtl/>
        </w:rPr>
        <w:t>–</w:t>
      </w:r>
      <w:r>
        <w:rPr>
          <w:rFonts w:hint="cs"/>
          <w:rtl/>
        </w:rPr>
        <w:t xml:space="preserve"> עולם האחדות. בשבת מורגש לגמרי כי "זאת הפעם עצם מעצמי ובשר מבשרי"</w:t>
      </w:r>
      <w:r w:rsidRPr="00E838EB">
        <w:rPr>
          <w:rStyle w:val="a5"/>
          <w:rtl/>
        </w:rPr>
        <w:endnoteReference w:id="4"/>
      </w:r>
      <w:r>
        <w:rPr>
          <w:rFonts w:hint="cs"/>
          <w:rtl/>
        </w:rPr>
        <w:t xml:space="preserve"> (והרמז: </w:t>
      </w:r>
      <w:r w:rsidRPr="00EC6CF9">
        <w:rPr>
          <w:rFonts w:hint="cs"/>
          <w:b/>
          <w:bCs/>
          <w:sz w:val="28"/>
          <w:szCs w:val="28"/>
          <w:rtl/>
        </w:rPr>
        <w:t>עצם</w:t>
      </w:r>
      <w:r>
        <w:rPr>
          <w:rFonts w:hint="cs"/>
          <w:rtl/>
        </w:rPr>
        <w:t xml:space="preserve"> </w:t>
      </w:r>
      <w:r w:rsidRPr="00EC6CF9">
        <w:rPr>
          <w:rFonts w:hint="cs"/>
          <w:b/>
          <w:bCs/>
          <w:sz w:val="28"/>
          <w:szCs w:val="28"/>
          <w:rtl/>
        </w:rPr>
        <w:t>בשר</w:t>
      </w:r>
      <w:r>
        <w:rPr>
          <w:rFonts w:hint="cs"/>
          <w:rtl/>
        </w:rPr>
        <w:t xml:space="preserve"> עולה </w:t>
      </w:r>
      <w:proofErr w:type="spellStart"/>
      <w:r>
        <w:rPr>
          <w:rFonts w:hint="cs"/>
          <w:rtl/>
        </w:rPr>
        <w:t>בגימטריא</w:t>
      </w:r>
      <w:proofErr w:type="spellEnd"/>
      <w:r>
        <w:rPr>
          <w:rFonts w:hint="cs"/>
          <w:rtl/>
        </w:rPr>
        <w:t xml:space="preserve"> </w:t>
      </w:r>
      <w:r w:rsidRPr="00EC6CF9">
        <w:rPr>
          <w:rFonts w:hint="cs"/>
          <w:b/>
          <w:bCs/>
          <w:sz w:val="28"/>
          <w:szCs w:val="28"/>
          <w:rtl/>
        </w:rPr>
        <w:t>שבת</w:t>
      </w:r>
      <w:r w:rsidRPr="00E838EB">
        <w:rPr>
          <w:rStyle w:val="a5"/>
          <w:rtl/>
        </w:rPr>
        <w:endnoteReference w:id="5"/>
      </w:r>
      <w:r>
        <w:rPr>
          <w:rFonts w:hint="cs"/>
          <w:rtl/>
        </w:rPr>
        <w:t xml:space="preserve">). אז כוונתם העיקרית בזיווג היא ההתדמות לזיווג </w:t>
      </w:r>
      <w:proofErr w:type="spellStart"/>
      <w:r>
        <w:rPr>
          <w:rFonts w:hint="cs"/>
          <w:rtl/>
        </w:rPr>
        <w:t>קוב"ה</w:t>
      </w:r>
      <w:proofErr w:type="spellEnd"/>
      <w:r>
        <w:rPr>
          <w:rFonts w:hint="cs"/>
          <w:rtl/>
        </w:rPr>
        <w:t xml:space="preserve"> </w:t>
      </w:r>
      <w:proofErr w:type="spellStart"/>
      <w:r>
        <w:rPr>
          <w:rFonts w:hint="cs"/>
          <w:rtl/>
        </w:rPr>
        <w:t>ושכינתיה</w:t>
      </w:r>
      <w:proofErr w:type="spellEnd"/>
      <w:r>
        <w:rPr>
          <w:rFonts w:hint="cs"/>
          <w:rtl/>
        </w:rPr>
        <w:t xml:space="preserve"> המתחולל בעולם העליון. זהו זיווג בין הנפשות </w:t>
      </w:r>
      <w:proofErr w:type="spellStart"/>
      <w:r>
        <w:rPr>
          <w:rFonts w:hint="cs"/>
          <w:rtl/>
        </w:rPr>
        <w:t>האלקיות</w:t>
      </w:r>
      <w:proofErr w:type="spellEnd"/>
      <w:r>
        <w:rPr>
          <w:rFonts w:hint="cs"/>
          <w:rtl/>
        </w:rPr>
        <w:t xml:space="preserve"> של בני הזוג </w:t>
      </w:r>
      <w:r>
        <w:rPr>
          <w:rtl/>
        </w:rPr>
        <w:t>–</w:t>
      </w:r>
      <w:r>
        <w:rPr>
          <w:rFonts w:hint="cs"/>
          <w:rtl/>
        </w:rPr>
        <w:t xml:space="preserve"> כאשר גם כוונת ההולדה שלהם בזיווג זה היא "להרבות את הדמות"</w:t>
      </w:r>
      <w:r w:rsidRPr="00E838EB">
        <w:rPr>
          <w:rStyle w:val="a5"/>
          <w:rtl/>
        </w:rPr>
        <w:endnoteReference w:id="6"/>
      </w:r>
      <w:r>
        <w:rPr>
          <w:rFonts w:hint="cs"/>
          <w:rtl/>
        </w:rPr>
        <w:t xml:space="preserve"> ולהמשיך לעולם עוד נפשות </w:t>
      </w:r>
      <w:proofErr w:type="spellStart"/>
      <w:r>
        <w:rPr>
          <w:rFonts w:hint="cs"/>
          <w:rtl/>
        </w:rPr>
        <w:t>אלקיות</w:t>
      </w:r>
      <w:proofErr w:type="spellEnd"/>
      <w:r>
        <w:rPr>
          <w:rFonts w:hint="cs"/>
          <w:rtl/>
        </w:rPr>
        <w:t xml:space="preserve"> נעלות (נשמות </w:t>
      </w:r>
      <w:proofErr w:type="spellStart"/>
      <w:r>
        <w:rPr>
          <w:rFonts w:hint="cs"/>
          <w:rtl/>
        </w:rPr>
        <w:t>דאצילות</w:t>
      </w:r>
      <w:proofErr w:type="spellEnd"/>
      <w:r>
        <w:rPr>
          <w:rFonts w:hint="cs"/>
          <w:rtl/>
        </w:rPr>
        <w:t>)</w:t>
      </w:r>
      <w:r w:rsidRPr="00E838EB">
        <w:rPr>
          <w:rStyle w:val="a5"/>
          <w:rtl/>
        </w:rPr>
        <w:endnoteReference w:id="7"/>
      </w:r>
      <w:r>
        <w:rPr>
          <w:rFonts w:hint="cs"/>
          <w:rtl/>
        </w:rPr>
        <w:t>.</w:t>
      </w:r>
    </w:p>
    <w:p w:rsidR="005B4F75" w:rsidRDefault="005B4F75" w:rsidP="005B4F75">
      <w:pPr>
        <w:rPr>
          <w:rFonts w:hint="cs"/>
          <w:rtl/>
        </w:rPr>
      </w:pPr>
      <w:r>
        <w:rPr>
          <w:rFonts w:hint="cs"/>
          <w:rtl/>
        </w:rPr>
        <w:t xml:space="preserve">בימים ראשון וששי, שכנגד עולם הבריאה </w:t>
      </w:r>
      <w:r>
        <w:rPr>
          <w:rtl/>
        </w:rPr>
        <w:t>–</w:t>
      </w:r>
      <w:r>
        <w:rPr>
          <w:rFonts w:hint="cs"/>
          <w:rtl/>
        </w:rPr>
        <w:t xml:space="preserve"> עולם השכל והמחשבה </w:t>
      </w:r>
      <w:r>
        <w:rPr>
          <w:rtl/>
        </w:rPr>
        <w:t>–</w:t>
      </w:r>
      <w:r>
        <w:rPr>
          <w:rFonts w:hint="cs"/>
          <w:rtl/>
        </w:rPr>
        <w:t xml:space="preserve"> הזיווג בין בני הזוג הוא שכלי במהותו. זיווג זה מבטא את דבקות המחשבה של בני הזוג, והוא נועד לתקן את שכלם. בזיווג זה נפגשות הנפשות השכליות של האיש ושל </w:t>
      </w:r>
      <w:proofErr w:type="spellStart"/>
      <w:r>
        <w:rPr>
          <w:rFonts w:hint="cs"/>
          <w:rtl/>
        </w:rPr>
        <w:t>האשה</w:t>
      </w:r>
      <w:proofErr w:type="spellEnd"/>
      <w:r>
        <w:rPr>
          <w:rFonts w:hint="cs"/>
          <w:rtl/>
        </w:rPr>
        <w:t xml:space="preserve">, וכוונת הזיווג היא 'הגיונית' ביותר </w:t>
      </w:r>
      <w:r>
        <w:rPr>
          <w:rtl/>
        </w:rPr>
        <w:t>–</w:t>
      </w:r>
      <w:r>
        <w:rPr>
          <w:rFonts w:hint="cs"/>
          <w:rtl/>
        </w:rPr>
        <w:t xml:space="preserve"> העמדת צאצאים מתוך מגמה תכליתית-שכלית לקיים את העם היהודי בכלל ולהנציח בפרט את בני הזוג.</w:t>
      </w:r>
    </w:p>
    <w:p w:rsidR="005B4F75" w:rsidRDefault="005B4F75" w:rsidP="005B4F75">
      <w:pPr>
        <w:rPr>
          <w:rFonts w:hint="cs"/>
          <w:rtl/>
        </w:rPr>
      </w:pPr>
      <w:r>
        <w:rPr>
          <w:rFonts w:hint="cs"/>
          <w:rtl/>
        </w:rPr>
        <w:t>בימים שני וחמישי (ימי הקריאה בתורה</w:t>
      </w:r>
      <w:r w:rsidRPr="00E838EB">
        <w:rPr>
          <w:rStyle w:val="a5"/>
          <w:rtl/>
        </w:rPr>
        <w:endnoteReference w:id="8"/>
      </w:r>
      <w:r>
        <w:rPr>
          <w:rFonts w:hint="cs"/>
          <w:rtl/>
        </w:rPr>
        <w:t xml:space="preserve">), שכנגד עולם היצירה </w:t>
      </w:r>
      <w:r>
        <w:rPr>
          <w:rtl/>
        </w:rPr>
        <w:t>–</w:t>
      </w:r>
      <w:r>
        <w:rPr>
          <w:rFonts w:hint="cs"/>
          <w:rtl/>
        </w:rPr>
        <w:t xml:space="preserve"> עולם הרגש </w:t>
      </w:r>
      <w:r>
        <w:rPr>
          <w:rtl/>
        </w:rPr>
        <w:t>–</w:t>
      </w:r>
      <w:r>
        <w:rPr>
          <w:rFonts w:hint="cs"/>
          <w:rtl/>
        </w:rPr>
        <w:t xml:space="preserve"> הזיווג בין בני הזוג הוא זיווג רגשי, בו משתפכות נפשות בני הזוג זה אל זו. לבושו של הרגש הוא </w:t>
      </w:r>
      <w:proofErr w:type="spellStart"/>
      <w:r>
        <w:rPr>
          <w:rFonts w:hint="cs"/>
          <w:rtl/>
        </w:rPr>
        <w:t>כח</w:t>
      </w:r>
      <w:proofErr w:type="spellEnd"/>
      <w:r>
        <w:rPr>
          <w:rFonts w:hint="cs"/>
          <w:rtl/>
        </w:rPr>
        <w:t xml:space="preserve"> הדיבור </w:t>
      </w:r>
      <w:r>
        <w:rPr>
          <w:rtl/>
        </w:rPr>
        <w:t>–</w:t>
      </w:r>
      <w:r>
        <w:rPr>
          <w:rFonts w:hint="cs"/>
          <w:rtl/>
        </w:rPr>
        <w:t xml:space="preserve"> השתפכות הנפש באה לידי ביטוי, כמובן, בשיחות אישיות החושפות את הנפש</w:t>
      </w:r>
      <w:r w:rsidRPr="00E838EB">
        <w:rPr>
          <w:rStyle w:val="a5"/>
          <w:rtl/>
        </w:rPr>
        <w:endnoteReference w:id="9"/>
      </w:r>
      <w:r>
        <w:rPr>
          <w:rFonts w:hint="cs"/>
          <w:rtl/>
        </w:rPr>
        <w:t>. תיקון הרגש, המתחולל בזיווג בימים אלו, הוא ההתחשבות בבן הזוג ומילוי צרכיו הרגשיים. בזיווג זה נפגשות הנפשות החיוניות של בני הזוג (או, בלשון הרמב"ם</w:t>
      </w:r>
      <w:r w:rsidRPr="00E838EB">
        <w:rPr>
          <w:rStyle w:val="a5"/>
          <w:rtl/>
        </w:rPr>
        <w:endnoteReference w:id="10"/>
      </w:r>
      <w:r>
        <w:rPr>
          <w:rFonts w:hint="cs"/>
          <w:rtl/>
        </w:rPr>
        <w:t xml:space="preserve"> </w:t>
      </w:r>
      <w:r>
        <w:rPr>
          <w:rtl/>
        </w:rPr>
        <w:t>–</w:t>
      </w:r>
      <w:r>
        <w:rPr>
          <w:rFonts w:hint="cs"/>
          <w:rtl/>
        </w:rPr>
        <w:t xml:space="preserve"> המכוון את מדרגות הנפש כנגד דומם-צומח-חי-מדבר, ועל פי קבלה היינו בסוד </w:t>
      </w:r>
      <w:proofErr w:type="spellStart"/>
      <w:r>
        <w:rPr>
          <w:rFonts w:hint="cs"/>
          <w:rtl/>
        </w:rPr>
        <w:t>אבי"ע</w:t>
      </w:r>
      <w:proofErr w:type="spellEnd"/>
      <w:r>
        <w:rPr>
          <w:rFonts w:hint="cs"/>
          <w:rtl/>
        </w:rPr>
        <w:t xml:space="preserve"> מלמטה למעלה </w:t>
      </w:r>
      <w:r>
        <w:rPr>
          <w:rtl/>
        </w:rPr>
        <w:t>–</w:t>
      </w:r>
      <w:r>
        <w:rPr>
          <w:rFonts w:hint="cs"/>
          <w:rtl/>
        </w:rPr>
        <w:t xml:space="preserve"> "הנפשות הצומחות", על שם צמיחת והתפתחות הרגש). "כל חי מתנועע"</w:t>
      </w:r>
      <w:r w:rsidRPr="00E838EB">
        <w:rPr>
          <w:rStyle w:val="a5"/>
          <w:rtl/>
        </w:rPr>
        <w:endnoteReference w:id="11"/>
      </w:r>
      <w:r>
        <w:rPr>
          <w:rFonts w:hint="cs"/>
          <w:rtl/>
        </w:rPr>
        <w:t xml:space="preserve"> ותיקון ה</w:t>
      </w:r>
      <w:r w:rsidRPr="00EC6CF9">
        <w:rPr>
          <w:rFonts w:hint="cs"/>
          <w:b/>
          <w:bCs/>
          <w:sz w:val="28"/>
          <w:szCs w:val="28"/>
          <w:rtl/>
        </w:rPr>
        <w:t>תנועה</w:t>
      </w:r>
      <w:r>
        <w:rPr>
          <w:rFonts w:hint="cs"/>
          <w:rtl/>
        </w:rPr>
        <w:t xml:space="preserve"> </w:t>
      </w:r>
      <w:r>
        <w:rPr>
          <w:rtl/>
        </w:rPr>
        <w:t>–</w:t>
      </w:r>
      <w:r>
        <w:rPr>
          <w:rFonts w:hint="cs"/>
          <w:rtl/>
        </w:rPr>
        <w:t xml:space="preserve"> המבטאת את התרגשות הלב </w:t>
      </w:r>
      <w:r>
        <w:rPr>
          <w:rtl/>
        </w:rPr>
        <w:t>–</w:t>
      </w:r>
      <w:r>
        <w:rPr>
          <w:rFonts w:hint="cs"/>
          <w:rtl/>
        </w:rPr>
        <w:t xml:space="preserve"> הוא בקיום של מצות "</w:t>
      </w:r>
      <w:r w:rsidRPr="00EC6CF9">
        <w:rPr>
          <w:rFonts w:hint="cs"/>
          <w:b/>
          <w:bCs/>
          <w:sz w:val="28"/>
          <w:szCs w:val="28"/>
          <w:rtl/>
        </w:rPr>
        <w:t>וע</w:t>
      </w:r>
      <w:r w:rsidRPr="00976321">
        <w:rPr>
          <w:rFonts w:hint="cs"/>
          <w:spacing w:val="-14"/>
          <w:sz w:val="28"/>
          <w:szCs w:val="28"/>
          <w:rtl/>
        </w:rPr>
        <w:t>ֹ</w:t>
      </w:r>
      <w:r w:rsidRPr="00EC6CF9">
        <w:rPr>
          <w:rFonts w:hint="cs"/>
          <w:b/>
          <w:bCs/>
          <w:sz w:val="28"/>
          <w:szCs w:val="28"/>
          <w:rtl/>
        </w:rPr>
        <w:t>נתה</w:t>
      </w:r>
      <w:r>
        <w:rPr>
          <w:rFonts w:hint="cs"/>
          <w:rtl/>
        </w:rPr>
        <w:t>"</w:t>
      </w:r>
      <w:r w:rsidRPr="00E838EB">
        <w:rPr>
          <w:rStyle w:val="a5"/>
          <w:rtl/>
        </w:rPr>
        <w:endnoteReference w:id="12"/>
      </w:r>
      <w:r>
        <w:rPr>
          <w:rFonts w:hint="cs"/>
          <w:rtl/>
        </w:rPr>
        <w:t>, בה מכוון האיש לענות לצרכיה הרגשיים של אשתו.</w:t>
      </w:r>
    </w:p>
    <w:p w:rsidR="005B4F75" w:rsidRDefault="005B4F75" w:rsidP="005B4F75">
      <w:pPr>
        <w:rPr>
          <w:rFonts w:hint="cs"/>
          <w:rtl/>
        </w:rPr>
      </w:pPr>
      <w:r>
        <w:rPr>
          <w:rFonts w:hint="cs"/>
          <w:rtl/>
        </w:rPr>
        <w:t xml:space="preserve">בימים שלישי ורביעי, שכנגד עולם </w:t>
      </w:r>
      <w:proofErr w:type="spellStart"/>
      <w:r>
        <w:rPr>
          <w:rFonts w:hint="cs"/>
          <w:rtl/>
        </w:rPr>
        <w:t>העשיה</w:t>
      </w:r>
      <w:proofErr w:type="spellEnd"/>
      <w:r>
        <w:rPr>
          <w:rFonts w:hint="cs"/>
          <w:rtl/>
        </w:rPr>
        <w:t xml:space="preserve"> </w:t>
      </w:r>
      <w:r>
        <w:rPr>
          <w:rtl/>
        </w:rPr>
        <w:t>–</w:t>
      </w:r>
      <w:r>
        <w:rPr>
          <w:rFonts w:hint="cs"/>
          <w:rtl/>
        </w:rPr>
        <w:t xml:space="preserve"> עולם הטבע והמעשה </w:t>
      </w:r>
      <w:r>
        <w:rPr>
          <w:rtl/>
        </w:rPr>
        <w:t>–</w:t>
      </w:r>
      <w:r>
        <w:rPr>
          <w:rFonts w:hint="cs"/>
          <w:rtl/>
        </w:rPr>
        <w:t xml:space="preserve"> הזיווג המעשי-הגופני נועד לתקן את הגוף. בזיווג זה נפגשות הנפשות הטבעיות של בני הזוג, והמניע שלו הוא הדחף הטבעי-גשמי. הכוונה הנכונה של זיווג זה היא שמירת בריאות הגוף</w:t>
      </w:r>
      <w:r w:rsidRPr="00E838EB">
        <w:rPr>
          <w:rStyle w:val="a5"/>
          <w:rtl/>
        </w:rPr>
        <w:endnoteReference w:id="13"/>
      </w:r>
      <w:r>
        <w:rPr>
          <w:rFonts w:hint="cs"/>
          <w:rtl/>
        </w:rPr>
        <w:t xml:space="preserve"> או המתקת היצר </w:t>
      </w:r>
      <w:r>
        <w:rPr>
          <w:rtl/>
        </w:rPr>
        <w:t>–</w:t>
      </w:r>
      <w:r>
        <w:rPr>
          <w:rFonts w:hint="cs"/>
          <w:rtl/>
        </w:rPr>
        <w:t xml:space="preserve"> מוטב למלא את תאוות הגוף הטבעיות בהיתר, מאשר ח"ו ליפול באיסורים. עם זאת, כאשר נמשכת הכוונה הנכונה </w:t>
      </w:r>
      <w:r>
        <w:rPr>
          <w:rFonts w:hint="cs"/>
          <w:rtl/>
        </w:rPr>
        <w:lastRenderedPageBreak/>
        <w:t xml:space="preserve">גם למניע טבעי ונמוך זה של הזיווג, יש בזיווג מעלה של שמירת הברית ואף </w:t>
      </w:r>
      <w:proofErr w:type="spellStart"/>
      <w:r>
        <w:rPr>
          <w:rFonts w:hint="cs"/>
          <w:rtl/>
        </w:rPr>
        <w:t>כח</w:t>
      </w:r>
      <w:proofErr w:type="spellEnd"/>
      <w:r>
        <w:rPr>
          <w:rFonts w:hint="cs"/>
          <w:rtl/>
        </w:rPr>
        <w:t xml:space="preserve"> של תשובה ותיקון על כל הנפילות ופגמי הברית</w:t>
      </w:r>
      <w:r w:rsidRPr="00E838EB">
        <w:rPr>
          <w:rStyle w:val="a5"/>
          <w:rtl/>
        </w:rPr>
        <w:endnoteReference w:id="14"/>
      </w:r>
      <w:r>
        <w:rPr>
          <w:rFonts w:hint="cs"/>
          <w:rtl/>
        </w:rPr>
        <w:t>.</w:t>
      </w:r>
    </w:p>
    <w:p w:rsidR="005B4F75" w:rsidRDefault="005B4F75" w:rsidP="005B4F75">
      <w:pPr>
        <w:rPr>
          <w:rFonts w:hint="cs"/>
          <w:rtl/>
        </w:rPr>
      </w:pPr>
      <w:r>
        <w:rPr>
          <w:rFonts w:hint="cs"/>
          <w:rtl/>
        </w:rPr>
        <w:t>בתוך כל אחד מזוגות הימים ניתן לתת גוון שונה של הכוונה: כל כוונות ימי החול צריכות להתקשר ביום השבת ולהמשיך את קדושתו לזיווג</w:t>
      </w:r>
      <w:r w:rsidRPr="00E838EB">
        <w:rPr>
          <w:rStyle w:val="a5"/>
          <w:rtl/>
        </w:rPr>
        <w:endnoteReference w:id="15"/>
      </w:r>
      <w:r>
        <w:rPr>
          <w:rFonts w:hint="cs"/>
          <w:rtl/>
        </w:rPr>
        <w:t xml:space="preserve">, אך בעוד שבשלשת הימים הראשונים של השבוע הכוונה העיקרית היא המשכת קדושת השבת אל תוך ימות החול (מלמעלה למטה), הרי שבשלשת הימים האחרונים של השבוע הכוונה העיקרית היא התרוממות החול לקראת קדושת השבת (ממטה למעלה). בימים הראשונים של השבוע עוד מורגשת בין בני הזוג השראת זיווגם בשבת שעברה, והיא מחדירה ממד פנימי יותר לכוונות הזיווג. בימים האחרונים של השבוע כבר לא מורגשת הארת השבת הקודמת, ובתוך הזיווג צריך להופיע ממד של תשובה והשתוקקות לקראת קדושת השבת העתידה לבוא </w:t>
      </w:r>
      <w:r>
        <w:rPr>
          <w:rtl/>
        </w:rPr>
        <w:t>–</w:t>
      </w:r>
      <w:r>
        <w:rPr>
          <w:rFonts w:hint="cs"/>
          <w:rtl/>
        </w:rPr>
        <w:t xml:space="preserve"> רצון לעלות מדרגה לדרגה בכוונות הזיווג, עד להתאחדות העצמית של יום השבת.</w:t>
      </w:r>
    </w:p>
    <w:p w:rsidR="005F4A47" w:rsidRDefault="00F51F93">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F93" w:rsidRDefault="00F51F93" w:rsidP="005B4F75">
      <w:pPr>
        <w:spacing w:after="0" w:line="240" w:lineRule="auto"/>
      </w:pPr>
      <w:r>
        <w:separator/>
      </w:r>
    </w:p>
  </w:endnote>
  <w:endnote w:type="continuationSeparator" w:id="0">
    <w:p w:rsidR="00F51F93" w:rsidRDefault="00F51F93" w:rsidP="005B4F75">
      <w:pPr>
        <w:spacing w:after="0" w:line="240" w:lineRule="auto"/>
      </w:pPr>
      <w:r>
        <w:continuationSeparator/>
      </w:r>
    </w:p>
  </w:endnote>
  <w:endnote w:id="1">
    <w:p w:rsidR="005B4F75" w:rsidRDefault="005B4F75" w:rsidP="005B4F75">
      <w:pPr>
        <w:pStyle w:val="a3"/>
        <w:rPr>
          <w:rFonts w:hint="cs"/>
          <w:rtl/>
        </w:rPr>
      </w:pPr>
      <w:r>
        <w:rPr>
          <w:rtl/>
        </w:rPr>
        <w:tab/>
      </w:r>
      <w:r w:rsidRPr="00DF60BE">
        <w:rPr>
          <w:rtl/>
        </w:rPr>
        <w:endnoteRef/>
      </w:r>
      <w:r>
        <w:rPr>
          <w:rtl/>
        </w:rPr>
        <w:t>.</w:t>
      </w:r>
      <w:r>
        <w:rPr>
          <w:rtl/>
        </w:rPr>
        <w:tab/>
      </w:r>
      <w:r>
        <w:rPr>
          <w:rFonts w:hint="cs"/>
          <w:rtl/>
        </w:rPr>
        <w:t xml:space="preserve">פרי עץ חיים שער הנהגת הלימוד פרק א, ובכ"ד. ראה גם של"ה מסכת יומא פרק דרך חיים תוכחת מוסר (אות </w:t>
      </w:r>
      <w:proofErr w:type="spellStart"/>
      <w:r>
        <w:rPr>
          <w:rFonts w:hint="cs"/>
          <w:rtl/>
        </w:rPr>
        <w:t>עג</w:t>
      </w:r>
      <w:proofErr w:type="spellEnd"/>
      <w:r>
        <w:rPr>
          <w:rFonts w:hint="cs"/>
          <w:rtl/>
        </w:rPr>
        <w:t xml:space="preserve"> בהוצאות החדשות), מסכת חולין פרק תורה אור (אות </w:t>
      </w:r>
      <w:proofErr w:type="spellStart"/>
      <w:r>
        <w:rPr>
          <w:rFonts w:hint="cs"/>
          <w:rtl/>
        </w:rPr>
        <w:t>נג</w:t>
      </w:r>
      <w:proofErr w:type="spellEnd"/>
      <w:r>
        <w:rPr>
          <w:rFonts w:hint="cs"/>
          <w:rtl/>
        </w:rPr>
        <w:t xml:space="preserve"> בהוצאות החדשות), ובכ"ד.</w:t>
      </w:r>
    </w:p>
  </w:endnote>
  <w:endnote w:id="2">
    <w:p w:rsidR="005B4F75" w:rsidRDefault="005B4F75" w:rsidP="005B4F75">
      <w:pPr>
        <w:pStyle w:val="a3"/>
        <w:rPr>
          <w:rFonts w:hint="cs"/>
          <w:rtl/>
        </w:rPr>
      </w:pPr>
      <w:r>
        <w:rPr>
          <w:rtl/>
        </w:rPr>
        <w:tab/>
      </w:r>
      <w:r w:rsidRPr="00DF60BE">
        <w:rPr>
          <w:rtl/>
        </w:rPr>
        <w:endnoteRef/>
      </w:r>
      <w:r>
        <w:rPr>
          <w:rtl/>
        </w:rPr>
        <w:t>.</w:t>
      </w:r>
      <w:r>
        <w:rPr>
          <w:rtl/>
        </w:rPr>
        <w:tab/>
      </w:r>
      <w:r>
        <w:rPr>
          <w:rFonts w:hint="cs"/>
          <w:rtl/>
        </w:rPr>
        <w:t>וראה שכינה ביניהם עמ</w:t>
      </w:r>
      <w:r>
        <w:rPr>
          <w:rtl/>
        </w:rPr>
        <w:t>'</w:t>
      </w:r>
      <w:r>
        <w:rPr>
          <w:rFonts w:hint="cs"/>
          <w:rtl/>
        </w:rPr>
        <w:t xml:space="preserve"> </w:t>
      </w:r>
      <w:proofErr w:type="spellStart"/>
      <w:r>
        <w:rPr>
          <w:rFonts w:hint="cs"/>
          <w:rtl/>
        </w:rPr>
        <w:t>קעג</w:t>
      </w:r>
      <w:proofErr w:type="spellEnd"/>
      <w:r>
        <w:rPr>
          <w:rFonts w:hint="cs"/>
          <w:rtl/>
        </w:rPr>
        <w:t xml:space="preserve"> הערה ד (וראה גם לעיל בתורה "הריעו </w:t>
      </w:r>
      <w:proofErr w:type="spellStart"/>
      <w:r>
        <w:rPr>
          <w:rFonts w:hint="cs"/>
          <w:rtl/>
        </w:rPr>
        <w:t>להוי</w:t>
      </w:r>
      <w:proofErr w:type="spellEnd"/>
      <w:r>
        <w:rPr>
          <w:rFonts w:hint="cs"/>
          <w:rtl/>
        </w:rPr>
        <w:t>' כל הארץ").</w:t>
      </w:r>
    </w:p>
  </w:endnote>
  <w:endnote w:id="3">
    <w:p w:rsidR="005B4F75" w:rsidRDefault="005B4F75" w:rsidP="005B4F75">
      <w:pPr>
        <w:pStyle w:val="a3"/>
        <w:rPr>
          <w:rFonts w:hint="cs"/>
          <w:rtl/>
        </w:rPr>
      </w:pPr>
      <w:r>
        <w:rPr>
          <w:rtl/>
        </w:rPr>
        <w:tab/>
      </w:r>
      <w:r w:rsidRPr="00DF60BE">
        <w:rPr>
          <w:rtl/>
        </w:rPr>
        <w:endnoteRef/>
      </w:r>
      <w:r>
        <w:rPr>
          <w:rtl/>
        </w:rPr>
        <w:t>.</w:t>
      </w:r>
      <w:r>
        <w:rPr>
          <w:rtl/>
        </w:rPr>
        <w:tab/>
      </w:r>
      <w:r>
        <w:rPr>
          <w:rFonts w:hint="cs"/>
          <w:rtl/>
        </w:rPr>
        <w:t xml:space="preserve">על ארבע מדרגות בכוונות הזיווג, כנגד עולמות </w:t>
      </w:r>
      <w:proofErr w:type="spellStart"/>
      <w:r>
        <w:rPr>
          <w:rFonts w:hint="cs"/>
          <w:rtl/>
        </w:rPr>
        <w:t>אבי"ע</w:t>
      </w:r>
      <w:proofErr w:type="spellEnd"/>
      <w:r>
        <w:rPr>
          <w:rFonts w:hint="cs"/>
          <w:rtl/>
        </w:rPr>
        <w:t>, ראה יין משמח חלק א שער ז תורה "ארבע כוונות הזיווג", עמ</w:t>
      </w:r>
      <w:r>
        <w:rPr>
          <w:rtl/>
        </w:rPr>
        <w:t>'</w:t>
      </w:r>
      <w:r>
        <w:rPr>
          <w:rFonts w:hint="cs"/>
          <w:rtl/>
        </w:rPr>
        <w:t xml:space="preserve"> קלו-</w:t>
      </w:r>
      <w:proofErr w:type="spellStart"/>
      <w:r>
        <w:rPr>
          <w:rFonts w:hint="cs"/>
          <w:rtl/>
        </w:rPr>
        <w:t>מא</w:t>
      </w:r>
      <w:proofErr w:type="spellEnd"/>
      <w:r>
        <w:rPr>
          <w:rFonts w:hint="cs"/>
          <w:rtl/>
        </w:rPr>
        <w:t xml:space="preserve"> (</w:t>
      </w:r>
      <w:proofErr w:type="spellStart"/>
      <w:r>
        <w:rPr>
          <w:rFonts w:hint="cs"/>
          <w:rtl/>
        </w:rPr>
        <w:t>וש"נ</w:t>
      </w:r>
      <w:proofErr w:type="spellEnd"/>
      <w:r>
        <w:rPr>
          <w:rFonts w:hint="cs"/>
          <w:rtl/>
        </w:rPr>
        <w:t>).</w:t>
      </w:r>
    </w:p>
  </w:endnote>
  <w:endnote w:id="4">
    <w:p w:rsidR="005B4F75" w:rsidRDefault="005B4F75" w:rsidP="005B4F75">
      <w:pPr>
        <w:pStyle w:val="a3"/>
        <w:rPr>
          <w:rFonts w:hint="cs"/>
          <w:rtl/>
        </w:rPr>
      </w:pPr>
      <w:r>
        <w:rPr>
          <w:rtl/>
        </w:rPr>
        <w:tab/>
      </w:r>
      <w:r w:rsidRPr="00DF60BE">
        <w:rPr>
          <w:rtl/>
        </w:rPr>
        <w:endnoteRef/>
      </w:r>
      <w:r>
        <w:rPr>
          <w:rtl/>
        </w:rPr>
        <w:t>.</w:t>
      </w:r>
      <w:r>
        <w:rPr>
          <w:rtl/>
        </w:rPr>
        <w:tab/>
      </w:r>
      <w:r>
        <w:rPr>
          <w:rFonts w:hint="cs"/>
          <w:rtl/>
        </w:rPr>
        <w:t xml:space="preserve">בראשית ב, </w:t>
      </w:r>
      <w:proofErr w:type="spellStart"/>
      <w:r>
        <w:rPr>
          <w:rFonts w:hint="cs"/>
          <w:rtl/>
        </w:rPr>
        <w:t>כג</w:t>
      </w:r>
      <w:proofErr w:type="spellEnd"/>
      <w:r>
        <w:rPr>
          <w:rFonts w:hint="cs"/>
          <w:rtl/>
        </w:rPr>
        <w:t>.</w:t>
      </w:r>
    </w:p>
  </w:endnote>
  <w:endnote w:id="5">
    <w:p w:rsidR="005B4F75" w:rsidRDefault="005B4F75" w:rsidP="005B4F75">
      <w:pPr>
        <w:pStyle w:val="a3"/>
        <w:rPr>
          <w:rFonts w:hint="cs"/>
        </w:rPr>
      </w:pPr>
      <w:r>
        <w:rPr>
          <w:rtl/>
        </w:rPr>
        <w:tab/>
      </w:r>
      <w:r w:rsidRPr="00DF60BE">
        <w:rPr>
          <w:rtl/>
        </w:rPr>
        <w:endnoteRef/>
      </w:r>
      <w:r>
        <w:rPr>
          <w:rtl/>
        </w:rPr>
        <w:t>.</w:t>
      </w:r>
      <w:r>
        <w:rPr>
          <w:rtl/>
        </w:rPr>
        <w:tab/>
      </w:r>
      <w:r>
        <w:rPr>
          <w:rFonts w:hint="cs"/>
          <w:rtl/>
        </w:rPr>
        <w:t>ראה שכינה ביניהם עמ</w:t>
      </w:r>
      <w:r>
        <w:rPr>
          <w:rtl/>
        </w:rPr>
        <w:t>'</w:t>
      </w:r>
      <w:r>
        <w:rPr>
          <w:rFonts w:hint="cs"/>
          <w:rtl/>
        </w:rPr>
        <w:t xml:space="preserve"> ט.</w:t>
      </w:r>
    </w:p>
  </w:endnote>
  <w:endnote w:id="6">
    <w:p w:rsidR="005B4F75" w:rsidRDefault="005B4F75" w:rsidP="005B4F75">
      <w:pPr>
        <w:pStyle w:val="a3"/>
        <w:rPr>
          <w:rFonts w:hint="cs"/>
          <w:rtl/>
        </w:rPr>
      </w:pPr>
      <w:r>
        <w:rPr>
          <w:rtl/>
        </w:rPr>
        <w:tab/>
      </w:r>
      <w:r w:rsidRPr="00DF60BE">
        <w:rPr>
          <w:rtl/>
        </w:rPr>
        <w:endnoteRef/>
      </w:r>
      <w:r>
        <w:rPr>
          <w:rtl/>
        </w:rPr>
        <w:t>.</w:t>
      </w:r>
      <w:r>
        <w:rPr>
          <w:rtl/>
        </w:rPr>
        <w:tab/>
      </w:r>
      <w:r>
        <w:rPr>
          <w:rFonts w:hint="cs"/>
          <w:rtl/>
        </w:rPr>
        <w:t xml:space="preserve">יבמות </w:t>
      </w:r>
      <w:proofErr w:type="spellStart"/>
      <w:r>
        <w:rPr>
          <w:rFonts w:hint="cs"/>
          <w:rtl/>
        </w:rPr>
        <w:t>סג</w:t>
      </w:r>
      <w:proofErr w:type="spellEnd"/>
      <w:r>
        <w:rPr>
          <w:rFonts w:hint="cs"/>
          <w:rtl/>
        </w:rPr>
        <w:t>, ב. ראה גם ריש טור אבן העזר.</w:t>
      </w:r>
    </w:p>
  </w:endnote>
  <w:endnote w:id="7">
    <w:p w:rsidR="005B4F75" w:rsidRDefault="005B4F75" w:rsidP="005B4F75">
      <w:pPr>
        <w:pStyle w:val="a3"/>
        <w:rPr>
          <w:rFonts w:hint="cs"/>
          <w:rtl/>
        </w:rPr>
      </w:pPr>
      <w:r>
        <w:rPr>
          <w:rtl/>
        </w:rPr>
        <w:tab/>
      </w:r>
      <w:r w:rsidRPr="00DF60BE">
        <w:rPr>
          <w:rtl/>
        </w:rPr>
        <w:endnoteRef/>
      </w:r>
      <w:r>
        <w:rPr>
          <w:rtl/>
        </w:rPr>
        <w:t>.</w:t>
      </w:r>
      <w:r>
        <w:rPr>
          <w:rtl/>
        </w:rPr>
        <w:tab/>
      </w:r>
      <w:r>
        <w:rPr>
          <w:rFonts w:hint="cs"/>
          <w:rtl/>
        </w:rPr>
        <w:t>ראה לעיל בתורה "ירידה צורך עליה".</w:t>
      </w:r>
    </w:p>
  </w:endnote>
  <w:endnote w:id="8">
    <w:p w:rsidR="005B4F75" w:rsidRDefault="005B4F75" w:rsidP="005B4F75">
      <w:pPr>
        <w:pStyle w:val="a3"/>
        <w:rPr>
          <w:rFonts w:hint="cs"/>
          <w:rtl/>
        </w:rPr>
      </w:pPr>
      <w:r>
        <w:rPr>
          <w:rtl/>
        </w:rPr>
        <w:tab/>
      </w:r>
      <w:r w:rsidRPr="00DF60BE">
        <w:rPr>
          <w:rtl/>
        </w:rPr>
        <w:endnoteRef/>
      </w:r>
      <w:r>
        <w:rPr>
          <w:rtl/>
        </w:rPr>
        <w:t>.</w:t>
      </w:r>
      <w:r>
        <w:rPr>
          <w:rtl/>
        </w:rPr>
        <w:tab/>
      </w:r>
      <w:r>
        <w:rPr>
          <w:rFonts w:hint="cs"/>
          <w:rtl/>
        </w:rPr>
        <w:t>ראה פרי עץ חיים שער קריאת ספר תורה פ"א.</w:t>
      </w:r>
    </w:p>
  </w:endnote>
  <w:endnote w:id="9">
    <w:p w:rsidR="005B4F75" w:rsidRDefault="005B4F75" w:rsidP="005B4F75">
      <w:pPr>
        <w:pStyle w:val="a3"/>
        <w:rPr>
          <w:rFonts w:hint="cs"/>
          <w:rtl/>
        </w:rPr>
      </w:pPr>
      <w:r>
        <w:rPr>
          <w:rtl/>
        </w:rPr>
        <w:tab/>
      </w:r>
      <w:r w:rsidRPr="00DF60BE">
        <w:rPr>
          <w:rtl/>
        </w:rPr>
        <w:endnoteRef/>
      </w:r>
      <w:r>
        <w:rPr>
          <w:rtl/>
        </w:rPr>
        <w:t>.</w:t>
      </w:r>
      <w:r>
        <w:rPr>
          <w:rtl/>
        </w:rPr>
        <w:tab/>
      </w:r>
      <w:r>
        <w:rPr>
          <w:rFonts w:hint="cs"/>
          <w:rtl/>
        </w:rPr>
        <w:t>וראה שכינה ביניהם פרק ד.</w:t>
      </w:r>
    </w:p>
  </w:endnote>
  <w:endnote w:id="10">
    <w:p w:rsidR="005B4F75" w:rsidRDefault="005B4F75" w:rsidP="005B4F75">
      <w:pPr>
        <w:pStyle w:val="a3"/>
        <w:rPr>
          <w:rFonts w:hint="cs"/>
          <w:rtl/>
        </w:rPr>
      </w:pPr>
      <w:r>
        <w:rPr>
          <w:rtl/>
        </w:rPr>
        <w:tab/>
      </w:r>
      <w:r w:rsidRPr="00DF60BE">
        <w:rPr>
          <w:rtl/>
        </w:rPr>
        <w:endnoteRef/>
      </w:r>
      <w:r>
        <w:rPr>
          <w:rtl/>
        </w:rPr>
        <w:t>.</w:t>
      </w:r>
      <w:r>
        <w:rPr>
          <w:rtl/>
        </w:rPr>
        <w:tab/>
      </w:r>
      <w:r>
        <w:rPr>
          <w:rFonts w:hint="cs"/>
          <w:rtl/>
        </w:rPr>
        <w:t>מורה נבוכים חלק א פרק עב, ובכ"ד.</w:t>
      </w:r>
    </w:p>
  </w:endnote>
  <w:endnote w:id="11">
    <w:p w:rsidR="005B4F75" w:rsidRDefault="005B4F75" w:rsidP="005B4F75">
      <w:pPr>
        <w:pStyle w:val="a3"/>
        <w:rPr>
          <w:rFonts w:hint="cs"/>
          <w:rtl/>
        </w:rPr>
      </w:pPr>
      <w:r>
        <w:rPr>
          <w:rtl/>
        </w:rPr>
        <w:tab/>
      </w:r>
      <w:r w:rsidRPr="00DF60BE">
        <w:rPr>
          <w:rtl/>
        </w:rPr>
        <w:endnoteRef/>
      </w:r>
      <w:r>
        <w:rPr>
          <w:rtl/>
        </w:rPr>
        <w:t>.</w:t>
      </w:r>
      <w:r>
        <w:rPr>
          <w:rtl/>
        </w:rPr>
        <w:tab/>
      </w:r>
      <w:r>
        <w:rPr>
          <w:rFonts w:hint="cs"/>
          <w:rtl/>
        </w:rPr>
        <w:t>רבי אברהם אבולעפיה ספר מפתח הרעיון בסופו (אות ת).</w:t>
      </w:r>
    </w:p>
  </w:endnote>
  <w:endnote w:id="12">
    <w:p w:rsidR="005B4F75" w:rsidRDefault="005B4F75" w:rsidP="005B4F75">
      <w:pPr>
        <w:pStyle w:val="a3"/>
        <w:rPr>
          <w:rFonts w:hint="cs"/>
        </w:rPr>
      </w:pPr>
      <w:r>
        <w:rPr>
          <w:rtl/>
        </w:rPr>
        <w:tab/>
      </w:r>
      <w:r w:rsidRPr="00DF60BE">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י.</w:t>
      </w:r>
    </w:p>
  </w:endnote>
  <w:endnote w:id="13">
    <w:p w:rsidR="005B4F75" w:rsidRDefault="005B4F75" w:rsidP="005B4F75">
      <w:pPr>
        <w:pStyle w:val="a3"/>
        <w:rPr>
          <w:rFonts w:hint="cs"/>
          <w:rtl/>
        </w:rPr>
      </w:pPr>
      <w:r>
        <w:rPr>
          <w:rtl/>
        </w:rPr>
        <w:tab/>
      </w:r>
      <w:r w:rsidRPr="00DF60BE">
        <w:rPr>
          <w:rtl/>
        </w:rPr>
        <w:endnoteRef/>
      </w:r>
      <w:r>
        <w:rPr>
          <w:rtl/>
        </w:rPr>
        <w:t>.</w:t>
      </w:r>
      <w:r>
        <w:rPr>
          <w:rtl/>
        </w:rPr>
        <w:tab/>
      </w:r>
      <w:r>
        <w:rPr>
          <w:rFonts w:hint="cs"/>
          <w:rtl/>
        </w:rPr>
        <w:t xml:space="preserve">רמב"ם הלכות דעות פ"ג </w:t>
      </w:r>
      <w:proofErr w:type="spellStart"/>
      <w:r>
        <w:rPr>
          <w:rFonts w:hint="cs"/>
          <w:rtl/>
        </w:rPr>
        <w:t>ה"ב</w:t>
      </w:r>
      <w:proofErr w:type="spellEnd"/>
      <w:r>
        <w:rPr>
          <w:rFonts w:hint="cs"/>
          <w:rtl/>
        </w:rPr>
        <w:t xml:space="preserve"> </w:t>
      </w:r>
      <w:proofErr w:type="spellStart"/>
      <w:r>
        <w:rPr>
          <w:rFonts w:hint="cs"/>
          <w:rtl/>
        </w:rPr>
        <w:t>ופ"ד</w:t>
      </w:r>
      <w:proofErr w:type="spellEnd"/>
      <w:r>
        <w:rPr>
          <w:rFonts w:hint="cs"/>
          <w:rtl/>
        </w:rPr>
        <w:t xml:space="preserve"> </w:t>
      </w:r>
      <w:proofErr w:type="spellStart"/>
      <w:r>
        <w:rPr>
          <w:rFonts w:hint="cs"/>
          <w:rtl/>
        </w:rPr>
        <w:t>הי"ט</w:t>
      </w:r>
      <w:proofErr w:type="spellEnd"/>
      <w:r>
        <w:rPr>
          <w:rFonts w:hint="cs"/>
          <w:rtl/>
        </w:rPr>
        <w:t>.</w:t>
      </w:r>
    </w:p>
  </w:endnote>
  <w:endnote w:id="14">
    <w:p w:rsidR="005B4F75" w:rsidRDefault="005B4F75" w:rsidP="005B4F75">
      <w:pPr>
        <w:pStyle w:val="a3"/>
        <w:rPr>
          <w:rFonts w:hint="cs"/>
          <w:rtl/>
        </w:rPr>
      </w:pPr>
      <w:r>
        <w:rPr>
          <w:rtl/>
        </w:rPr>
        <w:tab/>
      </w:r>
      <w:r w:rsidRPr="00DF60BE">
        <w:rPr>
          <w:rtl/>
        </w:rPr>
        <w:endnoteRef/>
      </w:r>
      <w:r>
        <w:rPr>
          <w:rtl/>
        </w:rPr>
        <w:t>.</w:t>
      </w:r>
      <w:r>
        <w:rPr>
          <w:rtl/>
        </w:rPr>
        <w:tab/>
      </w:r>
      <w:r>
        <w:rPr>
          <w:rFonts w:hint="cs"/>
          <w:rtl/>
        </w:rPr>
        <w:t xml:space="preserve">וכנ"ל בתורות "לב טהור ברא לי </w:t>
      </w:r>
      <w:proofErr w:type="spellStart"/>
      <w:r>
        <w:rPr>
          <w:rFonts w:hint="cs"/>
          <w:rtl/>
        </w:rPr>
        <w:t>אלהים</w:t>
      </w:r>
      <w:proofErr w:type="spellEnd"/>
      <w:r>
        <w:rPr>
          <w:rFonts w:hint="cs"/>
          <w:rtl/>
        </w:rPr>
        <w:t>" ו"ירידה צורך עליה".</w:t>
      </w:r>
    </w:p>
  </w:endnote>
  <w:endnote w:id="15">
    <w:p w:rsidR="005B4F75" w:rsidRDefault="005B4F75" w:rsidP="005B4F75">
      <w:pPr>
        <w:pStyle w:val="a3"/>
        <w:rPr>
          <w:rFonts w:hint="cs"/>
          <w:rtl/>
        </w:rPr>
      </w:pPr>
      <w:r>
        <w:rPr>
          <w:rtl/>
        </w:rPr>
        <w:tab/>
      </w:r>
      <w:r w:rsidRPr="00DF60BE">
        <w:rPr>
          <w:rtl/>
        </w:rPr>
        <w:endnoteRef/>
      </w:r>
      <w:r>
        <w:rPr>
          <w:rtl/>
        </w:rPr>
        <w:t>.</w:t>
      </w:r>
      <w:r>
        <w:rPr>
          <w:rtl/>
        </w:rPr>
        <w:tab/>
      </w:r>
      <w:r>
        <w:rPr>
          <w:rFonts w:hint="cs"/>
          <w:rtl/>
        </w:rPr>
        <w:t>כנ"ל בתורות הקודמות, ובעיקר בתורה "זיווג שבת בחול".</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F93" w:rsidRDefault="00F51F93" w:rsidP="005B4F75">
      <w:pPr>
        <w:spacing w:after="0" w:line="240" w:lineRule="auto"/>
      </w:pPr>
      <w:r>
        <w:separator/>
      </w:r>
    </w:p>
  </w:footnote>
  <w:footnote w:type="continuationSeparator" w:id="0">
    <w:p w:rsidR="00F51F93" w:rsidRDefault="00F51F93" w:rsidP="005B4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191"/>
    <w:rsid w:val="00061E65"/>
    <w:rsid w:val="005B4F75"/>
    <w:rsid w:val="00886191"/>
    <w:rsid w:val="00AC2310"/>
    <w:rsid w:val="00F51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B4F75"/>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B4F75"/>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B4F75"/>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5B4F75"/>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5B4F75"/>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5B4F75"/>
    <w:rPr>
      <w:noProof/>
      <w:position w:val="-4"/>
      <w:szCs w:val="27"/>
      <w:vertAlign w:val="superscript"/>
    </w:rPr>
  </w:style>
  <w:style w:type="paragraph" w:customStyle="1" w:styleId="a7">
    <w:name w:val="פתיח תו"/>
    <w:basedOn w:val="a"/>
    <w:link w:val="a8"/>
    <w:rsid w:val="005B4F75"/>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5B4F75"/>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5B4F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B4F75"/>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B4F75"/>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B4F75"/>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5B4F75"/>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5B4F75"/>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5B4F75"/>
    <w:rPr>
      <w:noProof/>
      <w:position w:val="-4"/>
      <w:szCs w:val="27"/>
      <w:vertAlign w:val="superscript"/>
    </w:rPr>
  </w:style>
  <w:style w:type="paragraph" w:customStyle="1" w:styleId="a7">
    <w:name w:val="פתיח תו"/>
    <w:basedOn w:val="a"/>
    <w:link w:val="a8"/>
    <w:rsid w:val="005B4F75"/>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5B4F75"/>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5B4F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13;&#1497;%20&#1493;&#1513;&#1502;&#1512;&#1493;%20&#1489;&#1504;&#1497;%20&#1497;&#1513;&#1512;&#1488;&#1500;%20&#1488;&#1514;%20&#1492;&#1513;&#1489;&#1514;\&#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2509</Characters>
  <Application>Microsoft Office Word</Application>
  <DocSecurity>0</DocSecurity>
  <Lines>20</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2017-08-14T21:51:00Z</dcterms:created>
  <dcterms:modified xsi:type="dcterms:W3CDTF">2017-08-14T21:51:00Z</dcterms:modified>
</cp:coreProperties>
</file>