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91B" w:rsidRDefault="004A591B" w:rsidP="004A591B">
      <w:pPr>
        <w:pStyle w:val="2"/>
        <w:rPr>
          <w:rFonts w:hint="cs"/>
          <w:rtl/>
        </w:rPr>
      </w:pPr>
      <w:bookmarkStart w:id="0" w:name="_Toc130537252"/>
      <w:bookmarkStart w:id="1" w:name="_Ref130537639"/>
      <w:r>
        <w:rPr>
          <w:w w:val="100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1601470</wp:posOffset>
            </wp:positionH>
            <wp:positionV relativeFrom="paragraph">
              <wp:posOffset>666115</wp:posOffset>
            </wp:positionV>
            <wp:extent cx="360680" cy="371475"/>
            <wp:effectExtent l="0" t="0" r="1270" b="9525"/>
            <wp:wrapNone/>
            <wp:docPr id="1" name="תמונה 1" descr="צורה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צורה4.tif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"יפה שעה אחת"</w:t>
      </w:r>
      <w:bookmarkEnd w:id="0"/>
      <w:bookmarkEnd w:id="1"/>
    </w:p>
    <w:p w:rsidR="004A591B" w:rsidRPr="00DE003D" w:rsidRDefault="004A591B" w:rsidP="004A591B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9"/>
          <w:rtl/>
        </w:rPr>
      </w:pPr>
      <w:r w:rsidRPr="00DE003D">
        <w:rPr>
          <w:rStyle w:val="a9"/>
          <w:rFonts w:hint="cs"/>
          <w:rtl/>
        </w:rPr>
        <w:t>ב</w:t>
      </w:r>
    </w:p>
    <w:p w:rsidR="004A591B" w:rsidRDefault="004A591B" w:rsidP="004A591B">
      <w:pPr>
        <w:rPr>
          <w:rFonts w:hint="cs"/>
          <w:rtl/>
        </w:rPr>
      </w:pPr>
      <w:r>
        <w:rPr>
          <w:rFonts w:hint="cs"/>
          <w:rtl/>
        </w:rPr>
        <w:t>זיווג הקדוש פונים בני הזוג זה אל זו פנים אל פנים</w:t>
      </w:r>
      <w:r w:rsidRPr="00E838EB">
        <w:rPr>
          <w:rStyle w:val="a6"/>
          <w:rtl/>
        </w:rPr>
        <w:endnoteReference w:id="1"/>
      </w:r>
      <w:r>
        <w:rPr>
          <w:rFonts w:hint="cs"/>
          <w:rtl/>
        </w:rPr>
        <w:t xml:space="preserve">, כשהם מקדישים זה לזו את מלוא תשומת הלב. על מצב זה נאמר בספרא </w:t>
      </w:r>
      <w:proofErr w:type="spellStart"/>
      <w:r>
        <w:rPr>
          <w:rFonts w:hint="cs"/>
          <w:rtl/>
        </w:rPr>
        <w:t>דצניעותא</w:t>
      </w:r>
      <w:proofErr w:type="spellEnd"/>
      <w:r>
        <w:rPr>
          <w:rFonts w:hint="cs"/>
          <w:rtl/>
        </w:rPr>
        <w:t xml:space="preserve"> כי "עד דלא </w:t>
      </w:r>
      <w:proofErr w:type="spellStart"/>
      <w:r>
        <w:rPr>
          <w:rFonts w:hint="cs"/>
          <w:rtl/>
        </w:rPr>
        <w:t>הוה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מתקלא</w:t>
      </w:r>
      <w:proofErr w:type="spellEnd"/>
      <w:r>
        <w:rPr>
          <w:rFonts w:hint="cs"/>
          <w:rtl/>
        </w:rPr>
        <w:t xml:space="preserve"> לא </w:t>
      </w:r>
      <w:proofErr w:type="spellStart"/>
      <w:r>
        <w:rPr>
          <w:rFonts w:hint="cs"/>
          <w:rtl/>
        </w:rPr>
        <w:t>הוה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אשגחן</w:t>
      </w:r>
      <w:proofErr w:type="spellEnd"/>
      <w:r>
        <w:rPr>
          <w:rFonts w:hint="cs"/>
          <w:rtl/>
        </w:rPr>
        <w:t xml:space="preserve"> אפין </w:t>
      </w:r>
      <w:proofErr w:type="spellStart"/>
      <w:r>
        <w:rPr>
          <w:rFonts w:hint="cs"/>
          <w:rtl/>
        </w:rPr>
        <w:t>באפין</w:t>
      </w:r>
      <w:proofErr w:type="spellEnd"/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בעולם </w:t>
      </w:r>
      <w:proofErr w:type="spellStart"/>
      <w:r>
        <w:rPr>
          <w:rFonts w:hint="cs"/>
          <w:rtl/>
        </w:rPr>
        <w:t>התהו</w:t>
      </w:r>
      <w:proofErr w:type="spellEnd"/>
      <w:r>
        <w:rPr>
          <w:rFonts w:hint="cs"/>
          <w:rtl/>
        </w:rPr>
        <w:t xml:space="preserve"> (בו אין נישואין</w:t>
      </w:r>
      <w:r w:rsidRPr="00E838EB">
        <w:rPr>
          <w:rStyle w:val="a6"/>
          <w:rtl/>
        </w:rPr>
        <w:endnoteReference w:id="2"/>
      </w:r>
      <w:r>
        <w:rPr>
          <w:rFonts w:hint="cs"/>
          <w:rtl/>
        </w:rPr>
        <w:t xml:space="preserve">), כל עוד לא היה משקל-איזון מתוקן לא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הבטה והשגחה של הזכר והנקבה פנים בפנים, וכל עולם התיקון בנוי על ההבטה והקשר השלמים פנים אל פנים. פניה שלמה ומלאה נקראת בלשון המקרא "</w:t>
      </w:r>
      <w:proofErr w:type="spellStart"/>
      <w:r w:rsidRPr="00EC6CF9">
        <w:rPr>
          <w:rStyle w:val="a3"/>
          <w:rFonts w:hint="cs"/>
          <w:rtl/>
        </w:rPr>
        <w:t>שעיה</w:t>
      </w:r>
      <w:proofErr w:type="spellEnd"/>
      <w:r>
        <w:rPr>
          <w:rFonts w:hint="cs"/>
          <w:rtl/>
        </w:rPr>
        <w:t>" (כבפסוק "וישע הוי' אל הבל"</w:t>
      </w:r>
      <w:r w:rsidRPr="00E838EB">
        <w:rPr>
          <w:rStyle w:val="a6"/>
          <w:rtl/>
        </w:rPr>
        <w:endnoteReference w:id="3"/>
      </w:r>
      <w:r>
        <w:rPr>
          <w:rFonts w:hint="cs"/>
          <w:rtl/>
        </w:rPr>
        <w:t xml:space="preserve">). </w:t>
      </w:r>
      <w:proofErr w:type="spellStart"/>
      <w:r>
        <w:rPr>
          <w:rFonts w:hint="cs"/>
          <w:rtl/>
        </w:rPr>
        <w:t>ב</w:t>
      </w:r>
      <w:r w:rsidRPr="00EC6CF9">
        <w:rPr>
          <w:rFonts w:hint="cs"/>
          <w:b/>
          <w:bCs/>
          <w:sz w:val="28"/>
          <w:szCs w:val="28"/>
          <w:rtl/>
        </w:rPr>
        <w:t>שע</w:t>
      </w:r>
      <w:r>
        <w:rPr>
          <w:rFonts w:hint="cs"/>
          <w:rtl/>
        </w:rPr>
        <w:t>יה</w:t>
      </w:r>
      <w:proofErr w:type="spellEnd"/>
      <w:r>
        <w:rPr>
          <w:rFonts w:hint="cs"/>
          <w:rtl/>
        </w:rPr>
        <w:t xml:space="preserve"> כזו מתגלה אור הפנים </w:t>
      </w:r>
      <w:r>
        <w:rPr>
          <w:rtl/>
        </w:rPr>
        <w:t>–</w:t>
      </w:r>
      <w:r>
        <w:rPr>
          <w:rFonts w:hint="cs"/>
          <w:rtl/>
        </w:rPr>
        <w:t xml:space="preserve"> גילוי </w:t>
      </w:r>
      <w:proofErr w:type="spellStart"/>
      <w:r w:rsidRPr="00EC6CF9">
        <w:rPr>
          <w:rFonts w:hint="cs"/>
          <w:b/>
          <w:bCs/>
          <w:sz w:val="28"/>
          <w:szCs w:val="28"/>
          <w:rtl/>
        </w:rPr>
        <w:t>שע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נהורין</w:t>
      </w:r>
      <w:proofErr w:type="spellEnd"/>
      <w:r>
        <w:rPr>
          <w:rFonts w:hint="cs"/>
          <w:rtl/>
        </w:rPr>
        <w:t>, בלשון הקבלה</w:t>
      </w:r>
      <w:r w:rsidRPr="00E838EB">
        <w:rPr>
          <w:rStyle w:val="a6"/>
          <w:rtl/>
        </w:rPr>
        <w:endnoteReference w:id="4"/>
      </w:r>
      <w:r>
        <w:rPr>
          <w:rFonts w:hint="cs"/>
          <w:rtl/>
        </w:rPr>
        <w:t xml:space="preserve">. על כן, ראוי לכנות את זמן הזיווג </w:t>
      </w:r>
      <w:r>
        <w:rPr>
          <w:rtl/>
        </w:rPr>
        <w:t>–</w:t>
      </w:r>
      <w:r>
        <w:rPr>
          <w:rFonts w:hint="cs"/>
          <w:rtl/>
        </w:rPr>
        <w:t xml:space="preserve"> בו פונים בני הזוג זה לזו </w:t>
      </w:r>
      <w:r>
        <w:rPr>
          <w:rtl/>
        </w:rPr>
        <w:t>–</w:t>
      </w:r>
      <w:r>
        <w:rPr>
          <w:rFonts w:hint="cs"/>
          <w:rtl/>
        </w:rPr>
        <w:t xml:space="preserve"> "</w:t>
      </w:r>
      <w:r w:rsidRPr="00EC6CF9">
        <w:rPr>
          <w:rStyle w:val="a3"/>
          <w:rFonts w:hint="cs"/>
          <w:rtl/>
        </w:rPr>
        <w:t>שעה</w:t>
      </w:r>
      <w:r>
        <w:rPr>
          <w:rFonts w:hint="cs"/>
          <w:rtl/>
        </w:rPr>
        <w:t xml:space="preserve"> אחת" (מובן נוסף של "ישעו" הוא יספרו-ידברו</w:t>
      </w:r>
      <w:r w:rsidRPr="00E838EB">
        <w:rPr>
          <w:rStyle w:val="a6"/>
          <w:rtl/>
        </w:rPr>
        <w:endnoteReference w:id="5"/>
      </w:r>
      <w:r>
        <w:rPr>
          <w:rFonts w:hint="cs"/>
          <w:rtl/>
        </w:rPr>
        <w:t>, וגם הזיווג נקרא דיבור בלשון חז"ל</w:t>
      </w:r>
      <w:r w:rsidRPr="00E838EB">
        <w:rPr>
          <w:rStyle w:val="a6"/>
          <w:rtl/>
        </w:rPr>
        <w:endnoteReference w:id="6"/>
      </w:r>
      <w:r>
        <w:rPr>
          <w:rFonts w:hint="cs"/>
          <w:rtl/>
        </w:rPr>
        <w:t>). ובדרך רמז: "</w:t>
      </w:r>
      <w:r w:rsidRPr="00EC6CF9">
        <w:rPr>
          <w:rFonts w:hint="cs"/>
          <w:b/>
          <w:bCs/>
          <w:sz w:val="28"/>
          <w:szCs w:val="28"/>
          <w:rtl/>
        </w:rPr>
        <w:t>שעה</w:t>
      </w:r>
      <w:r>
        <w:rPr>
          <w:rFonts w:hint="cs"/>
          <w:rtl/>
        </w:rPr>
        <w:t xml:space="preserve"> </w:t>
      </w:r>
      <w:r w:rsidRPr="00EC6CF9">
        <w:rPr>
          <w:rFonts w:hint="cs"/>
          <w:b/>
          <w:bCs/>
          <w:sz w:val="28"/>
          <w:szCs w:val="28"/>
          <w:rtl/>
        </w:rPr>
        <w:t>אחת</w:t>
      </w:r>
      <w:r>
        <w:rPr>
          <w:rFonts w:hint="cs"/>
          <w:rtl/>
        </w:rPr>
        <w:t>" עולה "</w:t>
      </w:r>
      <w:r w:rsidRPr="00EC6CF9">
        <w:rPr>
          <w:rFonts w:hint="cs"/>
          <w:b/>
          <w:bCs/>
          <w:sz w:val="28"/>
          <w:szCs w:val="28"/>
          <w:rtl/>
        </w:rPr>
        <w:t>פעֻלת</w:t>
      </w:r>
      <w:r>
        <w:rPr>
          <w:rFonts w:hint="cs"/>
          <w:rtl/>
        </w:rPr>
        <w:t xml:space="preserve"> </w:t>
      </w:r>
      <w:r w:rsidRPr="00EC6CF9">
        <w:rPr>
          <w:rFonts w:hint="cs"/>
          <w:b/>
          <w:bCs/>
          <w:sz w:val="28"/>
          <w:szCs w:val="28"/>
          <w:rtl/>
        </w:rPr>
        <w:t>צדיק</w:t>
      </w:r>
      <w:r>
        <w:rPr>
          <w:rFonts w:hint="cs"/>
          <w:rtl/>
        </w:rPr>
        <w:t xml:space="preserve"> [לחיים]"</w:t>
      </w:r>
      <w:r w:rsidRPr="00E838EB">
        <w:rPr>
          <w:rStyle w:val="a6"/>
          <w:rtl/>
        </w:rPr>
        <w:endnoteReference w:id="7"/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EC6CF9">
        <w:rPr>
          <w:rStyle w:val="a3"/>
          <w:rFonts w:hint="cs"/>
          <w:rtl/>
        </w:rPr>
        <w:t>פעולת</w:t>
      </w:r>
      <w:r>
        <w:rPr>
          <w:rFonts w:hint="cs"/>
          <w:rtl/>
        </w:rPr>
        <w:t xml:space="preserve"> הצדיק היא </w:t>
      </w:r>
      <w:r w:rsidRPr="00EC6CF9">
        <w:rPr>
          <w:rStyle w:val="a3"/>
          <w:rFonts w:hint="cs"/>
          <w:rtl/>
        </w:rPr>
        <w:t>בעילתו</w:t>
      </w:r>
      <w:r>
        <w:rPr>
          <w:rFonts w:hint="cs"/>
          <w:rtl/>
        </w:rPr>
        <w:t xml:space="preserve"> (שהרי </w:t>
      </w:r>
      <w:proofErr w:type="spellStart"/>
      <w:r>
        <w:rPr>
          <w:rFonts w:hint="cs"/>
          <w:rtl/>
        </w:rPr>
        <w:t>השרשים</w:t>
      </w:r>
      <w:proofErr w:type="spellEnd"/>
      <w:r>
        <w:rPr>
          <w:rFonts w:hint="cs"/>
          <w:rtl/>
        </w:rPr>
        <w:t xml:space="preserve"> </w:t>
      </w:r>
      <w:r w:rsidRPr="00EC6CF9">
        <w:rPr>
          <w:rFonts w:hint="cs"/>
          <w:b/>
          <w:bCs/>
          <w:sz w:val="28"/>
          <w:szCs w:val="28"/>
          <w:rtl/>
        </w:rPr>
        <w:t>פעל</w:t>
      </w:r>
      <w:r>
        <w:rPr>
          <w:rFonts w:hint="cs"/>
          <w:rtl/>
        </w:rPr>
        <w:t xml:space="preserve"> ו</w:t>
      </w:r>
      <w:r w:rsidRPr="00EC6CF9">
        <w:rPr>
          <w:rFonts w:hint="cs"/>
          <w:b/>
          <w:bCs/>
          <w:sz w:val="28"/>
          <w:szCs w:val="28"/>
          <w:rtl/>
        </w:rPr>
        <w:t>בעל</w:t>
      </w:r>
      <w:r>
        <w:rPr>
          <w:rFonts w:hint="cs"/>
          <w:rtl/>
        </w:rPr>
        <w:t xml:space="preserve"> מתחלפים בחילוף </w:t>
      </w:r>
      <w:proofErr w:type="spellStart"/>
      <w:r w:rsidRPr="00EC6CF9">
        <w:rPr>
          <w:rFonts w:hint="cs"/>
          <w:b/>
          <w:bCs/>
          <w:sz w:val="28"/>
          <w:szCs w:val="28"/>
          <w:rtl/>
        </w:rPr>
        <w:t>בומף</w:t>
      </w:r>
      <w:proofErr w:type="spellEnd"/>
      <w:r>
        <w:rPr>
          <w:rFonts w:hint="cs"/>
          <w:rtl/>
        </w:rPr>
        <w:t>), בה הוא ממשיך חיים לעולם.</w:t>
      </w:r>
    </w:p>
    <w:p w:rsidR="004A591B" w:rsidRDefault="004A591B" w:rsidP="004A591B">
      <w:pPr>
        <w:rPr>
          <w:rFonts w:hint="cs"/>
          <w:rtl/>
        </w:rPr>
      </w:pPr>
      <w:r>
        <w:rPr>
          <w:rFonts w:hint="cs"/>
          <w:rtl/>
        </w:rPr>
        <w:t>והנה אמרו חז"ל</w:t>
      </w:r>
      <w:r w:rsidRPr="00E838EB">
        <w:rPr>
          <w:rStyle w:val="a6"/>
          <w:rtl/>
        </w:rPr>
        <w:endnoteReference w:id="8"/>
      </w:r>
      <w:r>
        <w:rPr>
          <w:rFonts w:hint="cs"/>
          <w:rtl/>
        </w:rPr>
        <w:t xml:space="preserve"> כי "יפה שעה אחת בתשובה ומעשים טובים בעולם הזה מכל חיי העולם הבא" ו"יפה שעה אחת של קורת רוח בעולם הבא מכל חיי העולם הזה" (כשכל "</w:t>
      </w:r>
      <w:r w:rsidRPr="00EC6CF9">
        <w:rPr>
          <w:rFonts w:hint="cs"/>
          <w:b/>
          <w:bCs/>
          <w:sz w:val="28"/>
          <w:szCs w:val="28"/>
          <w:rtl/>
        </w:rPr>
        <w:t>שעה</w:t>
      </w:r>
      <w:r>
        <w:rPr>
          <w:rFonts w:hint="cs"/>
          <w:rtl/>
        </w:rPr>
        <w:t xml:space="preserve"> </w:t>
      </w:r>
      <w:r w:rsidRPr="00EC6CF9">
        <w:rPr>
          <w:rFonts w:hint="cs"/>
          <w:b/>
          <w:bCs/>
          <w:sz w:val="28"/>
          <w:szCs w:val="28"/>
          <w:rtl/>
        </w:rPr>
        <w:t>אחת</w:t>
      </w:r>
      <w:r>
        <w:rPr>
          <w:rFonts w:hint="cs"/>
          <w:rtl/>
        </w:rPr>
        <w:t xml:space="preserve">" עולה </w:t>
      </w:r>
      <w:r w:rsidRPr="00EC6CF9">
        <w:rPr>
          <w:rFonts w:hint="cs"/>
          <w:b/>
          <w:bCs/>
          <w:sz w:val="28"/>
          <w:szCs w:val="28"/>
          <w:rtl/>
        </w:rPr>
        <w:t>חיי</w:t>
      </w:r>
      <w:r>
        <w:rPr>
          <w:rFonts w:hint="cs"/>
          <w:rtl/>
        </w:rPr>
        <w:t xml:space="preserve"> בריבוע </w:t>
      </w:r>
      <w:r>
        <w:rPr>
          <w:rtl/>
        </w:rPr>
        <w:t>–</w:t>
      </w:r>
      <w:r>
        <w:rPr>
          <w:rFonts w:hint="cs"/>
          <w:rtl/>
        </w:rPr>
        <w:t xml:space="preserve"> שלמות החיים </w:t>
      </w:r>
      <w:r>
        <w:rPr>
          <w:rtl/>
        </w:rPr>
        <w:t>–</w:t>
      </w:r>
      <w:r>
        <w:rPr>
          <w:rFonts w:hint="cs"/>
          <w:rtl/>
        </w:rPr>
        <w:t xml:space="preserve"> הנעלה מ"כל </w:t>
      </w:r>
      <w:r w:rsidRPr="00EC6CF9">
        <w:rPr>
          <w:rFonts w:hint="cs"/>
          <w:b/>
          <w:bCs/>
          <w:sz w:val="28"/>
          <w:szCs w:val="28"/>
          <w:rtl/>
        </w:rPr>
        <w:t>חיי</w:t>
      </w:r>
      <w:r>
        <w:rPr>
          <w:rFonts w:hint="cs"/>
          <w:rtl/>
        </w:rPr>
        <w:t>" העולם שאינם מגיעים לשלמות כזו). אם כן, מתברר כי ישנן שתי שעות יפות של "עת ד</w:t>
      </w:r>
      <w:r w:rsidRPr="00976321">
        <w:rPr>
          <w:rFonts w:hint="cs"/>
          <w:spacing w:val="-14"/>
          <w:rtl/>
        </w:rPr>
        <w:t>ֹ</w:t>
      </w:r>
      <w:r>
        <w:rPr>
          <w:rFonts w:hint="cs"/>
          <w:rtl/>
        </w:rPr>
        <w:t>דים"</w:t>
      </w:r>
      <w:r w:rsidRPr="00E838EB">
        <w:rPr>
          <w:rStyle w:val="a6"/>
          <w:rtl/>
        </w:rPr>
        <w:endnoteReference w:id="9"/>
      </w:r>
      <w:r>
        <w:rPr>
          <w:rFonts w:hint="cs"/>
          <w:rtl/>
        </w:rPr>
        <w:t xml:space="preserve"> בהן מתקיימת הפניה השלמה, השקולה והמאוזנת בין בני הזוג (כאשר "</w:t>
      </w:r>
      <w:r w:rsidRPr="00EC6CF9">
        <w:rPr>
          <w:rFonts w:hint="cs"/>
          <w:b/>
          <w:bCs/>
          <w:sz w:val="28"/>
          <w:szCs w:val="28"/>
          <w:rtl/>
        </w:rPr>
        <w:t>יפה</w:t>
      </w:r>
      <w:r>
        <w:rPr>
          <w:rFonts w:hint="cs"/>
          <w:rtl/>
        </w:rPr>
        <w:t xml:space="preserve"> </w:t>
      </w:r>
      <w:r w:rsidRPr="00EC6CF9">
        <w:rPr>
          <w:rFonts w:hint="cs"/>
          <w:b/>
          <w:bCs/>
          <w:sz w:val="28"/>
          <w:szCs w:val="28"/>
          <w:rtl/>
        </w:rPr>
        <w:t>שעה</w:t>
      </w:r>
      <w:r>
        <w:rPr>
          <w:rFonts w:hint="cs"/>
          <w:rtl/>
        </w:rPr>
        <w:t xml:space="preserve">" עולה </w:t>
      </w:r>
      <w:r w:rsidRPr="00EC6CF9">
        <w:rPr>
          <w:rFonts w:hint="cs"/>
          <w:b/>
          <w:bCs/>
          <w:sz w:val="28"/>
          <w:szCs w:val="28"/>
          <w:rtl/>
        </w:rPr>
        <w:t>עת</w:t>
      </w:r>
      <w:r>
        <w:rPr>
          <w:rFonts w:hint="cs"/>
          <w:rtl/>
        </w:rPr>
        <w:t xml:space="preserve"> ועולה </w:t>
      </w:r>
      <w:r w:rsidRPr="00EC6CF9">
        <w:rPr>
          <w:rFonts w:hint="cs"/>
          <w:b/>
          <w:bCs/>
          <w:sz w:val="28"/>
          <w:szCs w:val="28"/>
          <w:rtl/>
        </w:rPr>
        <w:t>משקל</w:t>
      </w:r>
      <w:r>
        <w:rPr>
          <w:rFonts w:hint="cs"/>
          <w:rtl/>
        </w:rPr>
        <w:t xml:space="preserve">, בסוד </w:t>
      </w:r>
      <w:proofErr w:type="spellStart"/>
      <w:r>
        <w:rPr>
          <w:rFonts w:hint="cs"/>
          <w:rtl/>
        </w:rPr>
        <w:t>ה"מתקלא</w:t>
      </w:r>
      <w:proofErr w:type="spellEnd"/>
      <w:r>
        <w:rPr>
          <w:rFonts w:hint="cs"/>
          <w:rtl/>
        </w:rPr>
        <w:t>" הנ"ל</w:t>
      </w:r>
      <w:r w:rsidRPr="00E838EB">
        <w:rPr>
          <w:rStyle w:val="a6"/>
          <w:rtl/>
        </w:rPr>
        <w:endnoteReference w:id="10"/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"יפה שעה אחת" בבחינת עולם הזה ו"יפה שעה אחת" בבחינת עולם הבא. העולם הזה הוא עולם המעשה </w:t>
      </w:r>
      <w:r>
        <w:rPr>
          <w:rtl/>
        </w:rPr>
        <w:t>–</w:t>
      </w:r>
      <w:r>
        <w:rPr>
          <w:rFonts w:hint="cs"/>
          <w:rtl/>
        </w:rPr>
        <w:t xml:space="preserve"> בו נאמר "היום לעשותם"</w:t>
      </w:r>
      <w:r w:rsidRPr="00E838EB">
        <w:rPr>
          <w:rStyle w:val="a6"/>
          <w:rtl/>
        </w:rPr>
        <w:endnoteReference w:id="11"/>
      </w:r>
      <w:r>
        <w:rPr>
          <w:rFonts w:hint="cs"/>
          <w:rtl/>
        </w:rPr>
        <w:t xml:space="preserve"> ("ולמחר לקבל שכרם"</w:t>
      </w:r>
      <w:r w:rsidRPr="00E838EB">
        <w:rPr>
          <w:rStyle w:val="a6"/>
          <w:rtl/>
        </w:rPr>
        <w:endnoteReference w:id="12"/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וה"יפה</w:t>
      </w:r>
      <w:proofErr w:type="spellEnd"/>
      <w:r>
        <w:rPr>
          <w:rFonts w:hint="cs"/>
          <w:rtl/>
        </w:rPr>
        <w:t xml:space="preserve"> שעה אחת" שלו היא הזיווג שבימות החול. זיווג זה הוא בבחינת "תשובה ומעשים טובים", משום שתכליתו תשובה, תיקון והטבת הגוף ויצריו</w:t>
      </w:r>
      <w:r w:rsidRPr="00E838EB">
        <w:rPr>
          <w:rStyle w:val="a6"/>
          <w:rtl/>
        </w:rPr>
        <w:endnoteReference w:id="13"/>
      </w:r>
      <w:r>
        <w:rPr>
          <w:rFonts w:hint="cs"/>
          <w:rtl/>
        </w:rPr>
        <w:t xml:space="preserve">. יום השבת, לעומת זאת, הוא "מעין עולם הבא" </w:t>
      </w:r>
      <w:r>
        <w:rPr>
          <w:rtl/>
        </w:rPr>
        <w:t>–</w:t>
      </w:r>
      <w:r>
        <w:rPr>
          <w:rFonts w:hint="cs"/>
          <w:rtl/>
        </w:rPr>
        <w:t xml:space="preserve"> "יפה שעה אחת של קורת רוח בעולם הבא" היא זיווג יום השבת, שעיקרו תחושת קורת רוח ותענוג </w:t>
      </w:r>
      <w:proofErr w:type="spellStart"/>
      <w:r>
        <w:rPr>
          <w:rFonts w:hint="cs"/>
          <w:rtl/>
        </w:rPr>
        <w:t>אלקי</w:t>
      </w:r>
      <w:proofErr w:type="spellEnd"/>
      <w:r w:rsidRPr="00E838EB">
        <w:rPr>
          <w:rStyle w:val="a6"/>
          <w:rtl/>
        </w:rPr>
        <w:endnoteReference w:id="14"/>
      </w:r>
      <w:r>
        <w:rPr>
          <w:rFonts w:hint="cs"/>
          <w:rtl/>
        </w:rPr>
        <w:t>.</w:t>
      </w:r>
    </w:p>
    <w:p w:rsidR="004A591B" w:rsidRDefault="004A591B" w:rsidP="004A591B">
      <w:pPr>
        <w:rPr>
          <w:rFonts w:hint="cs"/>
          <w:rtl/>
        </w:rPr>
      </w:pPr>
      <w:r>
        <w:rPr>
          <w:rFonts w:hint="cs"/>
          <w:rtl/>
        </w:rPr>
        <w:t xml:space="preserve">במאמרי "יפה שעה אחת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 xml:space="preserve">'" רומזים חז"ל כי לכל אחד מהזיווגים יש מעלה על רעהו, ועל כן יש לערב אותם כך שיפעלו וישפיעו זה על זה </w:t>
      </w:r>
      <w:r>
        <w:rPr>
          <w:rtl/>
        </w:rPr>
        <w:t>–</w:t>
      </w:r>
      <w:r>
        <w:rPr>
          <w:rFonts w:hint="cs"/>
          <w:rtl/>
        </w:rPr>
        <w:t xml:space="preserve"> "טוב אשר תאחז בזה וגם מזה אל </w:t>
      </w:r>
      <w:proofErr w:type="spellStart"/>
      <w:r>
        <w:rPr>
          <w:rFonts w:hint="cs"/>
          <w:rtl/>
        </w:rPr>
        <w:t>תנח</w:t>
      </w:r>
      <w:proofErr w:type="spellEnd"/>
      <w:r>
        <w:rPr>
          <w:rFonts w:hint="cs"/>
          <w:rtl/>
        </w:rPr>
        <w:t xml:space="preserve"> את ידך כי ירא </w:t>
      </w:r>
      <w:proofErr w:type="spellStart"/>
      <w:r>
        <w:rPr>
          <w:rFonts w:hint="cs"/>
          <w:rtl/>
        </w:rPr>
        <w:t>אלהים</w:t>
      </w:r>
      <w:proofErr w:type="spellEnd"/>
      <w:r>
        <w:rPr>
          <w:rFonts w:hint="cs"/>
          <w:rtl/>
        </w:rPr>
        <w:t xml:space="preserve"> יצא את כֻלם"</w:t>
      </w:r>
      <w:r w:rsidRPr="00E838EB">
        <w:rPr>
          <w:rStyle w:val="a6"/>
          <w:rtl/>
        </w:rPr>
        <w:endnoteReference w:id="15"/>
      </w:r>
      <w:r>
        <w:rPr>
          <w:rFonts w:hint="cs"/>
          <w:rtl/>
        </w:rPr>
        <w:t>. דווקא כאשר מחברים את שתי הבחינות של "</w:t>
      </w:r>
      <w:r w:rsidRPr="00EC6CF9">
        <w:rPr>
          <w:rFonts w:hint="cs"/>
          <w:b/>
          <w:bCs/>
          <w:sz w:val="28"/>
          <w:szCs w:val="28"/>
          <w:rtl/>
        </w:rPr>
        <w:t>שעה</w:t>
      </w:r>
      <w:r>
        <w:rPr>
          <w:rFonts w:hint="cs"/>
          <w:rtl/>
        </w:rPr>
        <w:t xml:space="preserve"> </w:t>
      </w:r>
      <w:r w:rsidRPr="00EC6CF9">
        <w:rPr>
          <w:rFonts w:hint="cs"/>
          <w:b/>
          <w:bCs/>
          <w:sz w:val="28"/>
          <w:szCs w:val="28"/>
          <w:rtl/>
        </w:rPr>
        <w:t>אחת</w:t>
      </w:r>
      <w:r>
        <w:rPr>
          <w:rFonts w:hint="cs"/>
          <w:rtl/>
        </w:rPr>
        <w:t>" זוכים לקיום מלא של "</w:t>
      </w:r>
      <w:r w:rsidRPr="00EC6CF9">
        <w:rPr>
          <w:rFonts w:hint="cs"/>
          <w:b/>
          <w:bCs/>
          <w:sz w:val="28"/>
          <w:szCs w:val="28"/>
          <w:rtl/>
        </w:rPr>
        <w:t>בכל</w:t>
      </w:r>
      <w:r>
        <w:rPr>
          <w:rFonts w:hint="cs"/>
          <w:rtl/>
        </w:rPr>
        <w:t xml:space="preserve"> </w:t>
      </w:r>
      <w:r w:rsidRPr="00EC6CF9">
        <w:rPr>
          <w:rFonts w:hint="cs"/>
          <w:b/>
          <w:bCs/>
          <w:sz w:val="28"/>
          <w:szCs w:val="28"/>
          <w:rtl/>
        </w:rPr>
        <w:t>דרכיך</w:t>
      </w:r>
      <w:r>
        <w:rPr>
          <w:rFonts w:hint="cs"/>
          <w:rtl/>
        </w:rPr>
        <w:t xml:space="preserve"> [בכל בחינות הזיווג, שהרי 'ביאה </w:t>
      </w:r>
      <w:proofErr w:type="spellStart"/>
      <w:r>
        <w:rPr>
          <w:rFonts w:hint="cs"/>
          <w:rtl/>
        </w:rPr>
        <w:t>איקרי</w:t>
      </w:r>
      <w:proofErr w:type="spellEnd"/>
      <w:r>
        <w:rPr>
          <w:rFonts w:hint="cs"/>
          <w:rtl/>
        </w:rPr>
        <w:t xml:space="preserve"> דרך'</w:t>
      </w:r>
      <w:r w:rsidRPr="00E838EB">
        <w:rPr>
          <w:rStyle w:val="a6"/>
          <w:rtl/>
        </w:rPr>
        <w:endnoteReference w:id="16"/>
      </w:r>
      <w:r>
        <w:rPr>
          <w:rFonts w:hint="cs"/>
          <w:rtl/>
        </w:rPr>
        <w:t xml:space="preserve">] </w:t>
      </w:r>
      <w:proofErr w:type="spellStart"/>
      <w:r w:rsidRPr="00EC6CF9">
        <w:rPr>
          <w:rFonts w:hint="cs"/>
          <w:b/>
          <w:bCs/>
          <w:sz w:val="28"/>
          <w:szCs w:val="28"/>
          <w:rtl/>
        </w:rPr>
        <w:t>דעהו</w:t>
      </w:r>
      <w:proofErr w:type="spellEnd"/>
      <w:r w:rsidRPr="00C20F6D">
        <w:rPr>
          <w:rFonts w:hint="cs"/>
          <w:sz w:val="24"/>
          <w:szCs w:val="24"/>
          <w:rtl/>
        </w:rPr>
        <w:t xml:space="preserve"> </w:t>
      </w:r>
      <w:r w:rsidRPr="00C20F6D">
        <w:rPr>
          <w:rFonts w:hint="cs"/>
          <w:rtl/>
        </w:rPr>
        <w:t>[בבחינת 'והאדם ידע'</w:t>
      </w:r>
      <w:r w:rsidRPr="00E838EB">
        <w:rPr>
          <w:rStyle w:val="a6"/>
          <w:rtl/>
        </w:rPr>
        <w:endnoteReference w:id="17"/>
      </w:r>
      <w:r w:rsidRPr="00C20F6D">
        <w:rPr>
          <w:rFonts w:hint="cs"/>
          <w:rtl/>
        </w:rPr>
        <w:t xml:space="preserve"> בשלמות]</w:t>
      </w:r>
      <w:r w:rsidRPr="00EC6CF9">
        <w:rPr>
          <w:rFonts w:hint="cs"/>
          <w:b/>
          <w:bCs/>
          <w:sz w:val="28"/>
          <w:szCs w:val="28"/>
          <w:rtl/>
        </w:rPr>
        <w:t xml:space="preserve"> והוא</w:t>
      </w:r>
      <w:r>
        <w:rPr>
          <w:rFonts w:hint="cs"/>
          <w:rtl/>
        </w:rPr>
        <w:t xml:space="preserve"> </w:t>
      </w:r>
      <w:r w:rsidRPr="00EC6CF9">
        <w:rPr>
          <w:rFonts w:hint="cs"/>
          <w:b/>
          <w:bCs/>
          <w:sz w:val="28"/>
          <w:szCs w:val="28"/>
          <w:rtl/>
        </w:rPr>
        <w:t>יישר</w:t>
      </w:r>
      <w:r w:rsidRPr="00E838EB">
        <w:rPr>
          <w:rStyle w:val="a6"/>
          <w:rtl/>
        </w:rPr>
        <w:endnoteReference w:id="18"/>
      </w:r>
      <w:r>
        <w:rPr>
          <w:rFonts w:hint="cs"/>
          <w:rtl/>
        </w:rPr>
        <w:t xml:space="preserve"> </w:t>
      </w:r>
      <w:proofErr w:type="spellStart"/>
      <w:r w:rsidRPr="00EC6CF9">
        <w:rPr>
          <w:rFonts w:hint="cs"/>
          <w:b/>
          <w:bCs/>
          <w:sz w:val="28"/>
          <w:szCs w:val="28"/>
          <w:rtl/>
        </w:rPr>
        <w:t>ארחתיך</w:t>
      </w:r>
      <w:proofErr w:type="spellEnd"/>
      <w:r>
        <w:rPr>
          <w:rFonts w:hint="cs"/>
          <w:rtl/>
        </w:rPr>
        <w:t>"</w:t>
      </w:r>
      <w:r w:rsidRPr="00E838EB">
        <w:rPr>
          <w:rStyle w:val="a6"/>
          <w:rtl/>
        </w:rPr>
        <w:endnoteReference w:id="19"/>
      </w:r>
      <w:r>
        <w:rPr>
          <w:rFonts w:hint="cs"/>
          <w:rtl/>
        </w:rPr>
        <w:t>.</w:t>
      </w:r>
    </w:p>
    <w:p w:rsidR="005F4A47" w:rsidRDefault="008B1433">
      <w:bookmarkStart w:id="2" w:name="_GoBack"/>
      <w:bookmarkEnd w:id="2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433" w:rsidRDefault="008B1433" w:rsidP="004A591B">
      <w:pPr>
        <w:spacing w:after="0" w:line="240" w:lineRule="auto"/>
      </w:pPr>
      <w:r>
        <w:separator/>
      </w:r>
    </w:p>
  </w:endnote>
  <w:endnote w:type="continuationSeparator" w:id="0">
    <w:p w:rsidR="008B1433" w:rsidRDefault="008B1433" w:rsidP="004A591B">
      <w:pPr>
        <w:spacing w:after="0" w:line="240" w:lineRule="auto"/>
      </w:pPr>
      <w:r>
        <w:continuationSeparator/>
      </w:r>
    </w:p>
  </w:endnote>
  <w:endnote w:id="1">
    <w:p w:rsidR="004A591B" w:rsidRDefault="004A591B" w:rsidP="004A591B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בכורות ח, א (וראה נדרים כ, א).</w:t>
      </w:r>
    </w:p>
  </w:endnote>
  <w:endnote w:id="2">
    <w:p w:rsidR="004A591B" w:rsidRDefault="004A591B" w:rsidP="004A591B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כעולה מעיון בפרשת מלכי </w:t>
      </w:r>
      <w:proofErr w:type="spellStart"/>
      <w:r>
        <w:rPr>
          <w:rFonts w:hint="cs"/>
          <w:rtl/>
        </w:rPr>
        <w:t>התהו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בראשית לו, לא-לט </w:t>
      </w:r>
      <w:r>
        <w:rPr>
          <w:rtl/>
        </w:rPr>
        <w:t>–</w:t>
      </w:r>
      <w:r>
        <w:rPr>
          <w:rFonts w:hint="cs"/>
          <w:rtl/>
        </w:rPr>
        <w:t xml:space="preserve"> בה מצוינת רק אשתו של המלך השמיני, הדר, שבסוד ראשית עולם התיקון (וראה הקדמת שכינה ביניהם הערה יא).</w:t>
      </w:r>
    </w:p>
  </w:endnote>
  <w:endnote w:id="3">
    <w:p w:rsidR="004A591B" w:rsidRDefault="004A591B" w:rsidP="004A591B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בראשית ד, ד.</w:t>
      </w:r>
    </w:p>
  </w:endnote>
  <w:endnote w:id="4">
    <w:p w:rsidR="004A591B" w:rsidRDefault="004A591B" w:rsidP="004A591B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שער </w:t>
      </w:r>
      <w:proofErr w:type="spellStart"/>
      <w:r>
        <w:rPr>
          <w:rFonts w:hint="cs"/>
          <w:rtl/>
        </w:rPr>
        <w:t>הכונות</w:t>
      </w:r>
      <w:proofErr w:type="spellEnd"/>
      <w:r>
        <w:rPr>
          <w:rFonts w:hint="cs"/>
          <w:rtl/>
        </w:rPr>
        <w:t xml:space="preserve"> דרושי "ויעבור" דרוש ז, ובכ"ד.</w:t>
      </w:r>
    </w:p>
  </w:endnote>
  <w:endnote w:id="5">
    <w:p w:rsidR="004A591B" w:rsidRDefault="004A591B" w:rsidP="004A591B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רש"י לשמות ה, ט </w:t>
      </w:r>
      <w:r>
        <w:rPr>
          <w:rtl/>
        </w:rPr>
        <w:t>–</w:t>
      </w:r>
      <w:r>
        <w:rPr>
          <w:rFonts w:hint="cs"/>
          <w:rtl/>
        </w:rPr>
        <w:t xml:space="preserve"> עיי"ש.</w:t>
      </w:r>
    </w:p>
  </w:endnote>
  <w:endnote w:id="6">
    <w:p w:rsidR="004A591B" w:rsidRDefault="004A591B" w:rsidP="004A591B">
      <w:pPr>
        <w:pStyle w:val="a4"/>
        <w:rPr>
          <w:rFonts w:hint="cs"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ברכות ג, א.</w:t>
      </w:r>
    </w:p>
  </w:endnote>
  <w:endnote w:id="7">
    <w:p w:rsidR="004A591B" w:rsidRDefault="004A591B" w:rsidP="004A591B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משלי י, </w:t>
      </w:r>
      <w:proofErr w:type="spellStart"/>
      <w:r>
        <w:rPr>
          <w:rFonts w:hint="cs"/>
          <w:rtl/>
        </w:rPr>
        <w:t>טז</w:t>
      </w:r>
      <w:proofErr w:type="spellEnd"/>
      <w:r>
        <w:rPr>
          <w:rFonts w:hint="cs"/>
          <w:rtl/>
        </w:rPr>
        <w:t>.</w:t>
      </w:r>
    </w:p>
  </w:endnote>
  <w:endnote w:id="8">
    <w:p w:rsidR="004A591B" w:rsidRDefault="004A591B" w:rsidP="004A591B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אבות ד, </w:t>
      </w:r>
      <w:proofErr w:type="spellStart"/>
      <w:r>
        <w:rPr>
          <w:rFonts w:hint="cs"/>
          <w:rtl/>
        </w:rPr>
        <w:t>יז</w:t>
      </w:r>
      <w:proofErr w:type="spellEnd"/>
      <w:r>
        <w:rPr>
          <w:rFonts w:hint="cs"/>
          <w:rtl/>
        </w:rPr>
        <w:t>.</w:t>
      </w:r>
    </w:p>
  </w:endnote>
  <w:endnote w:id="9">
    <w:p w:rsidR="004A591B" w:rsidRDefault="004A591B" w:rsidP="004A591B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יחזקאל </w:t>
      </w:r>
      <w:proofErr w:type="spellStart"/>
      <w:r>
        <w:rPr>
          <w:rFonts w:hint="cs"/>
          <w:rtl/>
        </w:rPr>
        <w:t>טז</w:t>
      </w:r>
      <w:proofErr w:type="spellEnd"/>
      <w:r>
        <w:rPr>
          <w:rFonts w:hint="cs"/>
          <w:rtl/>
        </w:rPr>
        <w:t xml:space="preserve">, ח. ראה בספר בעתה </w:t>
      </w:r>
      <w:proofErr w:type="spellStart"/>
      <w:r>
        <w:rPr>
          <w:rFonts w:hint="cs"/>
          <w:rtl/>
        </w:rPr>
        <w:t>אחישנה</w:t>
      </w:r>
      <w:proofErr w:type="spellEnd"/>
      <w:r>
        <w:rPr>
          <w:rFonts w:hint="cs"/>
          <w:rtl/>
        </w:rPr>
        <w:t xml:space="preserve"> עמ</w:t>
      </w:r>
      <w:r>
        <w:rPr>
          <w:rtl/>
        </w:rPr>
        <w:t>'</w:t>
      </w:r>
      <w:r>
        <w:rPr>
          <w:rFonts w:hint="cs"/>
          <w:rtl/>
        </w:rPr>
        <w:t xml:space="preserve"> רצה ואילך.</w:t>
      </w:r>
    </w:p>
  </w:endnote>
  <w:endnote w:id="10">
    <w:p w:rsidR="004A591B" w:rsidRDefault="004A591B" w:rsidP="004A591B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ועיין עץ חיים שער לג פ"א (</w:t>
      </w:r>
      <w:proofErr w:type="spellStart"/>
      <w:r>
        <w:rPr>
          <w:rFonts w:hint="cs"/>
          <w:rtl/>
        </w:rPr>
        <w:t>מ"ת</w:t>
      </w:r>
      <w:proofErr w:type="spellEnd"/>
      <w:r>
        <w:rPr>
          <w:rFonts w:hint="cs"/>
          <w:rtl/>
        </w:rPr>
        <w:t>) בסודות המשקל.</w:t>
      </w:r>
    </w:p>
  </w:endnote>
  <w:endnote w:id="11">
    <w:p w:rsidR="004A591B" w:rsidRDefault="004A591B" w:rsidP="004A591B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דברים ז, יא.</w:t>
      </w:r>
    </w:p>
  </w:endnote>
  <w:endnote w:id="12">
    <w:p w:rsidR="004A591B" w:rsidRDefault="004A591B" w:rsidP="004A591B">
      <w:pPr>
        <w:pStyle w:val="a4"/>
        <w:rPr>
          <w:rFonts w:hint="cs"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עירובין </w:t>
      </w:r>
      <w:proofErr w:type="spellStart"/>
      <w:r>
        <w:rPr>
          <w:rFonts w:hint="cs"/>
          <w:rtl/>
        </w:rPr>
        <w:t>כב</w:t>
      </w:r>
      <w:proofErr w:type="spellEnd"/>
      <w:r>
        <w:rPr>
          <w:rFonts w:hint="cs"/>
          <w:rtl/>
        </w:rPr>
        <w:t>, א.</w:t>
      </w:r>
    </w:p>
  </w:endnote>
  <w:endnote w:id="13">
    <w:p w:rsidR="004A591B" w:rsidRDefault="004A591B" w:rsidP="004A591B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וכנ"ל בפירוש בתורה "ירידה צורך עליה" שעל זיווג יום החול נאמר "תכלית חכמה תשובה ומעשים טובים".</w:t>
      </w:r>
    </w:p>
  </w:endnote>
  <w:endnote w:id="14">
    <w:p w:rsidR="004A591B" w:rsidRDefault="004A591B" w:rsidP="004A591B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וכנ"ל בתורות הקודמות, בעיקר בתורה "שמחת עונה" (וראה ברש"י ד"ה "מערב שבת" בכתובות סב, ב).</w:t>
      </w:r>
    </w:p>
  </w:endnote>
  <w:endnote w:id="15">
    <w:p w:rsidR="004A591B" w:rsidRDefault="004A591B" w:rsidP="004A591B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קהלת ז, </w:t>
      </w:r>
      <w:proofErr w:type="spellStart"/>
      <w:r>
        <w:rPr>
          <w:rFonts w:hint="cs"/>
          <w:rtl/>
        </w:rPr>
        <w:t>יח</w:t>
      </w:r>
      <w:proofErr w:type="spellEnd"/>
      <w:r>
        <w:rPr>
          <w:rFonts w:hint="cs"/>
          <w:rtl/>
        </w:rPr>
        <w:t>.</w:t>
      </w:r>
    </w:p>
  </w:endnote>
  <w:endnote w:id="16">
    <w:p w:rsidR="004A591B" w:rsidRDefault="004A591B" w:rsidP="004A591B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proofErr w:type="spellStart"/>
      <w:r>
        <w:rPr>
          <w:rFonts w:hint="cs"/>
          <w:rtl/>
        </w:rPr>
        <w:t>קדושין</w:t>
      </w:r>
      <w:proofErr w:type="spellEnd"/>
      <w:r>
        <w:rPr>
          <w:rFonts w:hint="cs"/>
          <w:rtl/>
        </w:rPr>
        <w:t xml:space="preserve"> ב, ב. וכן </w:t>
      </w:r>
      <w:r w:rsidRPr="00EC6CF9">
        <w:rPr>
          <w:rFonts w:hint="cs"/>
          <w:b/>
          <w:bCs/>
          <w:sz w:val="24"/>
          <w:szCs w:val="21"/>
          <w:rtl/>
        </w:rPr>
        <w:t>ב</w:t>
      </w:r>
      <w:r>
        <w:rPr>
          <w:rFonts w:hint="cs"/>
          <w:rtl/>
        </w:rPr>
        <w:t xml:space="preserve"> פעמים </w:t>
      </w:r>
      <w:r w:rsidRPr="00EC6CF9">
        <w:rPr>
          <w:rFonts w:hint="cs"/>
          <w:b/>
          <w:bCs/>
          <w:sz w:val="24"/>
          <w:szCs w:val="21"/>
          <w:rtl/>
        </w:rPr>
        <w:t>שעה</w:t>
      </w:r>
      <w:r>
        <w:rPr>
          <w:rFonts w:hint="cs"/>
          <w:rtl/>
        </w:rPr>
        <w:t xml:space="preserve"> </w:t>
      </w:r>
      <w:r w:rsidRPr="00EC6CF9">
        <w:rPr>
          <w:rFonts w:hint="cs"/>
          <w:b/>
          <w:bCs/>
          <w:sz w:val="24"/>
          <w:szCs w:val="21"/>
          <w:rtl/>
        </w:rPr>
        <w:t>אחת</w:t>
      </w:r>
      <w:r>
        <w:rPr>
          <w:rFonts w:hint="cs"/>
          <w:rtl/>
        </w:rPr>
        <w:t xml:space="preserve"> עולה </w:t>
      </w:r>
      <w:r w:rsidRPr="00EC6CF9">
        <w:rPr>
          <w:rFonts w:hint="cs"/>
          <w:b/>
          <w:bCs/>
          <w:sz w:val="24"/>
          <w:szCs w:val="21"/>
          <w:rtl/>
        </w:rPr>
        <w:t>ז</w:t>
      </w:r>
      <w:r>
        <w:rPr>
          <w:rFonts w:hint="cs"/>
          <w:rtl/>
        </w:rPr>
        <w:t xml:space="preserve"> פעמים </w:t>
      </w:r>
      <w:r w:rsidRPr="00EC6CF9">
        <w:rPr>
          <w:rFonts w:hint="cs"/>
          <w:b/>
          <w:bCs/>
          <w:sz w:val="24"/>
          <w:szCs w:val="21"/>
          <w:rtl/>
        </w:rPr>
        <w:t>דרך</w:t>
      </w:r>
      <w:r>
        <w:rPr>
          <w:rFonts w:hint="cs"/>
          <w:rtl/>
        </w:rPr>
        <w:t>.</w:t>
      </w:r>
    </w:p>
  </w:endnote>
  <w:endnote w:id="17">
    <w:p w:rsidR="004A591B" w:rsidRDefault="004A591B" w:rsidP="004A591B">
      <w:pPr>
        <w:pStyle w:val="a4"/>
        <w:rPr>
          <w:rFonts w:hint="cs"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בראשית ד, א (וראה לעיל בשער "תיקון הדעת").</w:t>
      </w:r>
    </w:p>
  </w:endnote>
  <w:endnote w:id="18">
    <w:p w:rsidR="004A591B" w:rsidRDefault="004A591B" w:rsidP="004A591B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עיין בשער "בית היין" בתורה "גילוי סוד האהבה" אודות היושר הנדרש בזיווג.</w:t>
      </w:r>
    </w:p>
  </w:endnote>
  <w:endnote w:id="19">
    <w:p w:rsidR="004A591B" w:rsidRDefault="004A591B" w:rsidP="004A591B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משלי ג, ו (וראה תשובת השנה במאמר "בכל דרכיך </w:t>
      </w:r>
      <w:proofErr w:type="spellStart"/>
      <w:r>
        <w:rPr>
          <w:rFonts w:hint="cs"/>
          <w:rtl/>
        </w:rPr>
        <w:t>דעהו</w:t>
      </w:r>
      <w:proofErr w:type="spellEnd"/>
      <w:r>
        <w:rPr>
          <w:rFonts w:hint="cs"/>
          <w:rtl/>
        </w:rPr>
        <w:t>").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433" w:rsidRDefault="008B1433" w:rsidP="004A591B">
      <w:pPr>
        <w:spacing w:after="0" w:line="240" w:lineRule="auto"/>
      </w:pPr>
      <w:r>
        <w:separator/>
      </w:r>
    </w:p>
  </w:footnote>
  <w:footnote w:type="continuationSeparator" w:id="0">
    <w:p w:rsidR="008B1433" w:rsidRDefault="008B1433" w:rsidP="004A59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ADB"/>
    <w:rsid w:val="00061E65"/>
    <w:rsid w:val="004A591B"/>
    <w:rsid w:val="008B1433"/>
    <w:rsid w:val="00AC2310"/>
    <w:rsid w:val="00F7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4A591B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4A591B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4A591B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4A591B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4A591B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4A591B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7"/>
    <w:semiHidden/>
    <w:rsid w:val="004A591B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4A591B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4A591B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4A591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4A591B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4A591B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4A591B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4A591B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4A591B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4A591B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7"/>
    <w:semiHidden/>
    <w:rsid w:val="004A591B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4A591B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4A591B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4A59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user\Documents\&#1502;&#1513;&#1512;&#1491;\&#1488;&#1514;&#1512;\&#1505;&#1508;&#1512;&#1497;&#1501;%20&#1502;&#1495;&#1493;&#1500;&#1511;&#1497;&#1501;%20&#1488;\&#1497;&#1497;&#1503;%20&#1502;&#1513;&#1502;&#1495;%20&#1489;\&#1513;&#1506;&#1512;%20&#1513;&#1513;&#1497;%20&#1493;&#1513;&#1502;&#1512;&#1493;%20&#1489;&#1504;&#1497;%20&#1497;&#1513;&#1512;&#1488;&#1500;%20&#1488;&#1514;%20&#1492;&#1513;&#1489;&#1514;\&#1510;&#1493;&#1512;&#1492;4.t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2017-08-14T21:52:00Z</dcterms:created>
  <dcterms:modified xsi:type="dcterms:W3CDTF">2017-08-14T21:52:00Z</dcterms:modified>
</cp:coreProperties>
</file>