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0A37" w:rsidRDefault="00ED0A37" w:rsidP="00ED0A37">
      <w:pPr>
        <w:pStyle w:val="2"/>
        <w:spacing w:before="480" w:after="480"/>
        <w:rPr>
          <w:rFonts w:hint="cs"/>
          <w:rtl/>
        </w:rPr>
      </w:pPr>
      <w:bookmarkStart w:id="0" w:name="_Toc130537216"/>
      <w:bookmarkStart w:id="1" w:name="_Ref130537434"/>
      <w:bookmarkStart w:id="2" w:name="_Toc145068664"/>
      <w:r>
        <w:rPr>
          <w:w w:val="100"/>
          <w:rtl/>
        </w:rPr>
        <w:drawing>
          <wp:anchor distT="0" distB="0" distL="114300" distR="114300" simplePos="0" relativeHeight="251659264" behindDoc="1" locked="0" layoutInCell="1" allowOverlap="1">
            <wp:simplePos x="0" y="0"/>
            <wp:positionH relativeFrom="column">
              <wp:posOffset>543560</wp:posOffset>
            </wp:positionH>
            <wp:positionV relativeFrom="paragraph">
              <wp:posOffset>304800</wp:posOffset>
            </wp:positionV>
            <wp:extent cx="360680" cy="371475"/>
            <wp:effectExtent l="0" t="0" r="1270" b="9525"/>
            <wp:wrapNone/>
            <wp:docPr id="1" name="תמונה 1" descr="צורה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צורה4.tif"/>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6068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Pr>
          <w:rtl/>
        </w:rPr>
        <w:t>הקדמה</w:t>
      </w:r>
      <w:bookmarkEnd w:id="0"/>
      <w:bookmarkEnd w:id="1"/>
      <w:bookmarkEnd w:id="2"/>
    </w:p>
    <w:p w:rsidR="00ED0A37" w:rsidRPr="005C1989" w:rsidRDefault="00ED0A37" w:rsidP="00ED0A37">
      <w:pPr>
        <w:keepNext/>
        <w:framePr w:dropCap="drop" w:lines="2" w:h="655" w:hRule="exact" w:hSpace="57" w:wrap="around" w:vAnchor="text" w:hAnchor="text" w:xAlign="right"/>
        <w:spacing w:after="0" w:line="655" w:lineRule="exact"/>
        <w:textAlignment w:val="baseline"/>
        <w:rPr>
          <w:rStyle w:val="a4"/>
          <w:sz w:val="79"/>
          <w:szCs w:val="79"/>
          <w:rtl/>
        </w:rPr>
      </w:pPr>
      <w:r w:rsidRPr="005C1989">
        <w:rPr>
          <w:rStyle w:val="a4"/>
          <w:sz w:val="61"/>
          <w:szCs w:val="61"/>
          <w:rtl/>
        </w:rPr>
        <w:t>י</w:t>
      </w:r>
    </w:p>
    <w:p w:rsidR="00ED0A37" w:rsidRDefault="00ED0A37" w:rsidP="00ED0A37">
      <w:pPr>
        <w:rPr>
          <w:rFonts w:hint="cs"/>
          <w:rtl/>
        </w:rPr>
      </w:pPr>
      <w:r>
        <w:rPr>
          <w:rtl/>
        </w:rPr>
        <w:t xml:space="preserve">ין </w:t>
      </w:r>
      <w:r w:rsidRPr="00E05199">
        <w:rPr>
          <w:rFonts w:hint="cs"/>
          <w:b/>
          <w:bCs/>
          <w:sz w:val="22"/>
          <w:szCs w:val="28"/>
          <w:rtl/>
        </w:rPr>
        <w:t>ה</w:t>
      </w:r>
      <w:r>
        <w:rPr>
          <w:rFonts w:hint="cs"/>
          <w:rtl/>
        </w:rPr>
        <w:t xml:space="preserve">משמח </w:t>
      </w:r>
      <w:r w:rsidRPr="00E05199">
        <w:rPr>
          <w:rFonts w:hint="cs"/>
          <w:b/>
          <w:bCs/>
          <w:sz w:val="22"/>
          <w:szCs w:val="28"/>
          <w:rtl/>
        </w:rPr>
        <w:t>ו</w:t>
      </w:r>
      <w:r w:rsidRPr="00E05199">
        <w:rPr>
          <w:rFonts w:hint="cs"/>
          <w:rtl/>
        </w:rPr>
        <w:t>י</w:t>
      </w:r>
      <w:r>
        <w:rPr>
          <w:rFonts w:hint="cs"/>
          <w:rtl/>
        </w:rPr>
        <w:t xml:space="preserve">ין </w:t>
      </w:r>
      <w:r w:rsidRPr="00E05199">
        <w:rPr>
          <w:rFonts w:hint="cs"/>
          <w:b/>
          <w:bCs/>
          <w:sz w:val="22"/>
          <w:szCs w:val="28"/>
          <w:rtl/>
        </w:rPr>
        <w:t>ה</w:t>
      </w:r>
      <w:r>
        <w:rPr>
          <w:rFonts w:hint="cs"/>
          <w:rtl/>
        </w:rPr>
        <w:t xml:space="preserve">משכר של סודות התורה זבים מדריכת "ענבי הגפן בענבי הגפן" של חיי הנישואין. כבכל עבודת ה', גם בחיי הנישואין, כדי לזכות לטוב טעם פנימי </w:t>
      </w:r>
      <w:proofErr w:type="spellStart"/>
      <w:r>
        <w:rPr>
          <w:rFonts w:hint="cs"/>
          <w:rtl/>
        </w:rPr>
        <w:t>ואמיתי</w:t>
      </w:r>
      <w:proofErr w:type="spellEnd"/>
      <w:r>
        <w:rPr>
          <w:rFonts w:hint="cs"/>
          <w:rtl/>
        </w:rPr>
        <w:t xml:space="preserve"> יש להתבונן לעומק, ואזי זוכים </w:t>
      </w:r>
      <w:proofErr w:type="spellStart"/>
      <w:r>
        <w:rPr>
          <w:rFonts w:hint="cs"/>
          <w:rtl/>
        </w:rPr>
        <w:t>להנות</w:t>
      </w:r>
      <w:proofErr w:type="spellEnd"/>
      <w:r>
        <w:rPr>
          <w:rFonts w:hint="cs"/>
          <w:rtl/>
        </w:rPr>
        <w:t xml:space="preserve"> מהעסיס הפנימי והמרענן. </w:t>
      </w:r>
    </w:p>
    <w:p w:rsidR="00ED0A37" w:rsidRDefault="00ED0A37" w:rsidP="00ED0A37">
      <w:pPr>
        <w:rPr>
          <w:rFonts w:hint="cs"/>
          <w:rtl/>
        </w:rPr>
      </w:pPr>
      <w:r>
        <w:rPr>
          <w:rFonts w:hint="cs"/>
          <w:rtl/>
        </w:rPr>
        <w:t>כוונות המצוות של חיי הנישואין, כפי שהן מתגלות בתורת הסוד, נוסכות בהם שמחה של מצוה</w:t>
      </w:r>
      <w:r>
        <w:rPr>
          <w:rFonts w:hint="eastAsia"/>
          <w:rtl/>
        </w:rPr>
        <w:t xml:space="preserve"> – שמחה המעודדת להשקיע מאמצים, לשפר </w:t>
      </w:r>
      <w:r>
        <w:rPr>
          <w:rFonts w:hint="cs"/>
          <w:rtl/>
        </w:rPr>
        <w:t xml:space="preserve">את שלום הבית </w:t>
      </w:r>
      <w:r>
        <w:rPr>
          <w:rFonts w:hint="eastAsia"/>
          <w:rtl/>
        </w:rPr>
        <w:t>ולרומם את האהבה</w:t>
      </w:r>
      <w:r>
        <w:rPr>
          <w:rFonts w:hint="cs"/>
          <w:rtl/>
        </w:rPr>
        <w:t xml:space="preserve"> יותר ויותר. אך מעבר למוטיבציה הכללית הזו, ההדרכה של פנימיות התורה גם מפתחת סף גבוה של רגישות ועדינות בחיי הנישואין. המבט החדש והעמוק על כל פרט נותן לו את מלוא החשיבות ודורש את מימושו במלוא תשומת הלב והשלמות, וכל ענין מתפרט לגוונים ובני גוונים המאפשרים </w:t>
      </w:r>
      <w:proofErr w:type="spellStart"/>
      <w:r>
        <w:rPr>
          <w:rFonts w:hint="cs"/>
          <w:rtl/>
        </w:rPr>
        <w:t>חויה</w:t>
      </w:r>
      <w:proofErr w:type="spellEnd"/>
      <w:r>
        <w:rPr>
          <w:rFonts w:hint="cs"/>
          <w:rtl/>
        </w:rPr>
        <w:t xml:space="preserve"> עמוקה ומתוקנת הרבה יותר של המתחולל בין בני הזוג.</w:t>
      </w:r>
    </w:p>
    <w:p w:rsidR="00ED0A37" w:rsidRDefault="00ED0A37" w:rsidP="00ED0A37">
      <w:pPr>
        <w:rPr>
          <w:rFonts w:hint="cs"/>
          <w:rtl/>
        </w:rPr>
      </w:pPr>
      <w:r>
        <w:rPr>
          <w:rFonts w:hint="cs"/>
          <w:rtl/>
        </w:rPr>
        <w:t xml:space="preserve">כך אומרת הכלה לחתנה בשיר השירים </w:t>
      </w:r>
      <w:r>
        <w:rPr>
          <w:rFonts w:hint="eastAsia"/>
          <w:rtl/>
        </w:rPr>
        <w:t xml:space="preserve">– </w:t>
      </w:r>
      <w:r>
        <w:rPr>
          <w:rFonts w:hint="cs"/>
          <w:rtl/>
        </w:rPr>
        <w:t>"</w:t>
      </w:r>
      <w:proofErr w:type="spellStart"/>
      <w:r>
        <w:rPr>
          <w:rFonts w:hint="cs"/>
          <w:rtl/>
        </w:rPr>
        <w:t>אנהגך</w:t>
      </w:r>
      <w:proofErr w:type="spellEnd"/>
      <w:r>
        <w:rPr>
          <w:rFonts w:hint="cs"/>
          <w:rtl/>
        </w:rPr>
        <w:t xml:space="preserve"> </w:t>
      </w:r>
      <w:r>
        <w:rPr>
          <w:rFonts w:hint="eastAsia"/>
          <w:rtl/>
        </w:rPr>
        <w:t>אביאך אל בית אמי תלמדני</w:t>
      </w:r>
      <w:r>
        <w:rPr>
          <w:rFonts w:hint="cs"/>
          <w:rtl/>
        </w:rPr>
        <w:t xml:space="preserve">, אשקך מיין </w:t>
      </w:r>
      <w:proofErr w:type="spellStart"/>
      <w:r>
        <w:rPr>
          <w:rFonts w:hint="cs"/>
          <w:rtl/>
        </w:rPr>
        <w:t>הרקח</w:t>
      </w:r>
      <w:proofErr w:type="spellEnd"/>
      <w:r>
        <w:rPr>
          <w:rFonts w:hint="cs"/>
          <w:rtl/>
        </w:rPr>
        <w:t xml:space="preserve"> מעסיס רמ</w:t>
      </w:r>
      <w:r w:rsidRPr="0026737F">
        <w:rPr>
          <w:rFonts w:hint="cs"/>
          <w:spacing w:val="-10"/>
          <w:rtl/>
        </w:rPr>
        <w:t>ֹ</w:t>
      </w:r>
      <w:r>
        <w:rPr>
          <w:rFonts w:hint="cs"/>
          <w:rtl/>
        </w:rPr>
        <w:t xml:space="preserve">ני". הכלה, שכדרך נשים היא רגישה יותר לצורך </w:t>
      </w:r>
      <w:proofErr w:type="spellStart"/>
      <w:r>
        <w:rPr>
          <w:rFonts w:hint="cs"/>
          <w:rtl/>
        </w:rPr>
        <w:t>ברענון</w:t>
      </w:r>
      <w:proofErr w:type="spellEnd"/>
      <w:r>
        <w:rPr>
          <w:rFonts w:hint="cs"/>
          <w:rtl/>
        </w:rPr>
        <w:t xml:space="preserve"> פנימי ושיפור מתמיד של חיי הנישואין, מנחה את חתנה לעסוק בעבודת הלימוד וההתבוננות שבבחינת "בית אמי" (ספירת הבינה – פרצוף </w:t>
      </w:r>
      <w:proofErr w:type="spellStart"/>
      <w:r>
        <w:rPr>
          <w:rFonts w:hint="cs"/>
          <w:rtl/>
        </w:rPr>
        <w:t>אמא</w:t>
      </w:r>
      <w:proofErr w:type="spellEnd"/>
      <w:r>
        <w:rPr>
          <w:rFonts w:hint="cs"/>
          <w:rtl/>
        </w:rPr>
        <w:t xml:space="preserve"> – אליה שייכת כל עבודת ההתבוננות), ואזי, היא מבטיחה לו, יזכה לשתות מיינה הטוב ומעסיס </w:t>
      </w:r>
      <w:proofErr w:type="spellStart"/>
      <w:r>
        <w:rPr>
          <w:rFonts w:hint="cs"/>
          <w:rtl/>
        </w:rPr>
        <w:t>רמוניה</w:t>
      </w:r>
      <w:proofErr w:type="spellEnd"/>
      <w:r>
        <w:rPr>
          <w:rFonts w:hint="cs"/>
          <w:rtl/>
        </w:rPr>
        <w:t>. החתן שיעסוק בלימוד והתבוננות יפתח גישה מחושבת ומתחשבת אל כלתו, ידע את המזיגה הנכונה שבין "שמאלו תחת ראשי וימינו תחבקני" (כמתואר ב</w:t>
      </w:r>
      <w:r>
        <w:rPr>
          <w:rFonts w:hint="eastAsia"/>
          <w:rtl/>
        </w:rPr>
        <w:t>פסוק ה</w:t>
      </w:r>
      <w:r>
        <w:rPr>
          <w:rFonts w:hint="cs"/>
          <w:rtl/>
        </w:rPr>
        <w:t>סמוך</w:t>
      </w:r>
      <w:r>
        <w:rPr>
          <w:rFonts w:hint="eastAsia"/>
          <w:rtl/>
        </w:rPr>
        <w:t xml:space="preserve"> בשיר השירים</w:t>
      </w:r>
      <w:r>
        <w:rPr>
          <w:rFonts w:hint="cs"/>
          <w:rtl/>
        </w:rPr>
        <w:t xml:space="preserve">), ויזכה להגיע לפנימיותה של הכלה וללגום מיין </w:t>
      </w:r>
      <w:proofErr w:type="spellStart"/>
      <w:r>
        <w:rPr>
          <w:rFonts w:hint="cs"/>
          <w:rtl/>
        </w:rPr>
        <w:t>הרקח</w:t>
      </w:r>
      <w:proofErr w:type="spellEnd"/>
      <w:r>
        <w:rPr>
          <w:rFonts w:hint="cs"/>
          <w:rtl/>
        </w:rPr>
        <w:t xml:space="preserve"> שלה.</w:t>
      </w:r>
    </w:p>
    <w:p w:rsidR="00ED0A37" w:rsidRDefault="00ED0A37" w:rsidP="00ED0A37">
      <w:pPr>
        <w:rPr>
          <w:rFonts w:hint="cs"/>
          <w:rtl/>
        </w:rPr>
      </w:pPr>
      <w:r>
        <w:rPr>
          <w:rFonts w:hint="cs"/>
          <w:rtl/>
        </w:rPr>
        <w:t xml:space="preserve">וכך, יין טוב זה, </w:t>
      </w:r>
      <w:proofErr w:type="spellStart"/>
      <w:r>
        <w:rPr>
          <w:rFonts w:hint="cs"/>
          <w:rtl/>
        </w:rPr>
        <w:t>שחיך</w:t>
      </w:r>
      <w:proofErr w:type="spellEnd"/>
      <w:r>
        <w:rPr>
          <w:rFonts w:hint="cs"/>
          <w:rtl/>
        </w:rPr>
        <w:t xml:space="preserve"> הכלה טועמו </w:t>
      </w:r>
      <w:proofErr w:type="spellStart"/>
      <w:r>
        <w:rPr>
          <w:rFonts w:hint="cs"/>
          <w:rtl/>
        </w:rPr>
        <w:t>ומטעימו</w:t>
      </w:r>
      <w:proofErr w:type="spellEnd"/>
      <w:r>
        <w:rPr>
          <w:rFonts w:hint="cs"/>
          <w:rtl/>
        </w:rPr>
        <w:t xml:space="preserve"> לדודה, מיישר דרך בחיי הנישואין לפי אמיתתה של תורה ומעורר חידוש גם במה שהתיישן במשך הזמן – "וחכך כיין הטוב הולך לדודי למישרים דובב שפתי ישנים". הדברים נכונים לכל תחום בחיי הנישואין, שאם רק נוגעים בו במגמת תיקון והתחדשות, מתוך רצון להחדיר את הדרכות התורה ורזיה ולהשרות שכינה בכל פן של חיי הנישואין, זוכים לגלות בו פלאי פלאות – "ככומר של ענבים" ש"כיון שמניח אצבעו עליו מיד דובב".</w:t>
      </w:r>
    </w:p>
    <w:p w:rsidR="00ED0A37" w:rsidRDefault="00ED0A37" w:rsidP="00ED0A37">
      <w:pPr>
        <w:rPr>
          <w:rFonts w:hint="cs"/>
          <w:rtl/>
        </w:rPr>
      </w:pPr>
      <w:r>
        <w:rPr>
          <w:rFonts w:hint="cs"/>
          <w:rtl/>
        </w:rPr>
        <w:t xml:space="preserve">כרך זה של הספר יין משמח – השלישי בסדרה </w:t>
      </w:r>
      <w:r>
        <w:rPr>
          <w:rFonts w:hint="eastAsia"/>
          <w:rtl/>
        </w:rPr>
        <w:t xml:space="preserve">– </w:t>
      </w:r>
      <w:r>
        <w:rPr>
          <w:rFonts w:hint="cs"/>
          <w:rtl/>
        </w:rPr>
        <w:t xml:space="preserve">אוצר בתוכו עוד </w:t>
      </w:r>
      <w:r w:rsidRPr="00C56E40">
        <w:rPr>
          <w:rFonts w:hint="cs"/>
          <w:b/>
          <w:bCs/>
          <w:sz w:val="28"/>
          <w:szCs w:val="28"/>
          <w:rtl/>
        </w:rPr>
        <w:t>ל</w:t>
      </w:r>
      <w:r>
        <w:rPr>
          <w:rFonts w:hint="cs"/>
          <w:b/>
          <w:bCs/>
          <w:sz w:val="28"/>
          <w:szCs w:val="28"/>
          <w:rtl/>
        </w:rPr>
        <w:t>א</w:t>
      </w:r>
      <w:r>
        <w:rPr>
          <w:rFonts w:hint="cs"/>
          <w:rtl/>
        </w:rPr>
        <w:t xml:space="preserve"> תורות על חיי הנישואין. בדומה לשני הכרכים הראשונים, גם כאן השתדלנו לשים דגש על תורות קצרות אשר ניתן ללמוד כל אחת מהן בפני עצמה. עם זאת, כל שער חורז את התורות שבתוכו, ויש גם קשרים וחיבורים בין תורות בשערים השונים, כך שעם לימוד כל תורה נוסף עוד נופך והבנה גם בתורות שקדמו לה. בכרך זה יש דגש מיוחד על הרגישות למקומה וצרכיה של </w:t>
      </w:r>
      <w:proofErr w:type="spellStart"/>
      <w:r>
        <w:rPr>
          <w:rFonts w:hint="cs"/>
          <w:rtl/>
        </w:rPr>
        <w:t>האשה</w:t>
      </w:r>
      <w:proofErr w:type="spellEnd"/>
      <w:r>
        <w:rPr>
          <w:rFonts w:hint="cs"/>
          <w:rtl/>
        </w:rPr>
        <w:t>, החל מיום החתונה וכלה בהמשך חיי הנישואין, ובקצרה:</w:t>
      </w:r>
    </w:p>
    <w:p w:rsidR="00ED0A37" w:rsidRDefault="00ED0A37" w:rsidP="00ED0A37">
      <w:pPr>
        <w:rPr>
          <w:rFonts w:hint="cs"/>
          <w:rtl/>
        </w:rPr>
      </w:pPr>
      <w:r>
        <w:rPr>
          <w:rFonts w:hint="cs"/>
          <w:rtl/>
        </w:rPr>
        <w:t xml:space="preserve">השער הראשון </w:t>
      </w:r>
      <w:r>
        <w:rPr>
          <w:rFonts w:hint="eastAsia"/>
          <w:rtl/>
        </w:rPr>
        <w:t xml:space="preserve">– </w:t>
      </w:r>
      <w:r>
        <w:rPr>
          <w:rFonts w:hint="cs"/>
          <w:rtl/>
        </w:rPr>
        <w:t xml:space="preserve">קדש הקידושין – עוסק בסודות הקידושין כשמגמתו העיקרית 'לדובב' את הכלה, שנדמית כשותקת וסבילה במהלך הקידושין, ולגלות כיצד הפעילות הסמויה שלה תחת החופה צוברת תנופה במעבר מהקידושין לנישואין ומתגברת והולכת עוד ועוד בהמשך החיים. </w:t>
      </w:r>
    </w:p>
    <w:p w:rsidR="00ED0A37" w:rsidRDefault="00ED0A37" w:rsidP="00ED0A37">
      <w:pPr>
        <w:rPr>
          <w:rFonts w:hint="cs"/>
          <w:rtl/>
        </w:rPr>
      </w:pPr>
      <w:r>
        <w:rPr>
          <w:rFonts w:hint="cs"/>
          <w:rtl/>
        </w:rPr>
        <w:lastRenderedPageBreak/>
        <w:t xml:space="preserve">השער השני – "צג אגוז בגן עדן" – מתייחס למה שעובר על הזוג בליל הכלולות, תוך נתינת כלים לעשיית השינוי המבורך מתוק ושמח. </w:t>
      </w:r>
    </w:p>
    <w:p w:rsidR="00ED0A37" w:rsidRDefault="00ED0A37" w:rsidP="00ED0A37">
      <w:pPr>
        <w:rPr>
          <w:rFonts w:hint="cs"/>
          <w:rtl/>
        </w:rPr>
      </w:pPr>
      <w:r>
        <w:rPr>
          <w:rFonts w:hint="cs"/>
          <w:rtl/>
        </w:rPr>
        <w:t xml:space="preserve">השער השלישי </w:t>
      </w:r>
      <w:r>
        <w:rPr>
          <w:rFonts w:hint="eastAsia"/>
          <w:rtl/>
        </w:rPr>
        <w:t xml:space="preserve">– </w:t>
      </w:r>
      <w:r>
        <w:rPr>
          <w:rFonts w:hint="cs"/>
          <w:rtl/>
        </w:rPr>
        <w:t xml:space="preserve">"והאדם ידע" – מתאר את המעבר וההתפתחות מהלילה הראשון אל חיי האישות בהמשך חיי הנישואין. </w:t>
      </w:r>
    </w:p>
    <w:p w:rsidR="00ED0A37" w:rsidRDefault="00ED0A37" w:rsidP="00ED0A37">
      <w:pPr>
        <w:rPr>
          <w:rFonts w:hint="cs"/>
          <w:rtl/>
        </w:rPr>
      </w:pPr>
      <w:r>
        <w:rPr>
          <w:rFonts w:hint="cs"/>
          <w:rtl/>
        </w:rPr>
        <w:t xml:space="preserve">השער הרביעי – שארה כסותה ועונתה – עוסק כולו במצוות אלו כפי שמבין אותן הרמב"ן, כ"שלשת </w:t>
      </w:r>
      <w:proofErr w:type="spellStart"/>
      <w:r>
        <w:rPr>
          <w:rFonts w:hint="cs"/>
          <w:rtl/>
        </w:rPr>
        <w:t>הענינים</w:t>
      </w:r>
      <w:proofErr w:type="spellEnd"/>
      <w:r>
        <w:rPr>
          <w:rFonts w:hint="cs"/>
          <w:rtl/>
        </w:rPr>
        <w:t xml:space="preserve"> אשר לאדם עם אשתו </w:t>
      </w:r>
      <w:proofErr w:type="spellStart"/>
      <w:r>
        <w:rPr>
          <w:rFonts w:hint="cs"/>
          <w:rtl/>
        </w:rPr>
        <w:t>בחבורן</w:t>
      </w:r>
      <w:proofErr w:type="spellEnd"/>
      <w:r>
        <w:rPr>
          <w:rFonts w:hint="cs"/>
          <w:rtl/>
        </w:rPr>
        <w:t xml:space="preserve">", מתוך מגמה לפתח ולהבין בעומק ובפירוט את צרכי </w:t>
      </w:r>
      <w:proofErr w:type="spellStart"/>
      <w:r>
        <w:rPr>
          <w:rFonts w:hint="cs"/>
          <w:rtl/>
        </w:rPr>
        <w:t>האשה</w:t>
      </w:r>
      <w:proofErr w:type="spellEnd"/>
      <w:r>
        <w:rPr>
          <w:rFonts w:hint="cs"/>
          <w:rtl/>
        </w:rPr>
        <w:t xml:space="preserve"> שסיפוקם מוטל על הגבר. </w:t>
      </w:r>
    </w:p>
    <w:p w:rsidR="00ED0A37" w:rsidRDefault="00ED0A37" w:rsidP="00ED0A37">
      <w:pPr>
        <w:rPr>
          <w:rFonts w:hint="cs"/>
          <w:rtl/>
        </w:rPr>
      </w:pPr>
      <w:r>
        <w:rPr>
          <w:rFonts w:hint="cs"/>
          <w:rtl/>
        </w:rPr>
        <w:t xml:space="preserve">השער החמישי – "עיניו למטה ולבו למעלה" – עורך השוואה בין עבודת התפלה לבין החיבור הקדוש בין האיש ואשתו, וחושף מתוך כך כוונות והדרכות חדשות. </w:t>
      </w:r>
    </w:p>
    <w:p w:rsidR="00ED0A37" w:rsidRDefault="00ED0A37" w:rsidP="00ED0A37">
      <w:pPr>
        <w:rPr>
          <w:rFonts w:hint="cs"/>
          <w:rtl/>
        </w:rPr>
      </w:pPr>
      <w:r>
        <w:rPr>
          <w:rFonts w:hint="cs"/>
          <w:rtl/>
        </w:rPr>
        <w:t xml:space="preserve">השער </w:t>
      </w:r>
      <w:proofErr w:type="spellStart"/>
      <w:r>
        <w:rPr>
          <w:rFonts w:hint="cs"/>
          <w:rtl/>
        </w:rPr>
        <w:t>הששי</w:t>
      </w:r>
      <w:proofErr w:type="spellEnd"/>
      <w:r>
        <w:rPr>
          <w:rFonts w:hint="cs"/>
          <w:rtl/>
        </w:rPr>
        <w:t xml:space="preserve"> – "וכל החיים </w:t>
      </w:r>
      <w:proofErr w:type="spellStart"/>
      <w:r>
        <w:rPr>
          <w:rFonts w:hint="cs"/>
          <w:rtl/>
        </w:rPr>
        <w:t>יודוך</w:t>
      </w:r>
      <w:proofErr w:type="spellEnd"/>
      <w:r>
        <w:rPr>
          <w:rFonts w:hint="cs"/>
          <w:rtl/>
        </w:rPr>
        <w:t xml:space="preserve"> סלה" – מניח את היסוד החשוב ביותר לחיי הנישואין, הכרת הטוב והודיה לפני ה', תוך שהוא מתאר כיצד צריכה להופיע ההודיה במלואה בחתונה ומתוך כך לפעפע בהמשך החיים. גם ענין זה מדגיש את מקומה של </w:t>
      </w:r>
      <w:proofErr w:type="spellStart"/>
      <w:r>
        <w:rPr>
          <w:rFonts w:hint="cs"/>
          <w:rtl/>
        </w:rPr>
        <w:t>האשה</w:t>
      </w:r>
      <w:proofErr w:type="spellEnd"/>
      <w:r>
        <w:rPr>
          <w:rFonts w:hint="cs"/>
          <w:rtl/>
        </w:rPr>
        <w:t>, עליה נאמר "</w:t>
      </w:r>
      <w:proofErr w:type="spellStart"/>
      <w:r>
        <w:rPr>
          <w:rFonts w:hint="cs"/>
          <w:rtl/>
        </w:rPr>
        <w:t>איהי</w:t>
      </w:r>
      <w:proofErr w:type="spellEnd"/>
      <w:r>
        <w:rPr>
          <w:rFonts w:hint="cs"/>
          <w:rtl/>
        </w:rPr>
        <w:t xml:space="preserve"> בהוד" וממנה זוכים באופן טבעי לעבודת ההודיה בבית.</w:t>
      </w:r>
    </w:p>
    <w:p w:rsidR="00ED0A37" w:rsidRDefault="00ED0A37" w:rsidP="00ED0A37">
      <w:pPr>
        <w:rPr>
          <w:rFonts w:hint="cs"/>
          <w:rtl/>
        </w:rPr>
      </w:pPr>
      <w:r>
        <w:rPr>
          <w:rFonts w:hint="cs"/>
          <w:rtl/>
        </w:rPr>
        <w:t xml:space="preserve">הקורא ודאי שם לב כי המשקל שניתן בכרך זה לחיי האישות וסודותיהם גדול מאשר בכרכים הראשונים. "נכנס יין יצא סוד", וההתבוננות הפנימית מושכת אל העמקה בסודות הפלא הגדול של יחוד האיש </w:t>
      </w:r>
      <w:proofErr w:type="spellStart"/>
      <w:r>
        <w:rPr>
          <w:rFonts w:hint="cs"/>
          <w:rtl/>
        </w:rPr>
        <w:t>והאשה</w:t>
      </w:r>
      <w:proofErr w:type="spellEnd"/>
      <w:r>
        <w:rPr>
          <w:rFonts w:hint="cs"/>
          <w:rtl/>
        </w:rPr>
        <w:t xml:space="preserve">, אשר נבחר </w:t>
      </w:r>
      <w:r>
        <w:rPr>
          <w:rFonts w:hint="eastAsia"/>
          <w:rtl/>
        </w:rPr>
        <w:t xml:space="preserve">– </w:t>
      </w:r>
      <w:r>
        <w:rPr>
          <w:rFonts w:hint="cs"/>
          <w:rtl/>
        </w:rPr>
        <w:t xml:space="preserve">בתנ"ך, במדרשי חז"ל ובכל ספרי הקבלה </w:t>
      </w:r>
      <w:r>
        <w:rPr>
          <w:rFonts w:hint="eastAsia"/>
          <w:rtl/>
        </w:rPr>
        <w:t xml:space="preserve">– לשמש כמשל </w:t>
      </w:r>
      <w:r>
        <w:rPr>
          <w:rFonts w:hint="cs"/>
          <w:rtl/>
        </w:rPr>
        <w:t xml:space="preserve">ליחסינו עם ה' יתברך, </w:t>
      </w:r>
      <w:proofErr w:type="spellStart"/>
      <w:r>
        <w:rPr>
          <w:rFonts w:hint="eastAsia"/>
          <w:rtl/>
        </w:rPr>
        <w:t>ליחוד</w:t>
      </w:r>
      <w:proofErr w:type="spellEnd"/>
      <w:r>
        <w:rPr>
          <w:rFonts w:hint="eastAsia"/>
          <w:rtl/>
        </w:rPr>
        <w:t xml:space="preserve"> העליון של </w:t>
      </w:r>
      <w:proofErr w:type="spellStart"/>
      <w:r>
        <w:rPr>
          <w:rFonts w:hint="eastAsia"/>
          <w:rtl/>
        </w:rPr>
        <w:t>קודשא</w:t>
      </w:r>
      <w:proofErr w:type="spellEnd"/>
      <w:r>
        <w:rPr>
          <w:rFonts w:hint="eastAsia"/>
          <w:rtl/>
        </w:rPr>
        <w:t xml:space="preserve"> </w:t>
      </w:r>
      <w:proofErr w:type="spellStart"/>
      <w:r>
        <w:rPr>
          <w:rFonts w:hint="eastAsia"/>
          <w:rtl/>
        </w:rPr>
        <w:t>בריך</w:t>
      </w:r>
      <w:proofErr w:type="spellEnd"/>
      <w:r>
        <w:rPr>
          <w:rFonts w:hint="eastAsia"/>
          <w:rtl/>
        </w:rPr>
        <w:t xml:space="preserve"> הוא </w:t>
      </w:r>
      <w:proofErr w:type="spellStart"/>
      <w:r>
        <w:rPr>
          <w:rFonts w:hint="eastAsia"/>
          <w:rtl/>
        </w:rPr>
        <w:t>ושכינתיה</w:t>
      </w:r>
      <w:proofErr w:type="spellEnd"/>
      <w:r>
        <w:rPr>
          <w:rFonts w:hint="cs"/>
          <w:rtl/>
        </w:rPr>
        <w:t xml:space="preserve">. ודאי כי ההתבוננות בסודות אלו מיועדת ללימוד משותף של בני הזוג רק אחרי הנישואין, כשבתקופה הסמוכה לנישואין ראוי שהחתן והכלה ילמדו את הדברים בנפרד. עם זאת, </w:t>
      </w:r>
      <w:proofErr w:type="spellStart"/>
      <w:r>
        <w:rPr>
          <w:rFonts w:hint="cs"/>
          <w:rtl/>
        </w:rPr>
        <w:t>דוקא</w:t>
      </w:r>
      <w:proofErr w:type="spellEnd"/>
      <w:r>
        <w:rPr>
          <w:rFonts w:hint="cs"/>
          <w:rtl/>
        </w:rPr>
        <w:t xml:space="preserve"> בדור פרוץ כשלנו </w:t>
      </w:r>
      <w:r>
        <w:rPr>
          <w:rFonts w:hint="eastAsia"/>
          <w:rtl/>
        </w:rPr>
        <w:t xml:space="preserve">– בו מאיימים סורי הגפן </w:t>
      </w:r>
      <w:proofErr w:type="spellStart"/>
      <w:r>
        <w:rPr>
          <w:rFonts w:hint="cs"/>
          <w:rtl/>
        </w:rPr>
        <w:t>ה</w:t>
      </w:r>
      <w:r>
        <w:rPr>
          <w:rFonts w:hint="eastAsia"/>
          <w:rtl/>
        </w:rPr>
        <w:t>נוכריה</w:t>
      </w:r>
      <w:proofErr w:type="spellEnd"/>
      <w:r>
        <w:rPr>
          <w:rFonts w:hint="eastAsia"/>
          <w:rtl/>
        </w:rPr>
        <w:t xml:space="preserve"> </w:t>
      </w:r>
      <w:r>
        <w:rPr>
          <w:rFonts w:hint="cs"/>
          <w:rtl/>
        </w:rPr>
        <w:t xml:space="preserve">על טהרת בחורי ובחורות ישראל (לפני ואחרי החתונה) – חשוב עד מאד לחשוף את היין הטוב והקדוש של סודות התורה גם בתחומים אלו, על מנת שהיין המשמח של הקדושה ידחה את הטומאה, העצבות והזילות שמנסה הקליפה להשרות עליהם. וכמובן, דווקא הדגשת מקומה וצרכיה של </w:t>
      </w:r>
      <w:proofErr w:type="spellStart"/>
      <w:r>
        <w:rPr>
          <w:rFonts w:hint="cs"/>
          <w:rtl/>
        </w:rPr>
        <w:t>האשה</w:t>
      </w:r>
      <w:proofErr w:type="spellEnd"/>
      <w:r>
        <w:rPr>
          <w:rFonts w:hint="cs"/>
          <w:rtl/>
        </w:rPr>
        <w:t xml:space="preserve"> משחרר מהדחף התאוותני לסיפוק עצמי ומכוון את </w:t>
      </w:r>
      <w:proofErr w:type="spellStart"/>
      <w:r>
        <w:rPr>
          <w:rFonts w:hint="cs"/>
          <w:rtl/>
        </w:rPr>
        <w:t>הכל</w:t>
      </w:r>
      <w:proofErr w:type="spellEnd"/>
      <w:r>
        <w:rPr>
          <w:rFonts w:hint="cs"/>
          <w:rtl/>
        </w:rPr>
        <w:t xml:space="preserve"> ל"שמחה בדבר מצוה" כהדרכות התורה הבריאות והמאירות.</w:t>
      </w:r>
    </w:p>
    <w:p w:rsidR="00ED0A37" w:rsidRDefault="00ED0A37" w:rsidP="00ED0A37">
      <w:pPr>
        <w:rPr>
          <w:rFonts w:hint="cs"/>
        </w:rPr>
      </w:pPr>
      <w:r>
        <w:rPr>
          <w:rFonts w:hint="cs"/>
          <w:rtl/>
        </w:rPr>
        <w:t>נלגום מיינה של תורה, יין המשומר שנעשה בטהרה, ונבשם בו את חיינו – "לחיים ולברכה!".</w:t>
      </w:r>
    </w:p>
    <w:p w:rsidR="005F4A47" w:rsidRPr="00ED0A37" w:rsidRDefault="00ED0A37">
      <w:bookmarkStart w:id="3" w:name="_GoBack"/>
      <w:bookmarkEnd w:id="3"/>
    </w:p>
    <w:sectPr w:rsidR="005F4A47" w:rsidRPr="00ED0A37" w:rsidSect="00061E6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Courier New"/>
    <w:charset w:val="B1"/>
    <w:family w:val="auto"/>
    <w:pitch w:val="variable"/>
    <w:sig w:usb0="00000800" w:usb1="4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1A4"/>
    <w:rsid w:val="00061E65"/>
    <w:rsid w:val="00AC2310"/>
    <w:rsid w:val="00C921A4"/>
    <w:rsid w:val="00ED0A3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ED0A37"/>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ED0A37"/>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ED0A37"/>
    <w:rPr>
      <w:rFonts w:ascii="DF Calligraphic Ornaments LET" w:eastAsia="Times New Roman" w:hAnsi="DF Calligraphic Ornaments LET" w:cs="Guttman Soncino"/>
      <w:noProof/>
      <w:spacing w:val="20"/>
      <w:w w:val="90"/>
      <w:kern w:val="28"/>
      <w:sz w:val="44"/>
      <w:szCs w:val="46"/>
    </w:rPr>
  </w:style>
  <w:style w:type="paragraph" w:customStyle="1" w:styleId="a3">
    <w:name w:val="פתיח תו"/>
    <w:basedOn w:val="a"/>
    <w:link w:val="a4"/>
    <w:rsid w:val="00ED0A37"/>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4">
    <w:name w:val="פתיח תו תו"/>
    <w:basedOn w:val="a0"/>
    <w:link w:val="a3"/>
    <w:rsid w:val="00ED0A37"/>
    <w:rPr>
      <w:rFonts w:ascii="Times New Roman" w:eastAsia="Times New Roman" w:hAnsi="Times New Roman" w:cs="Guttman Soncino"/>
      <w:b/>
      <w:bCs/>
      <w:color w:val="808080"/>
      <w:position w:val="-5"/>
      <w:sz w:val="85"/>
      <w:szCs w:val="85"/>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ED0A37"/>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ED0A37"/>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ED0A37"/>
    <w:rPr>
      <w:rFonts w:ascii="DF Calligraphic Ornaments LET" w:eastAsia="Times New Roman" w:hAnsi="DF Calligraphic Ornaments LET" w:cs="Guttman Soncino"/>
      <w:noProof/>
      <w:spacing w:val="20"/>
      <w:w w:val="90"/>
      <w:kern w:val="28"/>
      <w:sz w:val="44"/>
      <w:szCs w:val="46"/>
    </w:rPr>
  </w:style>
  <w:style w:type="paragraph" w:customStyle="1" w:styleId="a3">
    <w:name w:val="פתיח תו"/>
    <w:basedOn w:val="a"/>
    <w:link w:val="a4"/>
    <w:rsid w:val="00ED0A37"/>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4">
    <w:name w:val="פתיח תו תו"/>
    <w:basedOn w:val="a0"/>
    <w:link w:val="a3"/>
    <w:rsid w:val="00ED0A37"/>
    <w:rPr>
      <w:rFonts w:ascii="Times New Roman" w:eastAsia="Times New Roman" w:hAnsi="Times New Roman" w:cs="Guttman Soncino"/>
      <w:b/>
      <w:bCs/>
      <w:color w:val="808080"/>
      <w:position w:val="-5"/>
      <w:sz w:val="85"/>
      <w:szCs w:val="85"/>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file:///C:\Users\user\Documents\&#1502;&#1513;&#1512;&#1491;\&#1488;&#1514;&#1512;\&#1505;&#1508;&#1512;&#1497;&#1501;%20&#1502;&#1495;&#1493;&#1500;&#1511;&#1497;&#1501;%20&#1488;\&#1497;&#1497;&#1503;%20&#1502;&#1513;&#1502;&#1495;%20&#1490;\&#1510;&#1493;&#1512;&#1492;4.tif"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681</Words>
  <Characters>3408</Characters>
  <Application>Microsoft Office Word</Application>
  <DocSecurity>0</DocSecurity>
  <Lines>28</Lines>
  <Paragraphs>8</Paragraphs>
  <ScaleCrop>false</ScaleCrop>
  <Company/>
  <LinksUpToDate>false</LinksUpToDate>
  <CharactersWithSpaces>4081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2017-08-14T22:35:00Z</dcterms:created>
  <dcterms:modified xsi:type="dcterms:W3CDTF">2017-08-14T22:35:00Z</dcterms:modified>
</cp:coreProperties>
</file>