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8C" w:rsidRPr="007E2C53" w:rsidRDefault="00494D8C" w:rsidP="00494D8C">
      <w:pPr>
        <w:pStyle w:val="2"/>
        <w:rPr>
          <w:rFonts w:hint="cs"/>
          <w:rtl/>
        </w:rPr>
      </w:pPr>
      <w:bookmarkStart w:id="0" w:name="_Toc145068690"/>
      <w:bookmarkStart w:id="1" w:name="_Ref145069164"/>
      <w:r>
        <w:rPr>
          <w:w w:val="100"/>
          <w:rtl/>
        </w:rPr>
        <w:drawing>
          <wp:anchor distT="0" distB="0" distL="114300" distR="114300" simplePos="0" relativeHeight="251659264" behindDoc="1" locked="0" layoutInCell="1" allowOverlap="1">
            <wp:simplePos x="0" y="0"/>
            <wp:positionH relativeFrom="column">
              <wp:posOffset>2057400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2C53">
        <w:rPr>
          <w:rFonts w:hint="cs"/>
          <w:rtl/>
        </w:rPr>
        <w:t>"הגוף נהנה מן הגוף"</w:t>
      </w:r>
      <w:bookmarkEnd w:id="0"/>
      <w:bookmarkEnd w:id="1"/>
    </w:p>
    <w:p w:rsidR="00494D8C" w:rsidRPr="00115A08" w:rsidRDefault="00494D8C" w:rsidP="00494D8C">
      <w:pPr>
        <w:keepNext/>
        <w:framePr w:dropCap="drop" w:lines="2" w:hSpace="57" w:wrap="around" w:vAnchor="text" w:hAnchor="text" w:xAlign="right"/>
        <w:spacing w:after="0" w:line="760" w:lineRule="exact"/>
        <w:textAlignment w:val="baseline"/>
        <w:rPr>
          <w:rStyle w:val="ac"/>
          <w:rtl/>
        </w:rPr>
      </w:pPr>
      <w:r w:rsidRPr="00115A08">
        <w:rPr>
          <w:rStyle w:val="ac"/>
          <w:rFonts w:hint="cs"/>
          <w:rtl/>
        </w:rPr>
        <w:t>ב</w:t>
      </w:r>
    </w:p>
    <w:p w:rsidR="00494D8C" w:rsidRDefault="00494D8C" w:rsidP="00494D8C">
      <w:pPr>
        <w:rPr>
          <w:rFonts w:hint="cs"/>
          <w:rtl/>
        </w:rPr>
      </w:pPr>
      <w:r>
        <w:rPr>
          <w:rFonts w:hint="cs"/>
          <w:rtl/>
        </w:rPr>
        <w:t>הלכה מפורשות ארבע הכנות הגוף לתפלה, וכך מונה אותן הרמב"ם</w:t>
      </w:r>
      <w:r w:rsidRPr="005316B5">
        <w:rPr>
          <w:rStyle w:val="a9"/>
          <w:rtl/>
        </w:rPr>
        <w:endnoteReference w:id="1"/>
      </w:r>
      <w:r>
        <w:rPr>
          <w:rFonts w:hint="cs"/>
          <w:rtl/>
        </w:rPr>
        <w:t>:</w:t>
      </w:r>
    </w:p>
    <w:p w:rsidR="00494D8C" w:rsidRPr="00C14040" w:rsidRDefault="00494D8C" w:rsidP="00494D8C">
      <w:pPr>
        <w:pStyle w:val="a3"/>
        <w:rPr>
          <w:rFonts w:cs="FrankRuehl nikud2" w:hint="cs"/>
          <w:rtl/>
        </w:rPr>
      </w:pPr>
      <w:r w:rsidRPr="00C14040">
        <w:rPr>
          <w:rFonts w:hint="cs"/>
          <w:rtl/>
        </w:rPr>
        <w:t>תקון הגוף כיצד? כשהוא עומד בתפלה צריך לכוון את רגליו זו בצד זו. ונותן עיניו למטה כאילו הוא מביט לארץ, ויהי לבו פנוי למעלה, כאילו הוא עומד בשמים. ומניח ידיו על לבו כפותין, הימנית על השמאלית ועומד כעבד לפני רבו</w:t>
      </w:r>
      <w:r>
        <w:rPr>
          <w:rFonts w:hint="cs"/>
          <w:rtl/>
        </w:rPr>
        <w:t>…</w:t>
      </w:r>
      <w:r w:rsidRPr="00C14040">
        <w:rPr>
          <w:rFonts w:hint="cs"/>
          <w:rtl/>
        </w:rPr>
        <w:t xml:space="preserve"> ולא יניח ידיו על חלציו.</w:t>
      </w:r>
    </w:p>
    <w:p w:rsidR="00494D8C" w:rsidRDefault="00494D8C" w:rsidP="00494D8C">
      <w:pPr>
        <w:rPr>
          <w:rFonts w:hint="cs"/>
          <w:rtl/>
        </w:rPr>
      </w:pPr>
      <w:proofErr w:type="spellStart"/>
      <w:r>
        <w:rPr>
          <w:rFonts w:hint="cs"/>
          <w:rtl/>
        </w:rPr>
        <w:t>במ"א</w:t>
      </w:r>
      <w:proofErr w:type="spellEnd"/>
      <w:r w:rsidRPr="005316B5">
        <w:rPr>
          <w:rStyle w:val="a9"/>
          <w:rtl/>
        </w:rPr>
        <w:endnoteReference w:id="2"/>
      </w:r>
      <w:r>
        <w:rPr>
          <w:rFonts w:hint="cs"/>
          <w:rtl/>
        </w:rPr>
        <w:t xml:space="preserve"> מבואר כי ארבע הכנות אלו מכוונות כנגד אותיות שם הוי' ב"ה: </w:t>
      </w:r>
      <w:r>
        <w:rPr>
          <w:rFonts w:hint="cs"/>
          <w:b/>
          <w:bCs/>
          <w:sz w:val="30"/>
          <w:szCs w:val="28"/>
          <w:rtl/>
        </w:rPr>
        <w:t>י</w:t>
      </w:r>
      <w:r>
        <w:rPr>
          <w:rFonts w:hint="cs"/>
          <w:rtl/>
        </w:rPr>
        <w:t xml:space="preserve"> </w:t>
      </w:r>
      <w:r>
        <w:rPr>
          <w:rFonts w:hint="eastAsia"/>
          <w:rtl/>
        </w:rPr>
        <w:t xml:space="preserve">– </w:t>
      </w:r>
      <w:r>
        <w:rPr>
          <w:rFonts w:hint="cs"/>
          <w:rtl/>
        </w:rPr>
        <w:t xml:space="preserve">"עיניו למטה" (כנודע שכח הראיה שייך לחכמה), </w:t>
      </w:r>
      <w:r>
        <w:rPr>
          <w:rFonts w:hint="cs"/>
          <w:b/>
          <w:bCs/>
          <w:sz w:val="30"/>
          <w:szCs w:val="28"/>
          <w:rtl/>
        </w:rPr>
        <w:t>ה</w:t>
      </w:r>
      <w:r>
        <w:rPr>
          <w:rFonts w:hint="cs"/>
          <w:rtl/>
        </w:rPr>
        <w:t xml:space="preserve"> </w:t>
      </w:r>
      <w:r>
        <w:rPr>
          <w:rFonts w:hint="eastAsia"/>
          <w:rtl/>
        </w:rPr>
        <w:t xml:space="preserve">– </w:t>
      </w:r>
      <w:r>
        <w:rPr>
          <w:rFonts w:hint="cs"/>
          <w:rtl/>
        </w:rPr>
        <w:t>"לבו למעלה" (בסוד "בינה לבא"</w:t>
      </w:r>
      <w:r w:rsidRPr="005316B5">
        <w:rPr>
          <w:rStyle w:val="a9"/>
          <w:rtl/>
        </w:rPr>
        <w:endnoteReference w:id="3"/>
      </w:r>
      <w:r>
        <w:rPr>
          <w:rFonts w:hint="cs"/>
          <w:rtl/>
        </w:rPr>
        <w:t xml:space="preserve">), </w:t>
      </w:r>
      <w:r>
        <w:rPr>
          <w:rFonts w:hint="cs"/>
          <w:b/>
          <w:bCs/>
          <w:sz w:val="30"/>
          <w:szCs w:val="28"/>
          <w:rtl/>
        </w:rPr>
        <w:t>ו</w:t>
      </w:r>
      <w:r>
        <w:rPr>
          <w:rFonts w:hint="cs"/>
          <w:rtl/>
        </w:rPr>
        <w:t xml:space="preserve"> </w:t>
      </w:r>
      <w:r>
        <w:rPr>
          <w:rFonts w:hint="eastAsia"/>
          <w:rtl/>
        </w:rPr>
        <w:t xml:space="preserve">– </w:t>
      </w:r>
      <w:r>
        <w:rPr>
          <w:rFonts w:hint="cs"/>
          <w:rtl/>
        </w:rPr>
        <w:t xml:space="preserve">"ידיו על לבו" (שהרי מדות הלב כלולות בחסד וגבורה, שכנגד יד ימין ויד שמאל), </w:t>
      </w:r>
      <w:r>
        <w:rPr>
          <w:rFonts w:hint="cs"/>
          <w:b/>
          <w:bCs/>
          <w:sz w:val="30"/>
          <w:szCs w:val="28"/>
          <w:rtl/>
        </w:rPr>
        <w:t>ה</w:t>
      </w:r>
      <w:r>
        <w:rPr>
          <w:rFonts w:hint="cs"/>
          <w:rtl/>
        </w:rPr>
        <w:t xml:space="preserve"> </w:t>
      </w:r>
      <w:r>
        <w:rPr>
          <w:rFonts w:hint="eastAsia"/>
          <w:rtl/>
        </w:rPr>
        <w:t xml:space="preserve">– </w:t>
      </w:r>
      <w:r>
        <w:rPr>
          <w:rFonts w:hint="cs"/>
          <w:rtl/>
        </w:rPr>
        <w:t xml:space="preserve">"רגליו זו בצד זו" (ובמלכות נאמר "רגליה </w:t>
      </w:r>
      <w:proofErr w:type="spellStart"/>
      <w:r>
        <w:rPr>
          <w:rFonts w:hint="cs"/>
          <w:rtl/>
        </w:rPr>
        <w:t>י</w:t>
      </w:r>
      <w:r w:rsidRPr="00384FA2">
        <w:rPr>
          <w:rFonts w:hint="cs"/>
          <w:spacing w:val="-10"/>
          <w:rtl/>
        </w:rPr>
        <w:t>ֹ</w:t>
      </w:r>
      <w:r>
        <w:rPr>
          <w:rFonts w:hint="cs"/>
          <w:rtl/>
        </w:rPr>
        <w:t>רדות</w:t>
      </w:r>
      <w:proofErr w:type="spellEnd"/>
      <w:r>
        <w:rPr>
          <w:rFonts w:hint="cs"/>
          <w:rtl/>
        </w:rPr>
        <w:t>…"</w:t>
      </w:r>
      <w:r w:rsidRPr="005316B5">
        <w:rPr>
          <w:rStyle w:val="a9"/>
          <w:rtl/>
        </w:rPr>
        <w:endnoteReference w:id="4"/>
      </w:r>
      <w:r>
        <w:rPr>
          <w:rFonts w:hint="cs"/>
          <w:rtl/>
        </w:rPr>
        <w:t xml:space="preserve">). ההלכות מסודרות ברמב"ם על פי צירוף </w:t>
      </w:r>
      <w:proofErr w:type="spellStart"/>
      <w:r>
        <w:rPr>
          <w:rFonts w:hint="cs"/>
          <w:b/>
          <w:bCs/>
          <w:sz w:val="30"/>
          <w:szCs w:val="28"/>
          <w:rtl/>
        </w:rPr>
        <w:t>היהו</w:t>
      </w:r>
      <w:proofErr w:type="spellEnd"/>
      <w:r>
        <w:rPr>
          <w:rtl/>
        </w:rPr>
        <w:t xml:space="preserve"> </w:t>
      </w:r>
      <w:r>
        <w:rPr>
          <w:rFonts w:hint="cs"/>
          <w:rtl/>
        </w:rPr>
        <w:t xml:space="preserve">המאיר בחדש טבת </w:t>
      </w:r>
      <w:r>
        <w:rPr>
          <w:rtl/>
        </w:rPr>
        <w:t>(</w:t>
      </w:r>
      <w:r>
        <w:rPr>
          <w:rFonts w:hint="cs"/>
          <w:rtl/>
        </w:rPr>
        <w:t>צירוף היוצא מ</w:t>
      </w:r>
      <w:r>
        <w:rPr>
          <w:rtl/>
        </w:rPr>
        <w:t xml:space="preserve">סופי התיבות </w:t>
      </w:r>
      <w:r>
        <w:rPr>
          <w:rFonts w:hint="cs"/>
          <w:rtl/>
        </w:rPr>
        <w:t xml:space="preserve">של הפסוק </w:t>
      </w:r>
      <w:r>
        <w:rPr>
          <w:rtl/>
        </w:rPr>
        <w:t>"נברכ</w:t>
      </w:r>
      <w:r>
        <w:rPr>
          <w:b/>
          <w:bCs/>
          <w:sz w:val="28"/>
          <w:szCs w:val="28"/>
          <w:rtl/>
        </w:rPr>
        <w:t>ה</w:t>
      </w:r>
      <w:r>
        <w:rPr>
          <w:rtl/>
        </w:rPr>
        <w:t xml:space="preserve"> לפנ</w:t>
      </w:r>
      <w:r>
        <w:rPr>
          <w:b/>
          <w:bCs/>
          <w:sz w:val="28"/>
          <w:szCs w:val="28"/>
          <w:rtl/>
        </w:rPr>
        <w:t>י</w:t>
      </w:r>
      <w:r>
        <w:rPr>
          <w:rtl/>
        </w:rPr>
        <w:t xml:space="preserve"> </w:t>
      </w:r>
      <w:r>
        <w:rPr>
          <w:b/>
          <w:bCs/>
          <w:sz w:val="28"/>
          <w:szCs w:val="28"/>
          <w:rtl/>
        </w:rPr>
        <w:t>ה</w:t>
      </w:r>
      <w:r>
        <w:rPr>
          <w:rtl/>
        </w:rPr>
        <w:t>וי' ע</w:t>
      </w:r>
      <w:r w:rsidRPr="00384FA2">
        <w:rPr>
          <w:spacing w:val="-10"/>
          <w:rtl/>
        </w:rPr>
        <w:t>ֹ</w:t>
      </w:r>
      <w:r>
        <w:rPr>
          <w:rtl/>
        </w:rPr>
        <w:t>שנ</w:t>
      </w:r>
      <w:r>
        <w:rPr>
          <w:b/>
          <w:bCs/>
          <w:sz w:val="28"/>
          <w:szCs w:val="28"/>
          <w:rtl/>
        </w:rPr>
        <w:t>ו</w:t>
      </w:r>
      <w:r>
        <w:rPr>
          <w:rtl/>
        </w:rPr>
        <w:t>"</w:t>
      </w:r>
      <w:r w:rsidRPr="005316B5">
        <w:rPr>
          <w:rStyle w:val="a9"/>
          <w:rtl/>
        </w:rPr>
        <w:endnoteReference w:id="5"/>
      </w:r>
      <w:r>
        <w:rPr>
          <w:rtl/>
        </w:rPr>
        <w:t>)</w:t>
      </w:r>
      <w:r>
        <w:rPr>
          <w:rFonts w:hint="cs"/>
          <w:rtl/>
        </w:rPr>
        <w:t xml:space="preserve"> </w:t>
      </w:r>
      <w:r>
        <w:rPr>
          <w:rtl/>
        </w:rPr>
        <w:t>–</w:t>
      </w:r>
      <w:r>
        <w:rPr>
          <w:rFonts w:hint="cs"/>
          <w:rtl/>
        </w:rPr>
        <w:t xml:space="preserve"> החדש העשירי, שבבחינת "העשירי יהיה קדש </w:t>
      </w:r>
      <w:proofErr w:type="spellStart"/>
      <w:r>
        <w:rPr>
          <w:rFonts w:hint="cs"/>
          <w:rtl/>
        </w:rPr>
        <w:t>להוי</w:t>
      </w:r>
      <w:proofErr w:type="spellEnd"/>
      <w:r>
        <w:rPr>
          <w:rFonts w:hint="cs"/>
          <w:rtl/>
        </w:rPr>
        <w:t>'"</w:t>
      </w:r>
      <w:r w:rsidRPr="005316B5">
        <w:rPr>
          <w:rStyle w:val="a9"/>
          <w:rtl/>
        </w:rPr>
        <w:endnoteReference w:id="6"/>
      </w:r>
      <w:r>
        <w:rPr>
          <w:rFonts w:hint="cs"/>
          <w:rtl/>
        </w:rPr>
        <w:t>. על חדש טבת נאמר שהוא "חדש שהגוף נהנה מן הגוף"</w:t>
      </w:r>
      <w:r w:rsidRPr="005316B5">
        <w:rPr>
          <w:rStyle w:val="a9"/>
          <w:rtl/>
        </w:rPr>
        <w:endnoteReference w:id="7"/>
      </w:r>
      <w:r>
        <w:rPr>
          <w:rFonts w:hint="cs"/>
          <w:rtl/>
        </w:rPr>
        <w:t xml:space="preserve">, ועל פי המבואר כאן, </w:t>
      </w:r>
      <w:proofErr w:type="spellStart"/>
      <w:r>
        <w:rPr>
          <w:rFonts w:hint="cs"/>
          <w:rtl/>
        </w:rPr>
        <w:t>בענין</w:t>
      </w:r>
      <w:proofErr w:type="spellEnd"/>
      <w:r>
        <w:rPr>
          <w:rFonts w:hint="cs"/>
          <w:rtl/>
        </w:rPr>
        <w:t xml:space="preserve"> הכנת הגוף לתפלה, טבת הוא מקור ההנאה </w:t>
      </w:r>
      <w:proofErr w:type="spellStart"/>
      <w:r>
        <w:rPr>
          <w:rFonts w:hint="cs"/>
          <w:rtl/>
        </w:rPr>
        <w:t>האלקית</w:t>
      </w:r>
      <w:proofErr w:type="spellEnd"/>
      <w:r>
        <w:rPr>
          <w:rFonts w:hint="cs"/>
          <w:rtl/>
        </w:rPr>
        <w:t xml:space="preserve"> מתיקון הגוף – "הגוף [העליון, כביכול] נהנה מן הגוף [של האדם המתפלל]".</w:t>
      </w:r>
    </w:p>
    <w:p w:rsidR="00494D8C" w:rsidRDefault="00494D8C" w:rsidP="00494D8C">
      <w:pPr>
        <w:rPr>
          <w:rFonts w:hint="cs"/>
          <w:rtl/>
        </w:rPr>
      </w:pPr>
      <w:r>
        <w:rPr>
          <w:rFonts w:hint="cs"/>
          <w:rtl/>
        </w:rPr>
        <w:t xml:space="preserve">אכן, </w:t>
      </w:r>
      <w:proofErr w:type="spellStart"/>
      <w:r>
        <w:rPr>
          <w:rFonts w:hint="cs"/>
          <w:rtl/>
        </w:rPr>
        <w:t>מכיון</w:t>
      </w:r>
      <w:proofErr w:type="spellEnd"/>
      <w:r>
        <w:rPr>
          <w:rFonts w:hint="cs"/>
          <w:rtl/>
        </w:rPr>
        <w:t xml:space="preserve"> שבדברי חז"ל "הגוף נהנה מן הגוף" </w:t>
      </w:r>
      <w:proofErr w:type="spellStart"/>
      <w:r>
        <w:rPr>
          <w:rFonts w:hint="cs"/>
          <w:rtl/>
        </w:rPr>
        <w:t>קאי</w:t>
      </w:r>
      <w:proofErr w:type="spellEnd"/>
      <w:r>
        <w:rPr>
          <w:rFonts w:hint="cs"/>
          <w:rtl/>
        </w:rPr>
        <w:t xml:space="preserve"> כפשוטו, על זיווג איש ואשה, יש להבין לכל לראש כיצד מתבטאות ארבע הכנות הגוף גם ביחס לזיווג (ובפרט שמהות התפלה היא חיבור </w:t>
      </w:r>
      <w:r>
        <w:rPr>
          <w:rFonts w:hint="eastAsia"/>
          <w:rtl/>
        </w:rPr>
        <w:t>– כנודע</w:t>
      </w:r>
      <w:r w:rsidRPr="005316B5">
        <w:rPr>
          <w:rStyle w:val="a9"/>
          <w:rtl/>
        </w:rPr>
        <w:endnoteReference w:id="8"/>
      </w:r>
      <w:r>
        <w:rPr>
          <w:rFonts w:hint="cs"/>
          <w:rtl/>
        </w:rPr>
        <w:t xml:space="preserve"> </w:t>
      </w:r>
      <w:r>
        <w:rPr>
          <w:rFonts w:hint="eastAsia"/>
          <w:rtl/>
        </w:rPr>
        <w:t xml:space="preserve">מהלשון </w:t>
      </w:r>
      <w:r>
        <w:rPr>
          <w:rFonts w:hint="cs"/>
          <w:rtl/>
        </w:rPr>
        <w:t>"</w:t>
      </w:r>
      <w:proofErr w:type="spellStart"/>
      <w:r>
        <w:rPr>
          <w:rFonts w:hint="cs"/>
          <w:rtl/>
        </w:rPr>
        <w:t>התופל</w:t>
      </w:r>
      <w:proofErr w:type="spellEnd"/>
      <w:r>
        <w:rPr>
          <w:rFonts w:hint="cs"/>
          <w:rtl/>
        </w:rPr>
        <w:t xml:space="preserve"> כלי חרס"</w:t>
      </w:r>
      <w:r w:rsidRPr="005316B5">
        <w:rPr>
          <w:rStyle w:val="a9"/>
          <w:rtl/>
        </w:rPr>
        <w:endnoteReference w:id="9"/>
      </w:r>
      <w:r>
        <w:rPr>
          <w:rFonts w:hint="cs"/>
          <w:rtl/>
        </w:rPr>
        <w:t xml:space="preserve"> </w:t>
      </w:r>
      <w:r>
        <w:rPr>
          <w:rFonts w:hint="eastAsia"/>
          <w:rtl/>
        </w:rPr>
        <w:t xml:space="preserve">– והיא </w:t>
      </w:r>
      <w:r>
        <w:rPr>
          <w:rFonts w:hint="cs"/>
          <w:rtl/>
        </w:rPr>
        <w:t xml:space="preserve">זמן </w:t>
      </w:r>
      <w:proofErr w:type="spellStart"/>
      <w:r>
        <w:rPr>
          <w:rFonts w:hint="cs"/>
          <w:rtl/>
        </w:rPr>
        <w:t>ה</w:t>
      </w:r>
      <w:r>
        <w:rPr>
          <w:rFonts w:hint="eastAsia"/>
          <w:rtl/>
        </w:rPr>
        <w:t>יחוד</w:t>
      </w:r>
      <w:proofErr w:type="spellEnd"/>
      <w:r>
        <w:rPr>
          <w:rFonts w:hint="eastAsia"/>
          <w:rtl/>
        </w:rPr>
        <w:t xml:space="preserve"> העליון</w:t>
      </w:r>
      <w:r>
        <w:rPr>
          <w:rFonts w:hint="cs"/>
          <w:rtl/>
        </w:rPr>
        <w:t xml:space="preserve">, כנודע בקבלה). ובתמצית: </w:t>
      </w:r>
    </w:p>
    <w:p w:rsidR="00494D8C" w:rsidRDefault="00494D8C" w:rsidP="00494D8C">
      <w:pPr>
        <w:rPr>
          <w:rFonts w:hint="cs"/>
          <w:rtl/>
        </w:rPr>
      </w:pPr>
      <w:r>
        <w:rPr>
          <w:rFonts w:hint="cs"/>
          <w:b/>
          <w:bCs/>
          <w:sz w:val="30"/>
          <w:szCs w:val="28"/>
          <w:rtl/>
        </w:rPr>
        <w:t>י</w:t>
      </w:r>
      <w:r>
        <w:rPr>
          <w:rFonts w:hint="cs"/>
          <w:rtl/>
        </w:rPr>
        <w:t xml:space="preserve"> </w:t>
      </w:r>
      <w:r>
        <w:rPr>
          <w:rFonts w:hint="eastAsia"/>
          <w:rtl/>
        </w:rPr>
        <w:t xml:space="preserve">– </w:t>
      </w:r>
      <w:r>
        <w:rPr>
          <w:rtl/>
        </w:rPr>
        <w:t>תכלית</w:t>
      </w:r>
      <w:r>
        <w:rPr>
          <w:rFonts w:hint="cs"/>
          <w:rtl/>
        </w:rPr>
        <w:t xml:space="preserve">: "עיניו למטה" היינו כוונת </w:t>
      </w:r>
      <w:r>
        <w:rPr>
          <w:rtl/>
        </w:rPr>
        <w:t xml:space="preserve">עין השכל </w:t>
      </w:r>
      <w:r>
        <w:rPr>
          <w:rFonts w:hint="cs"/>
          <w:rtl/>
        </w:rPr>
        <w:t xml:space="preserve">למצוות הזיווג, כשגולת הכותרת היא </w:t>
      </w:r>
      <w:r>
        <w:rPr>
          <w:rFonts w:hint="eastAsia"/>
          <w:rtl/>
        </w:rPr>
        <w:t xml:space="preserve">מצות </w:t>
      </w:r>
      <w:r>
        <w:rPr>
          <w:rFonts w:hint="cs"/>
          <w:rtl/>
        </w:rPr>
        <w:t>"</w:t>
      </w:r>
      <w:r>
        <w:rPr>
          <w:rFonts w:hint="eastAsia"/>
          <w:rtl/>
        </w:rPr>
        <w:t>פרו ורבו</w:t>
      </w:r>
      <w:r>
        <w:rPr>
          <w:rFonts w:hint="cs"/>
          <w:rtl/>
        </w:rPr>
        <w:t>"</w:t>
      </w:r>
      <w:r w:rsidRPr="005316B5">
        <w:rPr>
          <w:rStyle w:val="a9"/>
          <w:rtl/>
        </w:rPr>
        <w:endnoteReference w:id="10"/>
      </w:r>
      <w:r>
        <w:rPr>
          <w:rFonts w:hint="cs"/>
          <w:rtl/>
        </w:rPr>
        <w:t>. כל מצוה נעשית בארץ, ובהיות ש"המעשה הוא העיקר"</w:t>
      </w:r>
      <w:r w:rsidRPr="005316B5">
        <w:rPr>
          <w:rStyle w:val="a9"/>
          <w:rtl/>
        </w:rPr>
        <w:endnoteReference w:id="11"/>
      </w:r>
      <w:r>
        <w:rPr>
          <w:rFonts w:hint="cs"/>
          <w:rtl/>
        </w:rPr>
        <w:t xml:space="preserve"> תכלית עיון </w:t>
      </w:r>
      <w:proofErr w:type="spellStart"/>
      <w:r>
        <w:rPr>
          <w:rFonts w:hint="cs"/>
          <w:rtl/>
        </w:rPr>
        <w:t>העינים</w:t>
      </w:r>
      <w:proofErr w:type="spellEnd"/>
      <w:r>
        <w:rPr>
          <w:rFonts w:hint="cs"/>
          <w:rtl/>
        </w:rPr>
        <w:t xml:space="preserve"> להביט אל המעשה – להביט למטה. על כך נאמר "הוי' בחכמה יסד ארץ"</w:t>
      </w:r>
      <w:bookmarkStart w:id="2" w:name="_Ref144879245"/>
      <w:r w:rsidRPr="005316B5">
        <w:rPr>
          <w:rStyle w:val="a9"/>
          <w:rtl/>
        </w:rPr>
        <w:endnoteReference w:id="12"/>
      </w:r>
      <w:bookmarkEnd w:id="2"/>
      <w:r>
        <w:rPr>
          <w:rFonts w:hint="cs"/>
          <w:rtl/>
        </w:rPr>
        <w:t xml:space="preserve"> </w:t>
      </w:r>
      <w:r>
        <w:rPr>
          <w:rtl/>
        </w:rPr>
        <w:t>–</w:t>
      </w:r>
      <w:r>
        <w:rPr>
          <w:rFonts w:hint="cs"/>
          <w:rtl/>
        </w:rPr>
        <w:t xml:space="preserve"> </w:t>
      </w:r>
      <w:proofErr w:type="spellStart"/>
      <w:r>
        <w:rPr>
          <w:rFonts w:hint="cs"/>
          <w:rtl/>
        </w:rPr>
        <w:t>העינים</w:t>
      </w:r>
      <w:proofErr w:type="spellEnd"/>
      <w:r>
        <w:rPr>
          <w:rFonts w:hint="cs"/>
          <w:rtl/>
        </w:rPr>
        <w:t xml:space="preserve"> מביטות למטה, אל הארץ. תפקיד </w:t>
      </w:r>
      <w:proofErr w:type="spellStart"/>
      <w:r>
        <w:rPr>
          <w:rFonts w:hint="eastAsia"/>
          <w:rtl/>
        </w:rPr>
        <w:t>כח</w:t>
      </w:r>
      <w:proofErr w:type="spellEnd"/>
      <w:r>
        <w:rPr>
          <w:rFonts w:hint="eastAsia"/>
          <w:rtl/>
        </w:rPr>
        <w:t xml:space="preserve"> הראיה של החכמה </w:t>
      </w:r>
      <w:r>
        <w:rPr>
          <w:rFonts w:hint="cs"/>
          <w:rtl/>
        </w:rPr>
        <w:t xml:space="preserve">(ממנה בא </w:t>
      </w:r>
      <w:proofErr w:type="spellStart"/>
      <w:r>
        <w:rPr>
          <w:rFonts w:hint="cs"/>
          <w:rtl/>
        </w:rPr>
        <w:t>כח</w:t>
      </w:r>
      <w:proofErr w:type="spellEnd"/>
      <w:r>
        <w:rPr>
          <w:rFonts w:hint="cs"/>
          <w:rtl/>
        </w:rPr>
        <w:t xml:space="preserve"> ה"שוב"</w:t>
      </w:r>
      <w:bookmarkStart w:id="3" w:name="_Ref144404374"/>
      <w:r w:rsidRPr="005316B5">
        <w:rPr>
          <w:rStyle w:val="a9"/>
          <w:rtl/>
        </w:rPr>
        <w:endnoteReference w:id="13"/>
      </w:r>
      <w:bookmarkEnd w:id="3"/>
      <w:r>
        <w:rPr>
          <w:rFonts w:hint="cs"/>
          <w:rtl/>
        </w:rPr>
        <w:t xml:space="preserve"> לקיים מצוות בארץ) לצפות "במחשבה תחלה"</w:t>
      </w:r>
      <w:r w:rsidRPr="005316B5">
        <w:rPr>
          <w:rStyle w:val="a9"/>
          <w:rtl/>
        </w:rPr>
        <w:endnoteReference w:id="14"/>
      </w:r>
      <w:r>
        <w:rPr>
          <w:rFonts w:hint="cs"/>
          <w:rtl/>
        </w:rPr>
        <w:t xml:space="preserve"> את ה"סוף מעשה" הרצוי – "איזהו חכם? הרואה [מראש] את הנולד"</w:t>
      </w:r>
      <w:r w:rsidRPr="005316B5">
        <w:rPr>
          <w:rStyle w:val="a9"/>
          <w:rtl/>
        </w:rPr>
        <w:endnoteReference w:id="15"/>
      </w:r>
      <w:r>
        <w:rPr>
          <w:rFonts w:hint="cs"/>
          <w:rtl/>
        </w:rPr>
        <w:t xml:space="preserve"> (וכן, "מחשבה תחלה" שייכת בפרט לספירת החכמה: </w:t>
      </w:r>
      <w:r w:rsidRPr="00F3743A">
        <w:rPr>
          <w:rFonts w:hint="cs"/>
          <w:b/>
          <w:bCs/>
          <w:sz w:val="28"/>
          <w:szCs w:val="28"/>
          <w:rtl/>
        </w:rPr>
        <w:t>מחשבה</w:t>
      </w:r>
      <w:r>
        <w:rPr>
          <w:rFonts w:hint="cs"/>
          <w:rtl/>
        </w:rPr>
        <w:t xml:space="preserve"> היא אותיות </w:t>
      </w:r>
      <w:r w:rsidRPr="00F3743A">
        <w:rPr>
          <w:rFonts w:hint="cs"/>
          <w:b/>
          <w:bCs/>
          <w:sz w:val="28"/>
          <w:szCs w:val="28"/>
          <w:rtl/>
        </w:rPr>
        <w:t>חשב</w:t>
      </w:r>
      <w:r>
        <w:rPr>
          <w:rFonts w:hint="cs"/>
          <w:rtl/>
        </w:rPr>
        <w:t xml:space="preserve"> </w:t>
      </w:r>
      <w:r w:rsidRPr="00F3743A">
        <w:rPr>
          <w:rFonts w:hint="cs"/>
          <w:b/>
          <w:bCs/>
          <w:sz w:val="28"/>
          <w:szCs w:val="28"/>
          <w:rtl/>
        </w:rPr>
        <w:t>מה</w:t>
      </w:r>
      <w:r>
        <w:rPr>
          <w:rFonts w:hint="cs"/>
          <w:rtl/>
        </w:rPr>
        <w:t>, כשם ש</w:t>
      </w:r>
      <w:r w:rsidRPr="00F3743A">
        <w:rPr>
          <w:rFonts w:hint="cs"/>
          <w:b/>
          <w:bCs/>
          <w:sz w:val="28"/>
          <w:szCs w:val="28"/>
          <w:rtl/>
        </w:rPr>
        <w:t>חכמה</w:t>
      </w:r>
      <w:r>
        <w:rPr>
          <w:rFonts w:hint="cs"/>
          <w:rtl/>
        </w:rPr>
        <w:t xml:space="preserve"> היא אותיות </w:t>
      </w:r>
      <w:proofErr w:type="spellStart"/>
      <w:r w:rsidRPr="00F3743A">
        <w:rPr>
          <w:rFonts w:hint="cs"/>
          <w:b/>
          <w:bCs/>
          <w:sz w:val="28"/>
          <w:szCs w:val="28"/>
          <w:rtl/>
        </w:rPr>
        <w:t>כח</w:t>
      </w:r>
      <w:proofErr w:type="spellEnd"/>
      <w:r>
        <w:rPr>
          <w:rFonts w:hint="cs"/>
          <w:rtl/>
        </w:rPr>
        <w:t xml:space="preserve"> </w:t>
      </w:r>
      <w:r w:rsidRPr="00F3743A">
        <w:rPr>
          <w:rFonts w:hint="cs"/>
          <w:b/>
          <w:bCs/>
          <w:sz w:val="28"/>
          <w:szCs w:val="28"/>
          <w:rtl/>
        </w:rPr>
        <w:t>מה</w:t>
      </w:r>
      <w:r>
        <w:rPr>
          <w:rFonts w:hint="cs"/>
          <w:rtl/>
        </w:rPr>
        <w:t>, וכן "תחלה" מכוונת ל-</w:t>
      </w:r>
      <w:r w:rsidRPr="004773BA">
        <w:rPr>
          <w:rFonts w:hint="cs"/>
          <w:b/>
          <w:bCs/>
          <w:sz w:val="28"/>
          <w:szCs w:val="28"/>
          <w:rtl/>
        </w:rPr>
        <w:t>י</w:t>
      </w:r>
      <w:r>
        <w:rPr>
          <w:rFonts w:hint="cs"/>
          <w:rtl/>
        </w:rPr>
        <w:t xml:space="preserve"> שבשם הוי' ב"ה במבנה ה'מרובע' של תחלה-ראש-תוך-סוף</w:t>
      </w:r>
      <w:r w:rsidRPr="005316B5">
        <w:rPr>
          <w:rStyle w:val="a9"/>
          <w:rtl/>
        </w:rPr>
        <w:endnoteReference w:id="16"/>
      </w:r>
      <w:r>
        <w:rPr>
          <w:rFonts w:hint="cs"/>
          <w:rtl/>
        </w:rPr>
        <w:t>).</w:t>
      </w:r>
    </w:p>
    <w:p w:rsidR="00494D8C" w:rsidRDefault="00494D8C" w:rsidP="00494D8C">
      <w:pPr>
        <w:rPr>
          <w:rFonts w:hint="cs"/>
          <w:rtl/>
        </w:rPr>
      </w:pPr>
      <w:r>
        <w:rPr>
          <w:rFonts w:hint="cs"/>
          <w:b/>
          <w:bCs/>
          <w:sz w:val="30"/>
          <w:szCs w:val="28"/>
          <w:rtl/>
        </w:rPr>
        <w:t>ה</w:t>
      </w:r>
      <w:r>
        <w:rPr>
          <w:rFonts w:hint="cs"/>
          <w:rtl/>
        </w:rPr>
        <w:t xml:space="preserve"> </w:t>
      </w:r>
      <w:r>
        <w:rPr>
          <w:rFonts w:hint="eastAsia"/>
          <w:rtl/>
        </w:rPr>
        <w:t xml:space="preserve">– </w:t>
      </w:r>
      <w:r>
        <w:rPr>
          <w:rtl/>
        </w:rPr>
        <w:t>דבקות</w:t>
      </w:r>
      <w:r>
        <w:rPr>
          <w:rFonts w:hint="cs"/>
          <w:rtl/>
        </w:rPr>
        <w:t xml:space="preserve">: "לבו למעלה" היינו כוונת הלב אל השרש </w:t>
      </w:r>
      <w:proofErr w:type="spellStart"/>
      <w:r>
        <w:rPr>
          <w:rFonts w:hint="cs"/>
          <w:rtl/>
        </w:rPr>
        <w:t>האלקי</w:t>
      </w:r>
      <w:proofErr w:type="spellEnd"/>
      <w:r>
        <w:rPr>
          <w:rFonts w:hint="cs"/>
          <w:rtl/>
        </w:rPr>
        <w:t xml:space="preserve"> </w:t>
      </w:r>
      <w:r>
        <w:rPr>
          <w:rtl/>
        </w:rPr>
        <w:t xml:space="preserve">ודבקות בו </w:t>
      </w:r>
      <w:r>
        <w:rPr>
          <w:rFonts w:hint="cs"/>
          <w:rtl/>
        </w:rPr>
        <w:t xml:space="preserve">בעת המעשה (כאשר, משום ש"עיניו למטה", אין כוונת הלב אל השרש גורעת מהריכוז ותשומת הלב למעשה במציאות). </w:t>
      </w:r>
      <w:proofErr w:type="spellStart"/>
      <w:r>
        <w:rPr>
          <w:rFonts w:hint="cs"/>
          <w:rtl/>
        </w:rPr>
        <w:t>חוית</w:t>
      </w:r>
      <w:proofErr w:type="spellEnd"/>
      <w:r>
        <w:rPr>
          <w:rFonts w:hint="cs"/>
          <w:rtl/>
        </w:rPr>
        <w:t xml:space="preserve"> ה"לבו פנוי למעלה, כאילו הוא עומד בשמים" היא תנועת ה"רצוא"</w:t>
      </w:r>
      <w:r w:rsidRPr="007C66AF">
        <w:rPr>
          <w:rStyle w:val="a9"/>
          <w:rtl/>
        </w:rPr>
        <w:fldChar w:fldCharType="begin"/>
      </w:r>
      <w:r w:rsidRPr="007C66AF">
        <w:rPr>
          <w:rStyle w:val="a9"/>
          <w:rtl/>
        </w:rPr>
        <w:instrText xml:space="preserve"> </w:instrText>
      </w:r>
      <w:r w:rsidRPr="007C66AF">
        <w:rPr>
          <w:rStyle w:val="a9"/>
          <w:rFonts w:hint="cs"/>
        </w:rPr>
        <w:instrText>NOTEREF</w:instrText>
      </w:r>
      <w:r w:rsidRPr="007C66AF">
        <w:rPr>
          <w:rStyle w:val="a9"/>
          <w:rFonts w:hint="cs"/>
          <w:rtl/>
        </w:rPr>
        <w:instrText xml:space="preserve"> _</w:instrText>
      </w:r>
      <w:r w:rsidRPr="007C66AF">
        <w:rPr>
          <w:rStyle w:val="a9"/>
          <w:rFonts w:hint="cs"/>
        </w:rPr>
        <w:instrText>Ref144404374 \h</w:instrText>
      </w:r>
      <w:r w:rsidRPr="007C66AF">
        <w:rPr>
          <w:rStyle w:val="a9"/>
          <w:rtl/>
        </w:rPr>
        <w:instrText xml:space="preserve"> </w:instrText>
      </w:r>
      <w:r w:rsidRPr="007C66AF">
        <w:rPr>
          <w:rStyle w:val="a9"/>
        </w:rPr>
      </w:r>
      <w:r>
        <w:rPr>
          <w:rStyle w:val="a9"/>
          <w:rtl/>
        </w:rPr>
        <w:instrText xml:space="preserve"> \* </w:instrText>
      </w:r>
      <w:r>
        <w:rPr>
          <w:rStyle w:val="a9"/>
        </w:rPr>
        <w:instrText>MERGEFORMAT</w:instrText>
      </w:r>
      <w:r>
        <w:rPr>
          <w:rStyle w:val="a9"/>
          <w:rtl/>
        </w:rPr>
        <w:instrText xml:space="preserve"> </w:instrText>
      </w:r>
      <w:r w:rsidRPr="007C66AF">
        <w:rPr>
          <w:rStyle w:val="a9"/>
          <w:rtl/>
        </w:rPr>
        <w:fldChar w:fldCharType="separate"/>
      </w:r>
      <w:r>
        <w:rPr>
          <w:rStyle w:val="a9"/>
          <w:rtl/>
        </w:rPr>
        <w:t>יג</w:t>
      </w:r>
      <w:r w:rsidRPr="007C66AF">
        <w:rPr>
          <w:rStyle w:val="a9"/>
          <w:rtl/>
        </w:rPr>
        <w:fldChar w:fldCharType="end"/>
      </w:r>
      <w:r>
        <w:rPr>
          <w:rFonts w:hint="cs"/>
          <w:rtl/>
        </w:rPr>
        <w:t xml:space="preserve"> של הבינה </w:t>
      </w:r>
      <w:r>
        <w:rPr>
          <w:rtl/>
        </w:rPr>
        <w:t>–</w:t>
      </w:r>
      <w:r>
        <w:rPr>
          <w:rFonts w:hint="cs"/>
          <w:rtl/>
        </w:rPr>
        <w:t xml:space="preserve"> "כונן שמים בתבונה"</w:t>
      </w:r>
      <w:r w:rsidRPr="00D22223">
        <w:rPr>
          <w:rStyle w:val="a9"/>
          <w:rtl/>
        </w:rPr>
        <w:fldChar w:fldCharType="begin"/>
      </w:r>
      <w:r w:rsidRPr="00D22223">
        <w:rPr>
          <w:rStyle w:val="a9"/>
          <w:rtl/>
        </w:rPr>
        <w:instrText xml:space="preserve"> </w:instrText>
      </w:r>
      <w:r w:rsidRPr="00D22223">
        <w:rPr>
          <w:rStyle w:val="a9"/>
          <w:rFonts w:hint="cs"/>
        </w:rPr>
        <w:instrText>NOTEREF</w:instrText>
      </w:r>
      <w:r w:rsidRPr="00D22223">
        <w:rPr>
          <w:rStyle w:val="a9"/>
          <w:rFonts w:hint="cs"/>
          <w:rtl/>
        </w:rPr>
        <w:instrText xml:space="preserve"> _</w:instrText>
      </w:r>
      <w:r w:rsidRPr="00D22223">
        <w:rPr>
          <w:rStyle w:val="a9"/>
          <w:rFonts w:hint="cs"/>
        </w:rPr>
        <w:instrText>Ref144879245 \h</w:instrText>
      </w:r>
      <w:r w:rsidRPr="00D22223">
        <w:rPr>
          <w:rStyle w:val="a9"/>
          <w:rtl/>
        </w:rPr>
        <w:instrText xml:space="preserve"> </w:instrText>
      </w:r>
      <w:r w:rsidRPr="00D22223">
        <w:rPr>
          <w:rStyle w:val="a9"/>
        </w:rPr>
      </w:r>
      <w:r>
        <w:rPr>
          <w:rStyle w:val="a9"/>
          <w:rtl/>
        </w:rPr>
        <w:instrText xml:space="preserve"> \* </w:instrText>
      </w:r>
      <w:r>
        <w:rPr>
          <w:rStyle w:val="a9"/>
        </w:rPr>
        <w:instrText>MERGEFORMAT</w:instrText>
      </w:r>
      <w:r>
        <w:rPr>
          <w:rStyle w:val="a9"/>
          <w:rtl/>
        </w:rPr>
        <w:instrText xml:space="preserve"> </w:instrText>
      </w:r>
      <w:r w:rsidRPr="00D22223">
        <w:rPr>
          <w:rStyle w:val="a9"/>
          <w:rtl/>
        </w:rPr>
        <w:fldChar w:fldCharType="separate"/>
      </w:r>
      <w:r>
        <w:rPr>
          <w:rStyle w:val="a9"/>
          <w:rtl/>
        </w:rPr>
        <w:t>יב</w:t>
      </w:r>
      <w:r w:rsidRPr="00D22223">
        <w:rPr>
          <w:rStyle w:val="a9"/>
          <w:rtl/>
        </w:rPr>
        <w:fldChar w:fldCharType="end"/>
      </w:r>
      <w:r>
        <w:rPr>
          <w:rFonts w:hint="cs"/>
          <w:rtl/>
        </w:rPr>
        <w:t xml:space="preserve">. בעת הזיווג "לבו למעלה" היינו התבוננות הלב ב"רצוא" ותשוקה לשרש </w:t>
      </w:r>
      <w:r>
        <w:rPr>
          <w:rFonts w:hint="cs"/>
          <w:rtl/>
        </w:rPr>
        <w:lastRenderedPageBreak/>
        <w:t>המשותף העליון של הנשמות. בשרש הנשמות</w:t>
      </w:r>
      <w:r>
        <w:rPr>
          <w:rFonts w:hint="eastAsia"/>
          <w:rtl/>
        </w:rPr>
        <w:t xml:space="preserve"> מזהה כל אחד מבני הזוג בעיקר את תכונותיו הנעלות של בן זוגו</w:t>
      </w:r>
      <w:r>
        <w:rPr>
          <w:rFonts w:hint="cs"/>
          <w:rtl/>
        </w:rPr>
        <w:t xml:space="preserve">, משום </w:t>
      </w:r>
      <w:proofErr w:type="spellStart"/>
      <w:r>
        <w:rPr>
          <w:rFonts w:hint="cs"/>
          <w:rtl/>
        </w:rPr>
        <w:t>ששרשו</w:t>
      </w:r>
      <w:proofErr w:type="spellEnd"/>
      <w:r>
        <w:rPr>
          <w:rFonts w:hint="cs"/>
          <w:rtl/>
        </w:rPr>
        <w:t xml:space="preserve"> שלו הוא על-מודע עבורו, ואילו בן הזוג משקף את העל-מודע הזה בגלוי</w:t>
      </w:r>
      <w:r w:rsidRPr="005316B5">
        <w:rPr>
          <w:rStyle w:val="a9"/>
          <w:rtl/>
        </w:rPr>
        <w:endnoteReference w:id="17"/>
      </w:r>
      <w:r>
        <w:rPr>
          <w:rFonts w:hint="cs"/>
          <w:rtl/>
        </w:rPr>
        <w:t xml:space="preserve">, ולכן דבקות הלב בשרש הנשמות שואבת ממנו </w:t>
      </w:r>
      <w:proofErr w:type="spellStart"/>
      <w:r>
        <w:rPr>
          <w:rFonts w:hint="cs"/>
          <w:rtl/>
        </w:rPr>
        <w:t>כח</w:t>
      </w:r>
      <w:proofErr w:type="spellEnd"/>
      <w:r>
        <w:rPr>
          <w:rFonts w:hint="cs"/>
          <w:rtl/>
        </w:rPr>
        <w:t xml:space="preserve"> להגביר את עוצמת האהבה</w:t>
      </w:r>
      <w:r>
        <w:rPr>
          <w:rFonts w:hint="eastAsia"/>
          <w:rtl/>
        </w:rPr>
        <w:t>.</w:t>
      </w:r>
      <w:r>
        <w:rPr>
          <w:rtl/>
        </w:rPr>
        <w:t xml:space="preserve"> </w:t>
      </w:r>
    </w:p>
    <w:p w:rsidR="00494D8C" w:rsidRDefault="00494D8C" w:rsidP="00494D8C">
      <w:pPr>
        <w:rPr>
          <w:rFonts w:hint="cs"/>
          <w:rtl/>
        </w:rPr>
      </w:pPr>
      <w:r>
        <w:rPr>
          <w:rFonts w:hint="cs"/>
          <w:rtl/>
        </w:rPr>
        <w:t>[ולתוספת העמקה: ה-</w:t>
      </w:r>
      <w:r w:rsidRPr="009B3C06">
        <w:rPr>
          <w:rFonts w:hint="cs"/>
          <w:b/>
          <w:bCs/>
          <w:sz w:val="28"/>
          <w:szCs w:val="28"/>
          <w:rtl/>
        </w:rPr>
        <w:t>ל</w:t>
      </w:r>
      <w:r>
        <w:rPr>
          <w:rFonts w:hint="cs"/>
          <w:rtl/>
        </w:rPr>
        <w:t xml:space="preserve"> של ה</w:t>
      </w:r>
      <w:r w:rsidRPr="009B3C06">
        <w:rPr>
          <w:rFonts w:hint="cs"/>
          <w:b/>
          <w:bCs/>
          <w:sz w:val="28"/>
          <w:szCs w:val="28"/>
          <w:rtl/>
        </w:rPr>
        <w:t>ל</w:t>
      </w:r>
      <w:r>
        <w:rPr>
          <w:rFonts w:hint="cs"/>
          <w:rtl/>
        </w:rPr>
        <w:t xml:space="preserve">ב היא "מגדל הפורח </w:t>
      </w:r>
      <w:proofErr w:type="spellStart"/>
      <w:r>
        <w:rPr>
          <w:rFonts w:hint="cs"/>
          <w:rtl/>
        </w:rPr>
        <w:t>ב</w:t>
      </w:r>
      <w:r w:rsidRPr="00E84990">
        <w:rPr>
          <w:rStyle w:val="a5"/>
          <w:rFonts w:hint="cs"/>
          <w:rtl/>
        </w:rPr>
        <w:t>אויר</w:t>
      </w:r>
      <w:proofErr w:type="spellEnd"/>
      <w:r>
        <w:rPr>
          <w:rFonts w:hint="cs"/>
          <w:rtl/>
        </w:rPr>
        <w:t>"</w:t>
      </w:r>
      <w:r w:rsidRPr="005316B5">
        <w:rPr>
          <w:rStyle w:val="a9"/>
          <w:rtl/>
        </w:rPr>
        <w:endnoteReference w:id="18"/>
      </w:r>
      <w:r>
        <w:rPr>
          <w:rFonts w:hint="cs"/>
          <w:rtl/>
        </w:rPr>
        <w:t xml:space="preserve"> </w:t>
      </w:r>
      <w:r>
        <w:rPr>
          <w:rtl/>
        </w:rPr>
        <w:t>–</w:t>
      </w:r>
      <w:r>
        <w:rPr>
          <w:rFonts w:hint="cs"/>
          <w:rtl/>
        </w:rPr>
        <w:t xml:space="preserve"> היא מגיעה ב"רצוא" עד ל"</w:t>
      </w:r>
      <w:r w:rsidRPr="00E84990">
        <w:rPr>
          <w:rStyle w:val="a5"/>
          <w:rFonts w:hint="cs"/>
          <w:rtl/>
        </w:rPr>
        <w:t>אוירא</w:t>
      </w:r>
      <w:r>
        <w:rPr>
          <w:rFonts w:hint="cs"/>
          <w:rtl/>
        </w:rPr>
        <w:t xml:space="preserve"> </w:t>
      </w:r>
      <w:proofErr w:type="spellStart"/>
      <w:r>
        <w:rPr>
          <w:rFonts w:hint="cs"/>
          <w:rtl/>
        </w:rPr>
        <w:t>דכיא</w:t>
      </w:r>
      <w:proofErr w:type="spellEnd"/>
      <w:r>
        <w:rPr>
          <w:rFonts w:hint="cs"/>
          <w:rtl/>
        </w:rPr>
        <w:t>" בו הנשמות קיימות בשרש אחד. בסוד "</w:t>
      </w:r>
      <w:r w:rsidRPr="00551A3E">
        <w:rPr>
          <w:rFonts w:hint="cs"/>
          <w:b/>
          <w:bCs/>
          <w:sz w:val="28"/>
          <w:szCs w:val="28"/>
          <w:rtl/>
        </w:rPr>
        <w:t>ג</w:t>
      </w:r>
      <w:r>
        <w:rPr>
          <w:rFonts w:hint="cs"/>
          <w:rtl/>
        </w:rPr>
        <w:t xml:space="preserve"> אמות </w:t>
      </w:r>
      <w:r w:rsidRPr="003B54DF">
        <w:rPr>
          <w:rFonts w:hint="cs"/>
          <w:b/>
          <w:bCs/>
          <w:sz w:val="28"/>
          <w:szCs w:val="28"/>
          <w:rtl/>
        </w:rPr>
        <w:t>אמש</w:t>
      </w:r>
      <w:r>
        <w:rPr>
          <w:rFonts w:hint="cs"/>
          <w:rtl/>
        </w:rPr>
        <w:t>" שבספר יצירה</w:t>
      </w:r>
      <w:r w:rsidRPr="005316B5">
        <w:rPr>
          <w:rStyle w:val="a9"/>
          <w:rtl/>
        </w:rPr>
        <w:endnoteReference w:id="19"/>
      </w:r>
      <w:r>
        <w:rPr>
          <w:rFonts w:hint="cs"/>
          <w:rtl/>
        </w:rPr>
        <w:t xml:space="preserve"> </w:t>
      </w:r>
      <w:proofErr w:type="spellStart"/>
      <w:r>
        <w:rPr>
          <w:rFonts w:hint="cs"/>
          <w:rtl/>
        </w:rPr>
        <w:t>ה</w:t>
      </w:r>
      <w:r w:rsidRPr="00551A3E">
        <w:rPr>
          <w:rFonts w:hint="cs"/>
          <w:b/>
          <w:bCs/>
          <w:sz w:val="28"/>
          <w:szCs w:val="28"/>
          <w:rtl/>
        </w:rPr>
        <w:t>א</w:t>
      </w:r>
      <w:r>
        <w:rPr>
          <w:rFonts w:hint="cs"/>
          <w:rtl/>
        </w:rPr>
        <w:t>ויר</w:t>
      </w:r>
      <w:proofErr w:type="spellEnd"/>
      <w:r>
        <w:rPr>
          <w:rFonts w:hint="cs"/>
          <w:rtl/>
        </w:rPr>
        <w:t xml:space="preserve"> הוא הכתר, ובו השרש הכולל כאחד את ה</w:t>
      </w:r>
      <w:r w:rsidRPr="00551A3E">
        <w:rPr>
          <w:rFonts w:hint="cs"/>
          <w:b/>
          <w:bCs/>
          <w:sz w:val="28"/>
          <w:szCs w:val="28"/>
          <w:rtl/>
        </w:rPr>
        <w:t>מ</w:t>
      </w:r>
      <w:r>
        <w:rPr>
          <w:rFonts w:hint="cs"/>
          <w:rtl/>
        </w:rPr>
        <w:t>ים-החכמה (שבסוד ה-</w:t>
      </w:r>
      <w:r w:rsidRPr="00156B8C">
        <w:rPr>
          <w:rFonts w:hint="cs"/>
          <w:b/>
          <w:bCs/>
          <w:sz w:val="28"/>
          <w:szCs w:val="28"/>
          <w:rtl/>
        </w:rPr>
        <w:t>י</w:t>
      </w:r>
      <w:r>
        <w:rPr>
          <w:rFonts w:hint="cs"/>
          <w:rtl/>
        </w:rPr>
        <w:t xml:space="preserve"> שבא</w:t>
      </w:r>
      <w:r w:rsidRPr="00156B8C">
        <w:rPr>
          <w:rFonts w:hint="cs"/>
          <w:b/>
          <w:bCs/>
          <w:sz w:val="28"/>
          <w:szCs w:val="28"/>
          <w:rtl/>
        </w:rPr>
        <w:t>י</w:t>
      </w:r>
      <w:r>
        <w:rPr>
          <w:rFonts w:hint="cs"/>
          <w:rtl/>
        </w:rPr>
        <w:t>ש) ואת הא</w:t>
      </w:r>
      <w:r w:rsidRPr="00551A3E">
        <w:rPr>
          <w:rFonts w:hint="cs"/>
          <w:b/>
          <w:bCs/>
          <w:sz w:val="28"/>
          <w:szCs w:val="28"/>
          <w:rtl/>
        </w:rPr>
        <w:t>ש</w:t>
      </w:r>
      <w:r>
        <w:rPr>
          <w:rFonts w:hint="cs"/>
          <w:rtl/>
        </w:rPr>
        <w:t>-הבינה (שבסוד ה-</w:t>
      </w:r>
      <w:r w:rsidRPr="00156B8C">
        <w:rPr>
          <w:rFonts w:hint="cs"/>
          <w:b/>
          <w:bCs/>
          <w:sz w:val="28"/>
          <w:szCs w:val="28"/>
          <w:rtl/>
        </w:rPr>
        <w:t>ה</w:t>
      </w:r>
      <w:r>
        <w:rPr>
          <w:rFonts w:hint="cs"/>
          <w:rtl/>
        </w:rPr>
        <w:t xml:space="preserve"> שבאש</w:t>
      </w:r>
      <w:r w:rsidRPr="00156B8C">
        <w:rPr>
          <w:rFonts w:hint="cs"/>
          <w:b/>
          <w:bCs/>
          <w:sz w:val="28"/>
          <w:szCs w:val="28"/>
          <w:rtl/>
        </w:rPr>
        <w:t>ה</w:t>
      </w:r>
      <w:r>
        <w:rPr>
          <w:rFonts w:hint="cs"/>
          <w:rtl/>
        </w:rPr>
        <w:t xml:space="preserve">). האיש </w:t>
      </w:r>
      <w:proofErr w:type="spellStart"/>
      <w:r>
        <w:rPr>
          <w:rFonts w:hint="cs"/>
          <w:rtl/>
        </w:rPr>
        <w:t>והאשה</w:t>
      </w:r>
      <w:proofErr w:type="spellEnd"/>
      <w:r>
        <w:rPr>
          <w:rFonts w:hint="cs"/>
          <w:rtl/>
        </w:rPr>
        <w:t xml:space="preserve"> כלולים יחד באות </w:t>
      </w:r>
      <w:r w:rsidRPr="00156B8C">
        <w:rPr>
          <w:rFonts w:hint="cs"/>
          <w:b/>
          <w:bCs/>
          <w:sz w:val="28"/>
          <w:szCs w:val="28"/>
          <w:rtl/>
        </w:rPr>
        <w:t>א</w:t>
      </w:r>
      <w:r>
        <w:rPr>
          <w:rFonts w:hint="cs"/>
          <w:rtl/>
        </w:rPr>
        <w:t xml:space="preserve"> </w:t>
      </w:r>
      <w:proofErr w:type="spellStart"/>
      <w:r>
        <w:rPr>
          <w:rFonts w:hint="cs"/>
          <w:rtl/>
        </w:rPr>
        <w:t>שב</w:t>
      </w:r>
      <w:r w:rsidRPr="00156B8C">
        <w:rPr>
          <w:rFonts w:hint="cs"/>
          <w:b/>
          <w:bCs/>
          <w:sz w:val="28"/>
          <w:szCs w:val="28"/>
          <w:rtl/>
        </w:rPr>
        <w:t>א</w:t>
      </w:r>
      <w:r>
        <w:rPr>
          <w:rFonts w:hint="cs"/>
          <w:rtl/>
        </w:rPr>
        <w:t>וירא</w:t>
      </w:r>
      <w:proofErr w:type="spellEnd"/>
      <w:r>
        <w:rPr>
          <w:rFonts w:hint="cs"/>
          <w:rtl/>
        </w:rPr>
        <w:t xml:space="preserve"> </w:t>
      </w:r>
      <w:r>
        <w:rPr>
          <w:rtl/>
        </w:rPr>
        <w:t>–</w:t>
      </w:r>
      <w:r>
        <w:rPr>
          <w:rFonts w:hint="cs"/>
          <w:rtl/>
        </w:rPr>
        <w:t xml:space="preserve"> האיש רמוז ב-</w:t>
      </w:r>
      <w:r w:rsidRPr="00156B8C">
        <w:rPr>
          <w:rFonts w:hint="cs"/>
          <w:b/>
          <w:bCs/>
          <w:sz w:val="28"/>
          <w:szCs w:val="28"/>
          <w:rtl/>
        </w:rPr>
        <w:t>י</w:t>
      </w:r>
      <w:r>
        <w:rPr>
          <w:rFonts w:hint="cs"/>
          <w:rtl/>
        </w:rPr>
        <w:t xml:space="preserve"> העליונה שבציור ה-</w:t>
      </w:r>
      <w:r w:rsidRPr="00156B8C">
        <w:rPr>
          <w:rFonts w:hint="cs"/>
          <w:b/>
          <w:bCs/>
          <w:sz w:val="28"/>
          <w:szCs w:val="28"/>
          <w:rtl/>
        </w:rPr>
        <w:t>א</w:t>
      </w:r>
      <w:r>
        <w:rPr>
          <w:rFonts w:hint="cs"/>
          <w:rtl/>
        </w:rPr>
        <w:t xml:space="preserve">, </w:t>
      </w:r>
      <w:proofErr w:type="spellStart"/>
      <w:r>
        <w:rPr>
          <w:rFonts w:hint="cs"/>
          <w:rtl/>
        </w:rPr>
        <w:t>והאשה</w:t>
      </w:r>
      <w:proofErr w:type="spellEnd"/>
      <w:r>
        <w:rPr>
          <w:rFonts w:hint="cs"/>
          <w:rtl/>
        </w:rPr>
        <w:t xml:space="preserve"> רמוזה ב-</w:t>
      </w:r>
      <w:r w:rsidRPr="00156B8C">
        <w:rPr>
          <w:rFonts w:hint="cs"/>
          <w:b/>
          <w:bCs/>
          <w:sz w:val="28"/>
          <w:szCs w:val="28"/>
          <w:rtl/>
        </w:rPr>
        <w:t>י</w:t>
      </w:r>
      <w:r>
        <w:rPr>
          <w:rFonts w:hint="cs"/>
          <w:rtl/>
        </w:rPr>
        <w:t xml:space="preserve"> התחתונה בציור זה. "התגלות </w:t>
      </w:r>
      <w:proofErr w:type="spellStart"/>
      <w:r>
        <w:rPr>
          <w:rFonts w:hint="cs"/>
          <w:rtl/>
        </w:rPr>
        <w:t>עתיקא</w:t>
      </w:r>
      <w:proofErr w:type="spellEnd"/>
      <w:r>
        <w:rPr>
          <w:rFonts w:hint="cs"/>
          <w:rtl/>
        </w:rPr>
        <w:t xml:space="preserve"> בבינה"</w:t>
      </w:r>
      <w:r w:rsidRPr="005316B5">
        <w:rPr>
          <w:rStyle w:val="a9"/>
          <w:rtl/>
        </w:rPr>
        <w:endnoteReference w:id="20"/>
      </w:r>
      <w:r>
        <w:rPr>
          <w:rFonts w:hint="cs"/>
          <w:rtl/>
        </w:rPr>
        <w:t xml:space="preserve"> </w:t>
      </w:r>
      <w:r>
        <w:rPr>
          <w:rtl/>
        </w:rPr>
        <w:t>–</w:t>
      </w:r>
      <w:r>
        <w:rPr>
          <w:rFonts w:hint="cs"/>
          <w:rtl/>
        </w:rPr>
        <w:t xml:space="preserve"> ה-</w:t>
      </w:r>
      <w:r w:rsidRPr="00156B8C">
        <w:rPr>
          <w:rFonts w:hint="cs"/>
          <w:b/>
          <w:bCs/>
          <w:sz w:val="28"/>
          <w:szCs w:val="28"/>
          <w:rtl/>
        </w:rPr>
        <w:t>ל</w:t>
      </w:r>
      <w:r>
        <w:rPr>
          <w:rFonts w:hint="cs"/>
          <w:rtl/>
        </w:rPr>
        <w:t xml:space="preserve"> של "בינה לבא" שואפת לעלות אל הכתר, והשרש המשותף שבכתר מתגלה דווקא במדרגה הבינה (וכאשר </w:t>
      </w:r>
      <w:r w:rsidRPr="00156B8C">
        <w:rPr>
          <w:rFonts w:hint="cs"/>
          <w:b/>
          <w:bCs/>
          <w:sz w:val="28"/>
          <w:szCs w:val="28"/>
          <w:rtl/>
        </w:rPr>
        <w:t>א</w:t>
      </w:r>
      <w:r>
        <w:rPr>
          <w:rFonts w:hint="cs"/>
          <w:rtl/>
        </w:rPr>
        <w:t xml:space="preserve"> הכתר מתגלה ב"</w:t>
      </w:r>
      <w:r w:rsidRPr="00156B8C">
        <w:rPr>
          <w:rFonts w:hint="cs"/>
          <w:b/>
          <w:bCs/>
          <w:sz w:val="28"/>
          <w:szCs w:val="28"/>
          <w:rtl/>
        </w:rPr>
        <w:t>בינה</w:t>
      </w:r>
      <w:r>
        <w:rPr>
          <w:rFonts w:hint="cs"/>
          <w:rtl/>
        </w:rPr>
        <w:t xml:space="preserve"> יתרה באשה יותר מבאיש"</w:t>
      </w:r>
      <w:r w:rsidRPr="005316B5">
        <w:rPr>
          <w:rStyle w:val="a9"/>
          <w:rtl/>
        </w:rPr>
        <w:endnoteReference w:id="21"/>
      </w:r>
      <w:r>
        <w:rPr>
          <w:rFonts w:hint="cs"/>
          <w:rtl/>
        </w:rPr>
        <w:t xml:space="preserve"> הופכת היא ל</w:t>
      </w:r>
      <w:r w:rsidRPr="00156B8C">
        <w:rPr>
          <w:rFonts w:hint="cs"/>
          <w:b/>
          <w:bCs/>
          <w:sz w:val="28"/>
          <w:szCs w:val="28"/>
          <w:rtl/>
        </w:rPr>
        <w:t>נביאה</w:t>
      </w:r>
      <w:r>
        <w:rPr>
          <w:rFonts w:hint="cs"/>
          <w:rtl/>
        </w:rPr>
        <w:t xml:space="preserve">, הרואה בבירור את השרש </w:t>
      </w:r>
      <w:proofErr w:type="spellStart"/>
      <w:r>
        <w:rPr>
          <w:rFonts w:hint="cs"/>
          <w:rtl/>
        </w:rPr>
        <w:t>האלקי</w:t>
      </w:r>
      <w:proofErr w:type="spellEnd"/>
      <w:r>
        <w:rPr>
          <w:rFonts w:hint="cs"/>
          <w:rtl/>
        </w:rPr>
        <w:t xml:space="preserve"> המשותף וממשיכה ממנו חיים והשראה לחיי הנישואין.]</w:t>
      </w:r>
    </w:p>
    <w:p w:rsidR="00494D8C" w:rsidRDefault="00494D8C" w:rsidP="00494D8C">
      <w:pPr>
        <w:rPr>
          <w:rFonts w:hint="cs"/>
          <w:rtl/>
        </w:rPr>
      </w:pPr>
      <w:r>
        <w:rPr>
          <w:rFonts w:hint="cs"/>
          <w:b/>
          <w:bCs/>
          <w:sz w:val="30"/>
          <w:szCs w:val="28"/>
          <w:rtl/>
        </w:rPr>
        <w:t>ו</w:t>
      </w:r>
      <w:r>
        <w:rPr>
          <w:rFonts w:hint="cs"/>
          <w:rtl/>
        </w:rPr>
        <w:t xml:space="preserve"> </w:t>
      </w:r>
      <w:r>
        <w:rPr>
          <w:rFonts w:hint="eastAsia"/>
          <w:rtl/>
        </w:rPr>
        <w:t xml:space="preserve">– </w:t>
      </w:r>
      <w:r>
        <w:rPr>
          <w:rtl/>
        </w:rPr>
        <w:t>רגישות</w:t>
      </w:r>
      <w:r>
        <w:rPr>
          <w:rFonts w:hint="cs"/>
          <w:rtl/>
        </w:rPr>
        <w:t xml:space="preserve">: שימת </w:t>
      </w:r>
      <w:proofErr w:type="spellStart"/>
      <w:r>
        <w:rPr>
          <w:rFonts w:hint="cs"/>
          <w:rtl/>
        </w:rPr>
        <w:t>הידים</w:t>
      </w:r>
      <w:proofErr w:type="spellEnd"/>
      <w:r>
        <w:rPr>
          <w:rFonts w:hint="cs"/>
          <w:rtl/>
        </w:rPr>
        <w:t xml:space="preserve"> על הלב, במעין 'מדידת דופק'</w:t>
      </w:r>
      <w:r w:rsidRPr="005316B5">
        <w:rPr>
          <w:rStyle w:val="a9"/>
          <w:rtl/>
        </w:rPr>
        <w:endnoteReference w:id="22"/>
      </w:r>
      <w:r>
        <w:rPr>
          <w:rFonts w:hint="cs"/>
          <w:rtl/>
        </w:rPr>
        <w:t>, מבטאת את הרגישות הלבבית לקצב של בן הזוג בזיווג</w:t>
      </w:r>
      <w:r w:rsidRPr="005316B5">
        <w:rPr>
          <w:rStyle w:val="a9"/>
          <w:rtl/>
        </w:rPr>
        <w:endnoteReference w:id="23"/>
      </w:r>
      <w:r>
        <w:rPr>
          <w:rFonts w:hint="cs"/>
          <w:rtl/>
        </w:rPr>
        <w:t xml:space="preserve"> (בניגוד גמור לשימת </w:t>
      </w:r>
      <w:proofErr w:type="spellStart"/>
      <w:r>
        <w:rPr>
          <w:rFonts w:hint="cs"/>
          <w:rtl/>
        </w:rPr>
        <w:t>הידים</w:t>
      </w:r>
      <w:proofErr w:type="spellEnd"/>
      <w:r>
        <w:rPr>
          <w:rFonts w:hint="cs"/>
          <w:rtl/>
        </w:rPr>
        <w:t xml:space="preserve"> על החלציים, המבטאת התמכרות להנאה הפיזית של האדם עצמו מהזיווג). </w:t>
      </w:r>
      <w:proofErr w:type="spellStart"/>
      <w:r>
        <w:rPr>
          <w:rFonts w:hint="cs"/>
          <w:rtl/>
        </w:rPr>
        <w:t>הידים</w:t>
      </w:r>
      <w:proofErr w:type="spellEnd"/>
      <w:r>
        <w:rPr>
          <w:rFonts w:hint="cs"/>
          <w:rtl/>
        </w:rPr>
        <w:t xml:space="preserve"> מקבילות לאהבה ויראה, שהן השרש לכל מדות הלב. תיקון מדות הלב הוא בשני המאפיינים של תנוחת </w:t>
      </w:r>
      <w:proofErr w:type="spellStart"/>
      <w:r>
        <w:rPr>
          <w:rFonts w:hint="cs"/>
          <w:rtl/>
        </w:rPr>
        <w:t>הידים</w:t>
      </w:r>
      <w:proofErr w:type="spellEnd"/>
      <w:r>
        <w:rPr>
          <w:rFonts w:hint="cs"/>
          <w:rtl/>
        </w:rPr>
        <w:t xml:space="preserve"> </w:t>
      </w:r>
      <w:r>
        <w:rPr>
          <w:rtl/>
        </w:rPr>
        <w:t>–</w:t>
      </w:r>
      <w:r>
        <w:rPr>
          <w:rFonts w:hint="cs"/>
          <w:rtl/>
        </w:rPr>
        <w:t xml:space="preserve"> "… </w:t>
      </w:r>
      <w:proofErr w:type="spellStart"/>
      <w:r>
        <w:rPr>
          <w:rFonts w:hint="cs"/>
          <w:rtl/>
        </w:rPr>
        <w:t>כפותין</w:t>
      </w:r>
      <w:proofErr w:type="spellEnd"/>
      <w:r>
        <w:rPr>
          <w:rFonts w:hint="cs"/>
          <w:rtl/>
        </w:rPr>
        <w:t xml:space="preserve"> הימנית על השמאלית, ועומד כעבד לפני רבו". העמידה כעבד לפני רבו היא ההכנעה הדרושה על מנת שהאדם לא יתמכר להרגשותיו שלו באופן של "יש מי שאוהב". הגברת הימין על השמאל היא</w:t>
      </w:r>
      <w:r>
        <w:rPr>
          <w:rFonts w:hint="eastAsia"/>
          <w:rtl/>
        </w:rPr>
        <w:t xml:space="preserve"> הגברת האהבה והרצון </w:t>
      </w:r>
      <w:r>
        <w:rPr>
          <w:rFonts w:hint="cs"/>
          <w:rtl/>
        </w:rPr>
        <w:t xml:space="preserve">לנתינה על הגבורה והמדידה של הזולת בדין (ואז הופך השמאל-הכנוע-לימין עצמו </w:t>
      </w:r>
      <w:proofErr w:type="spellStart"/>
      <w:r>
        <w:rPr>
          <w:rFonts w:hint="cs"/>
          <w:rtl/>
        </w:rPr>
        <w:t>לכח</w:t>
      </w:r>
      <w:proofErr w:type="spellEnd"/>
      <w:r>
        <w:rPr>
          <w:rFonts w:hint="cs"/>
          <w:rtl/>
        </w:rPr>
        <w:t xml:space="preserve"> מדידה שכל ענינו רגישות לבן הזוג וצרכיו). </w:t>
      </w:r>
      <w:r>
        <w:rPr>
          <w:rFonts w:hint="eastAsia"/>
          <w:rtl/>
        </w:rPr>
        <w:t xml:space="preserve">תיקון </w:t>
      </w:r>
      <w:r>
        <w:rPr>
          <w:rFonts w:hint="cs"/>
          <w:rtl/>
        </w:rPr>
        <w:t xml:space="preserve">כזה של </w:t>
      </w:r>
      <w:r>
        <w:rPr>
          <w:rFonts w:hint="eastAsia"/>
          <w:rtl/>
        </w:rPr>
        <w:t xml:space="preserve">מדות </w:t>
      </w:r>
      <w:r>
        <w:rPr>
          <w:rFonts w:hint="cs"/>
          <w:rtl/>
        </w:rPr>
        <w:t xml:space="preserve">הלב </w:t>
      </w:r>
      <w:r>
        <w:rPr>
          <w:rFonts w:hint="eastAsia"/>
          <w:rtl/>
        </w:rPr>
        <w:t xml:space="preserve">הוא המאפשר את הרגישות </w:t>
      </w:r>
      <w:r>
        <w:rPr>
          <w:rFonts w:hint="cs"/>
          <w:rtl/>
        </w:rPr>
        <w:t xml:space="preserve">לזולת </w:t>
      </w:r>
      <w:r>
        <w:rPr>
          <w:rFonts w:hint="eastAsia"/>
          <w:rtl/>
        </w:rPr>
        <w:t xml:space="preserve">וההתאמה </w:t>
      </w:r>
      <w:r>
        <w:rPr>
          <w:rFonts w:hint="cs"/>
          <w:rtl/>
        </w:rPr>
        <w:t xml:space="preserve">אליו </w:t>
      </w:r>
      <w:r>
        <w:rPr>
          <w:rFonts w:hint="eastAsia"/>
          <w:rtl/>
        </w:rPr>
        <w:t>הנחוצה</w:t>
      </w:r>
      <w:r>
        <w:rPr>
          <w:rFonts w:hint="cs"/>
          <w:rtl/>
        </w:rPr>
        <w:t xml:space="preserve"> בזיווג.</w:t>
      </w:r>
    </w:p>
    <w:p w:rsidR="00494D8C" w:rsidRDefault="00494D8C" w:rsidP="00494D8C">
      <w:pPr>
        <w:rPr>
          <w:rFonts w:hint="cs"/>
          <w:rtl/>
        </w:rPr>
      </w:pPr>
      <w:r>
        <w:rPr>
          <w:rFonts w:hint="cs"/>
          <w:b/>
          <w:bCs/>
          <w:sz w:val="30"/>
          <w:szCs w:val="28"/>
          <w:rtl/>
        </w:rPr>
        <w:t>ה</w:t>
      </w:r>
      <w:r>
        <w:rPr>
          <w:rFonts w:hint="cs"/>
          <w:rtl/>
        </w:rPr>
        <w:t xml:space="preserve"> </w:t>
      </w:r>
      <w:r>
        <w:rPr>
          <w:rFonts w:hint="eastAsia"/>
          <w:rtl/>
        </w:rPr>
        <w:t xml:space="preserve">– </w:t>
      </w:r>
      <w:r>
        <w:rPr>
          <w:rtl/>
        </w:rPr>
        <w:t>צניעות</w:t>
      </w:r>
      <w:r>
        <w:rPr>
          <w:rFonts w:hint="cs"/>
          <w:rtl/>
        </w:rPr>
        <w:t xml:space="preserve">: "לכוון את </w:t>
      </w:r>
      <w:r w:rsidRPr="00E84990">
        <w:rPr>
          <w:rStyle w:val="a5"/>
          <w:rFonts w:hint="cs"/>
          <w:rtl/>
        </w:rPr>
        <w:t>רגליו</w:t>
      </w:r>
      <w:r>
        <w:rPr>
          <w:rFonts w:hint="cs"/>
          <w:rtl/>
        </w:rPr>
        <w:t xml:space="preserve"> זו בצד זו" היינו כיוון </w:t>
      </w:r>
      <w:proofErr w:type="spellStart"/>
      <w:r>
        <w:rPr>
          <w:rFonts w:hint="cs"/>
          <w:rtl/>
        </w:rPr>
        <w:t>וישור</w:t>
      </w:r>
      <w:proofErr w:type="spellEnd"/>
      <w:r>
        <w:rPr>
          <w:rFonts w:hint="cs"/>
          <w:rtl/>
        </w:rPr>
        <w:t xml:space="preserve"> ה</w:t>
      </w:r>
      <w:r w:rsidRPr="00E84990">
        <w:rPr>
          <w:rStyle w:val="a5"/>
          <w:rFonts w:hint="cs"/>
          <w:rtl/>
        </w:rPr>
        <w:t>הרגלים</w:t>
      </w:r>
      <w:r>
        <w:rPr>
          <w:rFonts w:hint="cs"/>
          <w:rtl/>
        </w:rPr>
        <w:t xml:space="preserve"> הטובים המעשיים של בני הזוג. </w:t>
      </w:r>
      <w:proofErr w:type="spellStart"/>
      <w:r>
        <w:rPr>
          <w:rFonts w:hint="cs"/>
          <w:rtl/>
        </w:rPr>
        <w:t>ישור</w:t>
      </w:r>
      <w:proofErr w:type="spellEnd"/>
      <w:r>
        <w:rPr>
          <w:rFonts w:hint="cs"/>
          <w:rtl/>
        </w:rPr>
        <w:t xml:space="preserve"> הרגלים הוא כדי להתדמות למלאכים, בהם נאמר "רגליהם רגל ישרה"</w:t>
      </w:r>
      <w:r w:rsidRPr="005316B5">
        <w:rPr>
          <w:rStyle w:val="a9"/>
          <w:rtl/>
        </w:rPr>
        <w:endnoteReference w:id="24"/>
      </w:r>
      <w:r>
        <w:rPr>
          <w:rFonts w:hint="cs"/>
          <w:rtl/>
        </w:rPr>
        <w:t xml:space="preserve">. בזיווג </w:t>
      </w:r>
      <w:proofErr w:type="spellStart"/>
      <w:r>
        <w:rPr>
          <w:rFonts w:hint="cs"/>
          <w:rtl/>
        </w:rPr>
        <w:t>תקון</w:t>
      </w:r>
      <w:proofErr w:type="spellEnd"/>
      <w:r>
        <w:rPr>
          <w:rFonts w:hint="cs"/>
          <w:rtl/>
        </w:rPr>
        <w:t xml:space="preserve"> הרגליים היינו בעיקר צניעות הזיווג </w:t>
      </w:r>
      <w:r>
        <w:rPr>
          <w:rtl/>
        </w:rPr>
        <w:t>–</w:t>
      </w:r>
      <w:r>
        <w:rPr>
          <w:rFonts w:hint="cs"/>
          <w:rtl/>
        </w:rPr>
        <w:t xml:space="preserve"> סוד "</w:t>
      </w:r>
      <w:proofErr w:type="spellStart"/>
      <w:r>
        <w:rPr>
          <w:rFonts w:hint="cs"/>
          <w:rtl/>
        </w:rPr>
        <w:t>בשתים</w:t>
      </w:r>
      <w:proofErr w:type="spellEnd"/>
      <w:r>
        <w:rPr>
          <w:rFonts w:hint="cs"/>
          <w:rtl/>
        </w:rPr>
        <w:t xml:space="preserve"> יכסה רגליו"</w:t>
      </w:r>
      <w:r w:rsidRPr="005316B5">
        <w:rPr>
          <w:rStyle w:val="a9"/>
          <w:rtl/>
        </w:rPr>
        <w:endnoteReference w:id="25"/>
      </w:r>
      <w:r>
        <w:rPr>
          <w:rFonts w:hint="cs"/>
          <w:rtl/>
        </w:rPr>
        <w:t xml:space="preserve"> האמור במלאכים</w:t>
      </w:r>
      <w:r w:rsidRPr="005316B5">
        <w:rPr>
          <w:rStyle w:val="a9"/>
          <w:rtl/>
        </w:rPr>
        <w:endnoteReference w:id="26"/>
      </w:r>
      <w:r>
        <w:rPr>
          <w:rFonts w:hint="cs"/>
          <w:rtl/>
        </w:rPr>
        <w:t xml:space="preserve">. </w:t>
      </w:r>
    </w:p>
    <w:p w:rsidR="00494D8C" w:rsidRDefault="00494D8C" w:rsidP="00494D8C">
      <w:pPr>
        <w:rPr>
          <w:rFonts w:hint="cs"/>
          <w:rtl/>
        </w:rPr>
      </w:pPr>
      <w:r>
        <w:rPr>
          <w:rFonts w:hint="cs"/>
          <w:rtl/>
        </w:rPr>
        <w:t xml:space="preserve">[ועוד, ה"רגל ישרה" של המלאכים </w:t>
      </w:r>
      <w:r>
        <w:rPr>
          <w:rFonts w:hint="eastAsia"/>
          <w:rtl/>
        </w:rPr>
        <w:t xml:space="preserve">– הנעדרת ברכיים </w:t>
      </w:r>
      <w:r>
        <w:rPr>
          <w:rFonts w:hint="cs"/>
          <w:rtl/>
        </w:rPr>
        <w:t>("</w:t>
      </w:r>
      <w:proofErr w:type="spellStart"/>
      <w:r>
        <w:rPr>
          <w:rFonts w:hint="cs"/>
          <w:rtl/>
        </w:rPr>
        <w:t>קפיצין</w:t>
      </w:r>
      <w:proofErr w:type="spellEnd"/>
      <w:r>
        <w:rPr>
          <w:rFonts w:hint="cs"/>
          <w:rtl/>
        </w:rPr>
        <w:t>" בלשון חז"ל</w:t>
      </w:r>
      <w:r w:rsidRPr="005316B5">
        <w:rPr>
          <w:rStyle w:val="a9"/>
          <w:rtl/>
        </w:rPr>
        <w:endnoteReference w:id="27"/>
      </w:r>
      <w:r>
        <w:rPr>
          <w:rFonts w:hint="cs"/>
          <w:rtl/>
        </w:rPr>
        <w:t xml:space="preserve">) </w:t>
      </w:r>
      <w:r>
        <w:rPr>
          <w:rFonts w:hint="eastAsia"/>
          <w:rtl/>
        </w:rPr>
        <w:t xml:space="preserve">– </w:t>
      </w:r>
      <w:r>
        <w:rPr>
          <w:rFonts w:hint="cs"/>
          <w:rtl/>
        </w:rPr>
        <w:t>מלמדת שאין ישיבה לפני ה'</w:t>
      </w:r>
      <w:r w:rsidRPr="005316B5">
        <w:rPr>
          <w:rStyle w:val="a9"/>
          <w:rtl/>
        </w:rPr>
        <w:endnoteReference w:id="28"/>
      </w:r>
      <w:r>
        <w:rPr>
          <w:rFonts w:hint="cs"/>
          <w:rtl/>
        </w:rPr>
        <w:t>. בחסידות</w:t>
      </w:r>
      <w:r w:rsidRPr="005316B5">
        <w:rPr>
          <w:rStyle w:val="a9"/>
          <w:rtl/>
        </w:rPr>
        <w:endnoteReference w:id="29"/>
      </w:r>
      <w:r>
        <w:rPr>
          <w:rFonts w:hint="cs"/>
          <w:rtl/>
        </w:rPr>
        <w:t xml:space="preserve"> מבואר כי ישיבה היינו כפיפת הראש-המוחין כלפי מטה והגבהת הרגלים-המעשים כלפי מעלה, ואם כן הדגשת העמידה בהקשר של הזיווג מלמדת שאין להשקיע את המוחין במעשה זה מחד (</w:t>
      </w:r>
      <w:r>
        <w:rPr>
          <w:rFonts w:hint="eastAsia"/>
          <w:rtl/>
        </w:rPr>
        <w:t>ועל דרך הפתגם החסידי</w:t>
      </w:r>
      <w:r w:rsidRPr="005316B5">
        <w:rPr>
          <w:rStyle w:val="a9"/>
          <w:rtl/>
        </w:rPr>
        <w:endnoteReference w:id="30"/>
      </w:r>
      <w:r>
        <w:rPr>
          <w:rFonts w:hint="cs"/>
          <w:rtl/>
        </w:rPr>
        <w:t>, בסוד "יגיע כפיך [</w:t>
      </w:r>
      <w:r>
        <w:rPr>
          <w:rFonts w:hint="eastAsia"/>
          <w:rtl/>
        </w:rPr>
        <w:t xml:space="preserve">– </w:t>
      </w:r>
      <w:r>
        <w:rPr>
          <w:rFonts w:hint="cs"/>
          <w:rtl/>
        </w:rPr>
        <w:t>ולא יגיעת מוחך</w:t>
      </w:r>
      <w:r w:rsidRPr="005316B5">
        <w:rPr>
          <w:rStyle w:val="a9"/>
          <w:rtl/>
        </w:rPr>
        <w:endnoteReference w:id="31"/>
      </w:r>
      <w:r>
        <w:rPr>
          <w:rFonts w:hint="cs"/>
          <w:rtl/>
        </w:rPr>
        <w:t>] כי תאכל"</w:t>
      </w:r>
      <w:r w:rsidRPr="005316B5">
        <w:rPr>
          <w:rStyle w:val="a9"/>
          <w:rtl/>
        </w:rPr>
        <w:endnoteReference w:id="32"/>
      </w:r>
      <w:r>
        <w:rPr>
          <w:rFonts w:hint="cs"/>
          <w:rtl/>
        </w:rPr>
        <w:t xml:space="preserve">, </w:t>
      </w:r>
      <w:r>
        <w:rPr>
          <w:rFonts w:hint="eastAsia"/>
          <w:rtl/>
        </w:rPr>
        <w:t>ש</w:t>
      </w:r>
      <w:r>
        <w:rPr>
          <w:rFonts w:hint="cs"/>
          <w:rtl/>
        </w:rPr>
        <w:t>"</w:t>
      </w:r>
      <w:r>
        <w:rPr>
          <w:rFonts w:hint="eastAsia"/>
          <w:rtl/>
        </w:rPr>
        <w:t>אין להכניס את הראש בערדליים</w:t>
      </w:r>
      <w:r>
        <w:rPr>
          <w:rFonts w:hint="cs"/>
          <w:rtl/>
        </w:rPr>
        <w:t>"),</w:t>
      </w:r>
      <w:r>
        <w:rPr>
          <w:rFonts w:hint="eastAsia"/>
          <w:rtl/>
        </w:rPr>
        <w:t xml:space="preserve"> </w:t>
      </w:r>
      <w:proofErr w:type="spellStart"/>
      <w:r>
        <w:rPr>
          <w:rFonts w:hint="cs"/>
          <w:rtl/>
        </w:rPr>
        <w:t>ולאידך</w:t>
      </w:r>
      <w:proofErr w:type="spellEnd"/>
      <w:r>
        <w:rPr>
          <w:rFonts w:hint="cs"/>
          <w:rtl/>
        </w:rPr>
        <w:t xml:space="preserve"> שעל הרגליים להיות נטועות היטב בקרקע באופן מעשי ומתוקן (ואף על פי כן אין נעלים ברגלי המלאכים, כדי שהעמידה היציבה על הקרקע לא תהפוך לשקיעה-נעילה בגשמיות, ועל כן צווי הפרישה מהגשמיות מנוסח בתורה בלשון "של נעליך מעל רגליך"</w:t>
      </w:r>
      <w:r w:rsidRPr="005316B5">
        <w:rPr>
          <w:rStyle w:val="a9"/>
          <w:rtl/>
        </w:rPr>
        <w:endnoteReference w:id="33"/>
      </w:r>
      <w:r>
        <w:rPr>
          <w:rFonts w:hint="cs"/>
          <w:rtl/>
        </w:rPr>
        <w:t xml:space="preserve">). אי כפיפת הרגליים מסמלת גם אי נכונות להשתחוות </w:t>
      </w:r>
      <w:r>
        <w:rPr>
          <w:rFonts w:hint="eastAsia"/>
          <w:rtl/>
        </w:rPr>
        <w:t xml:space="preserve">– עד שהיו צדיקים </w:t>
      </w:r>
      <w:r>
        <w:rPr>
          <w:rFonts w:hint="cs"/>
          <w:rtl/>
        </w:rPr>
        <w:t xml:space="preserve">(כדוגמת רבי חיים </w:t>
      </w:r>
      <w:proofErr w:type="spellStart"/>
      <w:r>
        <w:rPr>
          <w:rFonts w:hint="cs"/>
          <w:rtl/>
        </w:rPr>
        <w:t>מצאנז</w:t>
      </w:r>
      <w:proofErr w:type="spellEnd"/>
      <w:r>
        <w:rPr>
          <w:rFonts w:hint="cs"/>
          <w:rtl/>
        </w:rPr>
        <w:t xml:space="preserve">, בעל ה"דברי חיים", ורבי מרדכי </w:t>
      </w:r>
      <w:proofErr w:type="spellStart"/>
      <w:r>
        <w:rPr>
          <w:rFonts w:hint="cs"/>
          <w:rtl/>
        </w:rPr>
        <w:t>מקרעמניץ</w:t>
      </w:r>
      <w:proofErr w:type="spellEnd"/>
      <w:r>
        <w:rPr>
          <w:rFonts w:hint="cs"/>
          <w:rtl/>
        </w:rPr>
        <w:t xml:space="preserve">) שהקפידו שלא לכופף לעולם את ברכיהם, מחוץ </w:t>
      </w:r>
      <w:proofErr w:type="spellStart"/>
      <w:r>
        <w:rPr>
          <w:rFonts w:hint="cs"/>
          <w:rtl/>
        </w:rPr>
        <w:t>להשתחוואות</w:t>
      </w:r>
      <w:proofErr w:type="spellEnd"/>
      <w:r>
        <w:rPr>
          <w:rFonts w:hint="cs"/>
          <w:rtl/>
        </w:rPr>
        <w:t xml:space="preserve"> בתפלה </w:t>
      </w:r>
      <w:r>
        <w:rPr>
          <w:rFonts w:hint="eastAsia"/>
          <w:rtl/>
        </w:rPr>
        <w:t xml:space="preserve">– </w:t>
      </w:r>
      <w:r>
        <w:rPr>
          <w:rFonts w:hint="cs"/>
          <w:rtl/>
        </w:rPr>
        <w:t xml:space="preserve">והיינו שמירת האדם מהשפלת עצמו הגורמת לו </w:t>
      </w:r>
      <w:proofErr w:type="spellStart"/>
      <w:r>
        <w:rPr>
          <w:rFonts w:hint="cs"/>
          <w:rtl/>
        </w:rPr>
        <w:t>להכנע</w:t>
      </w:r>
      <w:proofErr w:type="spellEnd"/>
      <w:r>
        <w:rPr>
          <w:rFonts w:hint="cs"/>
          <w:rtl/>
        </w:rPr>
        <w:t xml:space="preserve"> לתאוותיו ולהמשיך בכך חיות לחיצונים</w:t>
      </w:r>
      <w:r w:rsidRPr="005316B5">
        <w:rPr>
          <w:rStyle w:val="a9"/>
          <w:rtl/>
        </w:rPr>
        <w:endnoteReference w:id="34"/>
      </w:r>
      <w:r>
        <w:rPr>
          <w:rFonts w:hint="cs"/>
          <w:rtl/>
        </w:rPr>
        <w:t>].</w:t>
      </w:r>
    </w:p>
    <w:p w:rsidR="00494D8C" w:rsidRDefault="00494D8C" w:rsidP="00494D8C">
      <w:pPr>
        <w:rPr>
          <w:rFonts w:hint="cs"/>
          <w:rtl/>
        </w:rPr>
      </w:pPr>
      <w:r>
        <w:rPr>
          <w:rtl/>
        </w:rPr>
        <w:lastRenderedPageBreak/>
        <w:t xml:space="preserve">סדר הצירוף </w:t>
      </w:r>
      <w:r>
        <w:rPr>
          <w:rFonts w:hint="cs"/>
          <w:rtl/>
        </w:rPr>
        <w:t xml:space="preserve">בדברי הרמב"ם </w:t>
      </w:r>
      <w:r>
        <w:rPr>
          <w:rtl/>
        </w:rPr>
        <w:t xml:space="preserve">– </w:t>
      </w:r>
      <w:proofErr w:type="spellStart"/>
      <w:r>
        <w:rPr>
          <w:b/>
          <w:bCs/>
          <w:sz w:val="28"/>
          <w:szCs w:val="28"/>
          <w:rtl/>
        </w:rPr>
        <w:t>היהו</w:t>
      </w:r>
      <w:proofErr w:type="spellEnd"/>
      <w:r>
        <w:rPr>
          <w:rtl/>
        </w:rPr>
        <w:t xml:space="preserve"> – מלמד כי הסדר הנכון של מדרגות אלו הוא צניעות-תכלית-דבקות-רגישות, כאשר כל מדרגה מכינה את זו הבאה אחריה: בלי הקדמת ה</w:t>
      </w:r>
      <w:r w:rsidRPr="00E84990">
        <w:rPr>
          <w:rStyle w:val="a5"/>
          <w:rtl/>
        </w:rPr>
        <w:t>צניעות</w:t>
      </w:r>
      <w:r>
        <w:rPr>
          <w:rtl/>
        </w:rPr>
        <w:t xml:space="preserve"> הדרושה, המעדנת את בני הזוג ומשרה עליהם תחושת יראת שמים </w:t>
      </w:r>
      <w:proofErr w:type="spellStart"/>
      <w:r>
        <w:rPr>
          <w:rtl/>
        </w:rPr>
        <w:t>וזכרון</w:t>
      </w:r>
      <w:proofErr w:type="spellEnd"/>
      <w:r>
        <w:rPr>
          <w:rtl/>
        </w:rPr>
        <w:t xml:space="preserve"> מה שלמעלה מהם, אין הם יכולים לזכור את ה</w:t>
      </w:r>
      <w:r w:rsidRPr="00E84990">
        <w:rPr>
          <w:rStyle w:val="a5"/>
          <w:rtl/>
        </w:rPr>
        <w:t>תכלית</w:t>
      </w:r>
      <w:r>
        <w:rPr>
          <w:rtl/>
        </w:rPr>
        <w:t xml:space="preserve"> הרצויה של הזיווג ולחוש בה. רק מתוך </w:t>
      </w:r>
      <w:proofErr w:type="spellStart"/>
      <w:r>
        <w:rPr>
          <w:rtl/>
        </w:rPr>
        <w:t>זכרון</w:t>
      </w:r>
      <w:proofErr w:type="spellEnd"/>
      <w:r>
        <w:rPr>
          <w:rtl/>
        </w:rPr>
        <w:t xml:space="preserve"> ה</w:t>
      </w:r>
      <w:r w:rsidRPr="00E84990">
        <w:rPr>
          <w:rStyle w:val="a5"/>
          <w:rtl/>
        </w:rPr>
        <w:t>תכלית</w:t>
      </w:r>
      <w:r>
        <w:rPr>
          <w:rtl/>
        </w:rPr>
        <w:t xml:space="preserve"> מתרוממים מעל המגע המקומי הנמוך וזוכים ל</w:t>
      </w:r>
      <w:r w:rsidRPr="00E84990">
        <w:rPr>
          <w:rStyle w:val="a5"/>
          <w:rtl/>
        </w:rPr>
        <w:t>דבקות</w:t>
      </w:r>
      <w:r>
        <w:rPr>
          <w:rtl/>
        </w:rPr>
        <w:t xml:space="preserve"> </w:t>
      </w:r>
      <w:proofErr w:type="spellStart"/>
      <w:r>
        <w:rPr>
          <w:rtl/>
        </w:rPr>
        <w:t>אמיתית</w:t>
      </w:r>
      <w:proofErr w:type="spellEnd"/>
      <w:r>
        <w:rPr>
          <w:rtl/>
        </w:rPr>
        <w:t xml:space="preserve">, שיש בה גם </w:t>
      </w:r>
      <w:proofErr w:type="spellStart"/>
      <w:r>
        <w:rPr>
          <w:rtl/>
        </w:rPr>
        <w:t>זכרון</w:t>
      </w:r>
      <w:proofErr w:type="spellEnd"/>
      <w:r>
        <w:rPr>
          <w:rtl/>
        </w:rPr>
        <w:t xml:space="preserve"> של בני הזוג בשרש המשותף. רק מתוך </w:t>
      </w:r>
      <w:r w:rsidRPr="00E84990">
        <w:rPr>
          <w:rStyle w:val="a5"/>
          <w:rtl/>
        </w:rPr>
        <w:t>דבקות</w:t>
      </w:r>
      <w:r>
        <w:rPr>
          <w:rtl/>
        </w:rPr>
        <w:t xml:space="preserve"> בשרש נשמת בן/בת הזוג והתפעלות ממנו ניתן להשתחרר מהשעבוד </w:t>
      </w:r>
      <w:proofErr w:type="spellStart"/>
      <w:r>
        <w:rPr>
          <w:rtl/>
        </w:rPr>
        <w:t>לתאוה</w:t>
      </w:r>
      <w:proofErr w:type="spellEnd"/>
      <w:r>
        <w:rPr>
          <w:rtl/>
        </w:rPr>
        <w:t xml:space="preserve"> העצמית ולה</w:t>
      </w:r>
      <w:r>
        <w:rPr>
          <w:rFonts w:hint="cs"/>
          <w:rtl/>
        </w:rPr>
        <w:t>גיע</w:t>
      </w:r>
      <w:r>
        <w:rPr>
          <w:rtl/>
        </w:rPr>
        <w:t xml:space="preserve"> </w:t>
      </w:r>
      <w:r>
        <w:rPr>
          <w:rFonts w:hint="cs"/>
          <w:rtl/>
        </w:rPr>
        <w:t>ל</w:t>
      </w:r>
      <w:r w:rsidRPr="00E84990">
        <w:rPr>
          <w:rStyle w:val="a5"/>
          <w:rtl/>
        </w:rPr>
        <w:t>רגיש</w:t>
      </w:r>
      <w:r w:rsidRPr="00E84990">
        <w:rPr>
          <w:rStyle w:val="a5"/>
          <w:rFonts w:hint="cs"/>
          <w:rtl/>
        </w:rPr>
        <w:t>ות</w:t>
      </w:r>
      <w:r>
        <w:rPr>
          <w:rtl/>
        </w:rPr>
        <w:t xml:space="preserve"> </w:t>
      </w:r>
      <w:proofErr w:type="spellStart"/>
      <w:r>
        <w:rPr>
          <w:rtl/>
        </w:rPr>
        <w:t>אמ</w:t>
      </w:r>
      <w:r>
        <w:rPr>
          <w:rFonts w:hint="cs"/>
          <w:rtl/>
        </w:rPr>
        <w:t>י</w:t>
      </w:r>
      <w:r>
        <w:rPr>
          <w:rtl/>
        </w:rPr>
        <w:t>ת</w:t>
      </w:r>
      <w:r>
        <w:rPr>
          <w:rFonts w:hint="cs"/>
          <w:rtl/>
        </w:rPr>
        <w:t>ית</w:t>
      </w:r>
      <w:proofErr w:type="spellEnd"/>
      <w:r>
        <w:rPr>
          <w:rtl/>
        </w:rPr>
        <w:t xml:space="preserve"> לתחושותיו ולקצבו של הזולת, בגוף ובנפש.</w:t>
      </w:r>
    </w:p>
    <w:p w:rsidR="005F4A47" w:rsidRDefault="006B206F">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06F" w:rsidRDefault="006B206F" w:rsidP="00494D8C">
      <w:pPr>
        <w:spacing w:after="0" w:line="240" w:lineRule="auto"/>
      </w:pPr>
      <w:r>
        <w:separator/>
      </w:r>
    </w:p>
  </w:endnote>
  <w:endnote w:type="continuationSeparator" w:id="0">
    <w:p w:rsidR="006B206F" w:rsidRDefault="006B206F" w:rsidP="00494D8C">
      <w:pPr>
        <w:spacing w:after="0" w:line="240" w:lineRule="auto"/>
      </w:pPr>
      <w:r>
        <w:continuationSeparator/>
      </w:r>
    </w:p>
  </w:endnote>
  <w:endnote w:id="1">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הלכות תפלה פ"ה </w:t>
      </w:r>
      <w:proofErr w:type="spellStart"/>
      <w:r>
        <w:rPr>
          <w:rFonts w:hint="cs"/>
          <w:rtl/>
        </w:rPr>
        <w:t>ה"ד</w:t>
      </w:r>
      <w:proofErr w:type="spellEnd"/>
      <w:r>
        <w:rPr>
          <w:rFonts w:hint="cs"/>
          <w:rtl/>
        </w:rPr>
        <w:t>.</w:t>
      </w:r>
    </w:p>
  </w:endnote>
  <w:endnote w:id="2">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תורת חיים </w:t>
      </w:r>
      <w:proofErr w:type="spellStart"/>
      <w:r>
        <w:rPr>
          <w:rFonts w:hint="cs"/>
          <w:rtl/>
        </w:rPr>
        <w:t>גליון</w:t>
      </w:r>
      <w:proofErr w:type="spellEnd"/>
      <w:r>
        <w:rPr>
          <w:rFonts w:hint="cs"/>
          <w:rtl/>
        </w:rPr>
        <w:t xml:space="preserve"> 24, עפ"י שיעור י"ט אב ה'תשנ"ט.</w:t>
      </w:r>
    </w:p>
  </w:endnote>
  <w:endnote w:id="3">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"פתח אליהו" </w:t>
      </w:r>
      <w:r>
        <w:rPr>
          <w:rtl/>
        </w:rPr>
        <w:t>–</w:t>
      </w:r>
      <w:r>
        <w:rPr>
          <w:rFonts w:hint="cs"/>
          <w:rtl/>
        </w:rPr>
        <w:t xml:space="preserve"> הקדמת </w:t>
      </w:r>
      <w:proofErr w:type="spellStart"/>
      <w:r>
        <w:rPr>
          <w:rFonts w:hint="cs"/>
          <w:rtl/>
        </w:rPr>
        <w:t>תקוני</w:t>
      </w:r>
      <w:proofErr w:type="spellEnd"/>
      <w:r>
        <w:rPr>
          <w:rFonts w:hint="cs"/>
          <w:rtl/>
        </w:rPr>
        <w:t xml:space="preserve"> הזהר.</w:t>
      </w:r>
    </w:p>
  </w:endnote>
  <w:endnote w:id="4">
    <w:p w:rsidR="00494D8C" w:rsidRDefault="00494D8C" w:rsidP="00494D8C">
      <w:pPr>
        <w:pStyle w:val="a7"/>
        <w:rPr>
          <w:rFonts w:hint="cs"/>
          <w:rtl/>
        </w:rPr>
      </w:pPr>
      <w:r>
        <w:rPr>
          <w:rtl/>
        </w:rPr>
        <w:tab/>
      </w:r>
      <w:r w:rsidRPr="00E15672">
        <w:rPr>
          <w:rtl/>
        </w:rPr>
        <w:endnoteRef/>
      </w:r>
      <w:r>
        <w:rPr>
          <w:rtl/>
        </w:rPr>
        <w:t>.</w:t>
      </w:r>
      <w:r>
        <w:rPr>
          <w:rtl/>
        </w:rPr>
        <w:tab/>
      </w:r>
      <w:r>
        <w:rPr>
          <w:rFonts w:hint="cs"/>
          <w:rtl/>
        </w:rPr>
        <w:t>משלי ה, ה.</w:t>
      </w:r>
    </w:p>
  </w:endnote>
  <w:endnote w:id="5">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צה</w:t>
      </w:r>
      <w:proofErr w:type="spellEnd"/>
      <w:r>
        <w:rPr>
          <w:rFonts w:hint="cs"/>
          <w:rtl/>
        </w:rPr>
        <w:t>, ו. פסוק זה הוא שירת הכלבים, החותמת את פרק שירה.</w:t>
      </w:r>
    </w:p>
  </w:endnote>
  <w:endnote w:id="6">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ויקרא </w:t>
      </w:r>
      <w:proofErr w:type="spellStart"/>
      <w:r>
        <w:rPr>
          <w:rFonts w:hint="cs"/>
          <w:rtl/>
        </w:rPr>
        <w:t>כז</w:t>
      </w:r>
      <w:proofErr w:type="spellEnd"/>
      <w:r>
        <w:rPr>
          <w:rFonts w:hint="cs"/>
          <w:rtl/>
        </w:rPr>
        <w:t>, לב.</w:t>
      </w:r>
    </w:p>
  </w:endnote>
  <w:endnote w:id="7">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מגילה </w:t>
      </w:r>
      <w:proofErr w:type="spellStart"/>
      <w:r>
        <w:rPr>
          <w:rFonts w:hint="cs"/>
          <w:rtl/>
        </w:rPr>
        <w:t>יג</w:t>
      </w:r>
      <w:proofErr w:type="spellEnd"/>
      <w:r>
        <w:rPr>
          <w:rFonts w:hint="cs"/>
          <w:rtl/>
        </w:rPr>
        <w:t>, א.</w:t>
      </w:r>
    </w:p>
  </w:endnote>
  <w:endnote w:id="8">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תורה אור עט, </w:t>
      </w:r>
      <w:proofErr w:type="spellStart"/>
      <w:r>
        <w:rPr>
          <w:rFonts w:hint="cs"/>
          <w:rtl/>
        </w:rPr>
        <w:t>סע"ד</w:t>
      </w:r>
      <w:proofErr w:type="spellEnd"/>
      <w:r>
        <w:rPr>
          <w:rFonts w:hint="cs"/>
          <w:rtl/>
        </w:rPr>
        <w:t xml:space="preserve"> (ובכ"ד).</w:t>
      </w:r>
    </w:p>
  </w:endnote>
  <w:endnote w:id="9">
    <w:p w:rsidR="00494D8C" w:rsidRDefault="00494D8C" w:rsidP="00494D8C">
      <w:pPr>
        <w:pStyle w:val="a7"/>
        <w:rPr>
          <w:rFonts w:hint="cs"/>
          <w:rtl/>
        </w:rPr>
      </w:pPr>
      <w:r>
        <w:rPr>
          <w:rtl/>
        </w:rPr>
        <w:tab/>
      </w:r>
      <w:r w:rsidRPr="00E15672">
        <w:rPr>
          <w:rtl/>
        </w:rPr>
        <w:endnoteRef/>
      </w:r>
      <w:r>
        <w:rPr>
          <w:rtl/>
        </w:rPr>
        <w:t>.</w:t>
      </w:r>
      <w:r>
        <w:rPr>
          <w:rtl/>
        </w:rPr>
        <w:tab/>
      </w:r>
      <w:r>
        <w:rPr>
          <w:rFonts w:hint="cs"/>
          <w:rtl/>
        </w:rPr>
        <w:t>כלים פ"ג מ"ה (לפי אחת הגרסאות). וראה גם רש"י לבראשית ל, ח.</w:t>
      </w:r>
    </w:p>
  </w:endnote>
  <w:endnote w:id="10">
    <w:p w:rsidR="00494D8C" w:rsidRDefault="00494D8C" w:rsidP="00494D8C">
      <w:pPr>
        <w:pStyle w:val="a7"/>
        <w:rPr>
          <w:rtl/>
        </w:rPr>
      </w:pPr>
      <w:r>
        <w:rPr>
          <w:rtl/>
        </w:rPr>
        <w:tab/>
      </w:r>
      <w:r w:rsidRPr="00E15672">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 xml:space="preserve"> (וראה בשער ד בתורה "שארה כסותה ועונתה בסוד </w:t>
      </w:r>
      <w:proofErr w:type="spellStart"/>
      <w:r>
        <w:rPr>
          <w:rFonts w:hint="cs"/>
          <w:rtl/>
        </w:rPr>
        <w:t>ההריון</w:t>
      </w:r>
      <w:proofErr w:type="spellEnd"/>
      <w:r>
        <w:rPr>
          <w:rFonts w:hint="cs"/>
          <w:rtl/>
        </w:rPr>
        <w:t>" וביין משמח ח"א שער ה בתורה "שלש מצוות הנישואין").</w:t>
      </w:r>
    </w:p>
  </w:endnote>
  <w:endnote w:id="11">
    <w:p w:rsidR="00494D8C" w:rsidRDefault="00494D8C" w:rsidP="00494D8C">
      <w:pPr>
        <w:pStyle w:val="a7"/>
        <w:rPr>
          <w:rFonts w:hint="cs"/>
          <w:rtl/>
        </w:rPr>
      </w:pPr>
      <w:r>
        <w:rPr>
          <w:rtl/>
        </w:rPr>
        <w:tab/>
      </w:r>
      <w:r w:rsidRPr="00E15672">
        <w:rPr>
          <w:rtl/>
        </w:rPr>
        <w:endnoteRef/>
      </w:r>
      <w:r>
        <w:rPr>
          <w:rtl/>
        </w:rPr>
        <w:t>.</w:t>
      </w:r>
      <w:r>
        <w:rPr>
          <w:rtl/>
        </w:rPr>
        <w:tab/>
      </w:r>
      <w:r>
        <w:rPr>
          <w:rFonts w:hint="cs"/>
          <w:rtl/>
        </w:rPr>
        <w:t>על פי אבות פ"א מי"ז.</w:t>
      </w:r>
    </w:p>
  </w:endnote>
  <w:endnote w:id="12">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משלי ג, </w:t>
      </w:r>
      <w:proofErr w:type="spellStart"/>
      <w:r>
        <w:rPr>
          <w:rFonts w:hint="cs"/>
          <w:rtl/>
        </w:rPr>
        <w:t>יט</w:t>
      </w:r>
      <w:proofErr w:type="spellEnd"/>
      <w:r>
        <w:rPr>
          <w:rFonts w:hint="cs"/>
          <w:rtl/>
        </w:rPr>
        <w:t>.</w:t>
      </w:r>
    </w:p>
  </w:endnote>
  <w:endnote w:id="13">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יחזקאל א, יד (וראה </w:t>
      </w:r>
      <w:proofErr w:type="spellStart"/>
      <w:r>
        <w:rPr>
          <w:rFonts w:hint="cs"/>
          <w:rtl/>
        </w:rPr>
        <w:t>לקו"ת</w:t>
      </w:r>
      <w:proofErr w:type="spellEnd"/>
      <w:r>
        <w:rPr>
          <w:rFonts w:hint="cs"/>
          <w:rtl/>
        </w:rPr>
        <w:t xml:space="preserve"> ריש פרשת מצורע, ובכ"ד, שבינה וחכמה הן בסוד "רצוא ושוב").</w:t>
      </w:r>
    </w:p>
  </w:endnote>
  <w:endnote w:id="14">
    <w:p w:rsidR="00494D8C" w:rsidRDefault="00494D8C" w:rsidP="00494D8C">
      <w:pPr>
        <w:pStyle w:val="a7"/>
        <w:rPr>
          <w:rFonts w:hint="cs"/>
          <w:rtl/>
        </w:rPr>
      </w:pPr>
      <w:r>
        <w:rPr>
          <w:rtl/>
        </w:rPr>
        <w:tab/>
      </w:r>
      <w:r w:rsidRPr="00E15672">
        <w:rPr>
          <w:rtl/>
        </w:rPr>
        <w:endnoteRef/>
      </w:r>
      <w:r>
        <w:rPr>
          <w:rtl/>
        </w:rPr>
        <w:t>.</w:t>
      </w:r>
      <w:r>
        <w:rPr>
          <w:rtl/>
        </w:rPr>
        <w:tab/>
      </w:r>
      <w:r>
        <w:rPr>
          <w:rFonts w:hint="cs"/>
          <w:rtl/>
        </w:rPr>
        <w:t>מתוך זמר "לכה דודי": "סוף מעשה במחשבה תחלה".</w:t>
      </w:r>
    </w:p>
  </w:endnote>
  <w:endnote w:id="15">
    <w:p w:rsidR="00494D8C" w:rsidRDefault="00494D8C" w:rsidP="00494D8C">
      <w:pPr>
        <w:pStyle w:val="a7"/>
        <w:rPr>
          <w:rFonts w:hint="cs"/>
          <w:rtl/>
        </w:rPr>
      </w:pPr>
      <w:r>
        <w:rPr>
          <w:rtl/>
        </w:rPr>
        <w:tab/>
      </w:r>
      <w:r w:rsidRPr="00E15672">
        <w:rPr>
          <w:rtl/>
        </w:rPr>
        <w:endnoteRef/>
      </w:r>
      <w:r>
        <w:rPr>
          <w:rtl/>
        </w:rPr>
        <w:t>.</w:t>
      </w:r>
      <w:r>
        <w:rPr>
          <w:rtl/>
        </w:rPr>
        <w:tab/>
      </w:r>
      <w:r>
        <w:rPr>
          <w:rFonts w:hint="cs"/>
          <w:rtl/>
        </w:rPr>
        <w:t>תמיד לב, א.</w:t>
      </w:r>
    </w:p>
  </w:endnote>
  <w:endnote w:id="16">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ראה סוד הוי' </w:t>
      </w:r>
      <w:proofErr w:type="spellStart"/>
      <w:r>
        <w:rPr>
          <w:rFonts w:hint="cs"/>
          <w:rtl/>
        </w:rPr>
        <w:t>ליראיו</w:t>
      </w:r>
      <w:proofErr w:type="spellEnd"/>
      <w:r>
        <w:rPr>
          <w:rFonts w:hint="cs"/>
          <w:rtl/>
        </w:rPr>
        <w:t xml:space="preserve"> שער ד </w:t>
      </w:r>
      <w:proofErr w:type="spellStart"/>
      <w:r>
        <w:rPr>
          <w:rFonts w:hint="cs"/>
          <w:rtl/>
        </w:rPr>
        <w:t>פי"א</w:t>
      </w:r>
      <w:proofErr w:type="spellEnd"/>
      <w:r>
        <w:rPr>
          <w:rFonts w:hint="cs"/>
          <w:rtl/>
        </w:rPr>
        <w:t xml:space="preserve"> (עמ' </w:t>
      </w:r>
      <w:proofErr w:type="spellStart"/>
      <w:r>
        <w:rPr>
          <w:rFonts w:hint="cs"/>
          <w:rtl/>
        </w:rPr>
        <w:t>קפו</w:t>
      </w:r>
      <w:proofErr w:type="spellEnd"/>
      <w:r>
        <w:rPr>
          <w:rFonts w:hint="cs"/>
          <w:rtl/>
        </w:rPr>
        <w:t>).</w:t>
      </w:r>
    </w:p>
  </w:endnote>
  <w:endnote w:id="17">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ראה ביין משמח </w:t>
      </w:r>
      <w:proofErr w:type="spellStart"/>
      <w:r>
        <w:rPr>
          <w:rFonts w:hint="cs"/>
          <w:rtl/>
        </w:rPr>
        <w:t>ח"ב</w:t>
      </w:r>
      <w:proofErr w:type="spellEnd"/>
      <w:r>
        <w:rPr>
          <w:rFonts w:hint="cs"/>
          <w:rtl/>
        </w:rPr>
        <w:t xml:space="preserve"> שער א בתורה "לא זז מחבבה עד שקראה אמי".</w:t>
      </w:r>
    </w:p>
  </w:endnote>
  <w:endnote w:id="18">
    <w:p w:rsidR="00494D8C" w:rsidRDefault="00494D8C" w:rsidP="00494D8C">
      <w:pPr>
        <w:pStyle w:val="a7"/>
        <w:rPr>
          <w:rFonts w:hint="cs"/>
          <w:rtl/>
        </w:rPr>
      </w:pPr>
      <w:r>
        <w:rPr>
          <w:rtl/>
        </w:rPr>
        <w:tab/>
      </w:r>
      <w:r w:rsidRPr="00E15672">
        <w:rPr>
          <w:rtl/>
        </w:rPr>
        <w:endnoteRef/>
      </w:r>
      <w:r>
        <w:rPr>
          <w:rtl/>
        </w:rPr>
        <w:t>.</w:t>
      </w:r>
      <w:r>
        <w:rPr>
          <w:rtl/>
        </w:rPr>
        <w:tab/>
        <w:t xml:space="preserve">חגיגה טו, ב. סנהדרין קו, ב </w:t>
      </w:r>
      <w:r>
        <w:rPr>
          <w:rFonts w:hint="cs"/>
          <w:rtl/>
        </w:rPr>
        <w:t>(</w:t>
      </w:r>
      <w:r>
        <w:rPr>
          <w:rtl/>
        </w:rPr>
        <w:t xml:space="preserve">וראה רש"י </w:t>
      </w:r>
      <w:r>
        <w:rPr>
          <w:rFonts w:hint="cs"/>
          <w:rtl/>
        </w:rPr>
        <w:t>ש</w:t>
      </w:r>
      <w:r>
        <w:rPr>
          <w:rtl/>
        </w:rPr>
        <w:t>ם</w:t>
      </w:r>
      <w:r>
        <w:rPr>
          <w:rFonts w:hint="cs"/>
          <w:rtl/>
        </w:rPr>
        <w:t>)</w:t>
      </w:r>
      <w:r>
        <w:rPr>
          <w:rtl/>
        </w:rPr>
        <w:t>.</w:t>
      </w:r>
    </w:p>
  </w:endnote>
  <w:endnote w:id="19">
    <w:p w:rsidR="00494D8C" w:rsidRDefault="00494D8C" w:rsidP="00494D8C">
      <w:pPr>
        <w:pStyle w:val="a7"/>
        <w:rPr>
          <w:rtl/>
        </w:rPr>
      </w:pPr>
      <w:r>
        <w:rPr>
          <w:rtl/>
        </w:rPr>
        <w:tab/>
      </w:r>
      <w:r w:rsidRPr="00E15672">
        <w:rPr>
          <w:rtl/>
        </w:rPr>
        <w:endnoteRef/>
      </w:r>
      <w:r>
        <w:rPr>
          <w:rtl/>
        </w:rPr>
        <w:t>.</w:t>
      </w:r>
      <w:r>
        <w:rPr>
          <w:rtl/>
        </w:rPr>
        <w:tab/>
      </w:r>
      <w:r>
        <w:rPr>
          <w:rFonts w:hint="cs"/>
          <w:rtl/>
        </w:rPr>
        <w:t>פ"א מי"ג (ואילך).</w:t>
      </w:r>
    </w:p>
  </w:endnote>
  <w:endnote w:id="20">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ראה זהר </w:t>
      </w:r>
      <w:proofErr w:type="spellStart"/>
      <w:r>
        <w:rPr>
          <w:rFonts w:hint="cs"/>
          <w:rtl/>
        </w:rPr>
        <w:t>ח"ב</w:t>
      </w:r>
      <w:proofErr w:type="spellEnd"/>
      <w:r>
        <w:rPr>
          <w:rFonts w:hint="cs"/>
          <w:rtl/>
        </w:rPr>
        <w:t xml:space="preserve"> </w:t>
      </w:r>
      <w:proofErr w:type="spellStart"/>
      <w:r>
        <w:rPr>
          <w:rFonts w:hint="cs"/>
          <w:rtl/>
        </w:rPr>
        <w:t>קעח</w:t>
      </w:r>
      <w:proofErr w:type="spellEnd"/>
      <w:r>
        <w:rPr>
          <w:rFonts w:hint="cs"/>
          <w:rtl/>
        </w:rPr>
        <w:t xml:space="preserve">, ב. </w:t>
      </w:r>
      <w:proofErr w:type="spellStart"/>
      <w:r>
        <w:rPr>
          <w:rFonts w:hint="cs"/>
          <w:rtl/>
        </w:rPr>
        <w:t>תו"א</w:t>
      </w:r>
      <w:proofErr w:type="spellEnd"/>
      <w:r>
        <w:rPr>
          <w:rFonts w:hint="cs"/>
          <w:rtl/>
        </w:rPr>
        <w:t xml:space="preserve"> ריש פרשת לך </w:t>
      </w:r>
      <w:proofErr w:type="spellStart"/>
      <w:r>
        <w:rPr>
          <w:rFonts w:hint="cs"/>
          <w:rtl/>
        </w:rPr>
        <w:t>לך</w:t>
      </w:r>
      <w:proofErr w:type="spellEnd"/>
      <w:r>
        <w:rPr>
          <w:rFonts w:hint="cs"/>
          <w:rtl/>
        </w:rPr>
        <w:t>, ובכ"ד.</w:t>
      </w:r>
    </w:p>
  </w:endnote>
  <w:endnote w:id="21">
    <w:p w:rsidR="00494D8C" w:rsidRDefault="00494D8C" w:rsidP="00494D8C">
      <w:pPr>
        <w:pStyle w:val="a7"/>
        <w:rPr>
          <w:rFonts w:hint="cs"/>
          <w:rtl/>
        </w:rPr>
      </w:pPr>
      <w:r>
        <w:rPr>
          <w:rtl/>
        </w:rPr>
        <w:tab/>
      </w:r>
      <w:r w:rsidRPr="00E15672">
        <w:rPr>
          <w:rtl/>
        </w:rPr>
        <w:endnoteRef/>
      </w:r>
      <w:r>
        <w:rPr>
          <w:rtl/>
        </w:rPr>
        <w:t>.</w:t>
      </w:r>
      <w:r>
        <w:rPr>
          <w:rtl/>
        </w:rPr>
        <w:tab/>
      </w:r>
      <w:r>
        <w:rPr>
          <w:rFonts w:hint="cs"/>
          <w:rtl/>
        </w:rPr>
        <w:t>נדה מה, ב.</w:t>
      </w:r>
    </w:p>
  </w:endnote>
  <w:endnote w:id="22">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ודוק בסיפורי מעשיות מעשה מז' </w:t>
      </w:r>
      <w:proofErr w:type="spellStart"/>
      <w:r>
        <w:rPr>
          <w:rFonts w:hint="cs"/>
          <w:rtl/>
        </w:rPr>
        <w:t>בעטלערס</w:t>
      </w:r>
      <w:proofErr w:type="spellEnd"/>
      <w:r>
        <w:rPr>
          <w:rFonts w:hint="cs"/>
          <w:rtl/>
        </w:rPr>
        <w:t xml:space="preserve"> אודות </w:t>
      </w:r>
      <w:proofErr w:type="spellStart"/>
      <w:r>
        <w:rPr>
          <w:rFonts w:hint="cs"/>
          <w:rtl/>
        </w:rPr>
        <w:t>הבעטלער</w:t>
      </w:r>
      <w:proofErr w:type="spellEnd"/>
      <w:r>
        <w:rPr>
          <w:rFonts w:hint="cs"/>
          <w:rtl/>
        </w:rPr>
        <w:t xml:space="preserve"> בלי ידיים (וכן יש לכוון את שאר התכונות </w:t>
      </w:r>
      <w:proofErr w:type="spellStart"/>
      <w:r>
        <w:rPr>
          <w:rFonts w:hint="cs"/>
          <w:rtl/>
        </w:rPr>
        <w:t>לבעטלערס</w:t>
      </w:r>
      <w:proofErr w:type="spellEnd"/>
      <w:r>
        <w:rPr>
          <w:rFonts w:hint="cs"/>
          <w:rtl/>
        </w:rPr>
        <w:t xml:space="preserve"> המקבילים להם, ודוק).</w:t>
      </w:r>
    </w:p>
  </w:endnote>
  <w:endnote w:id="23">
    <w:p w:rsidR="00494D8C" w:rsidRDefault="00494D8C" w:rsidP="00494D8C">
      <w:pPr>
        <w:pStyle w:val="a7"/>
        <w:rPr>
          <w:rFonts w:hint="cs"/>
          <w:rtl/>
        </w:rPr>
      </w:pPr>
      <w:r>
        <w:rPr>
          <w:rtl/>
        </w:rPr>
        <w:tab/>
      </w:r>
      <w:r w:rsidRPr="00E15672">
        <w:rPr>
          <w:rtl/>
        </w:rPr>
        <w:endnoteRef/>
      </w:r>
      <w:r>
        <w:rPr>
          <w:rtl/>
        </w:rPr>
        <w:t>.</w:t>
      </w:r>
      <w:r>
        <w:rPr>
          <w:rtl/>
        </w:rPr>
        <w:tab/>
      </w:r>
      <w:r>
        <w:rPr>
          <w:rFonts w:hint="cs"/>
          <w:rtl/>
        </w:rPr>
        <w:t>ראה שכינה ביניהם פ"ז.</w:t>
      </w:r>
    </w:p>
  </w:endnote>
  <w:endnote w:id="24">
    <w:p w:rsidR="00494D8C" w:rsidRDefault="00494D8C" w:rsidP="00494D8C">
      <w:pPr>
        <w:pStyle w:val="a7"/>
        <w:rPr>
          <w:rFonts w:hint="cs"/>
          <w:rtl/>
        </w:rPr>
      </w:pPr>
      <w:r>
        <w:rPr>
          <w:rtl/>
        </w:rPr>
        <w:tab/>
      </w:r>
      <w:r w:rsidRPr="00E15672">
        <w:rPr>
          <w:rtl/>
        </w:rPr>
        <w:endnoteRef/>
      </w:r>
      <w:r>
        <w:rPr>
          <w:rtl/>
        </w:rPr>
        <w:t>.</w:t>
      </w:r>
      <w:r>
        <w:rPr>
          <w:rtl/>
        </w:rPr>
        <w:tab/>
      </w:r>
      <w:r>
        <w:rPr>
          <w:rFonts w:hint="cs"/>
          <w:rtl/>
        </w:rPr>
        <w:t>יחזקאל א, ז.</w:t>
      </w:r>
    </w:p>
  </w:endnote>
  <w:endnote w:id="25">
    <w:p w:rsidR="00494D8C" w:rsidRDefault="00494D8C" w:rsidP="00494D8C">
      <w:pPr>
        <w:pStyle w:val="a7"/>
        <w:rPr>
          <w:rFonts w:hint="cs"/>
          <w:rtl/>
        </w:rPr>
      </w:pPr>
      <w:r>
        <w:rPr>
          <w:rtl/>
        </w:rPr>
        <w:tab/>
      </w:r>
      <w:r w:rsidRPr="00E15672">
        <w:rPr>
          <w:rtl/>
        </w:rPr>
        <w:endnoteRef/>
      </w:r>
      <w:r>
        <w:rPr>
          <w:rtl/>
        </w:rPr>
        <w:t>.</w:t>
      </w:r>
      <w:r>
        <w:rPr>
          <w:rtl/>
        </w:rPr>
        <w:tab/>
      </w:r>
      <w:r>
        <w:rPr>
          <w:rFonts w:hint="cs"/>
          <w:rtl/>
        </w:rPr>
        <w:t>ישעיה ו, ב.</w:t>
      </w:r>
    </w:p>
  </w:endnote>
  <w:endnote w:id="26">
    <w:p w:rsidR="00494D8C" w:rsidRDefault="00494D8C" w:rsidP="00494D8C">
      <w:pPr>
        <w:pStyle w:val="a7"/>
        <w:rPr>
          <w:rFonts w:hint="cs"/>
          <w:rtl/>
        </w:rPr>
      </w:pPr>
      <w:r>
        <w:rPr>
          <w:rtl/>
        </w:rPr>
        <w:tab/>
      </w:r>
      <w:r w:rsidRPr="00E15672">
        <w:rPr>
          <w:rtl/>
        </w:rPr>
        <w:endnoteRef/>
      </w:r>
      <w:r>
        <w:rPr>
          <w:rtl/>
        </w:rPr>
        <w:t>.</w:t>
      </w:r>
      <w:r>
        <w:rPr>
          <w:rtl/>
        </w:rPr>
        <w:tab/>
      </w:r>
      <w:r>
        <w:rPr>
          <w:rFonts w:hint="cs"/>
          <w:rtl/>
        </w:rPr>
        <w:t>וראה יין משמח ח"א שער ז בתורה "בושה, צניעות, תשוקה".</w:t>
      </w:r>
    </w:p>
  </w:endnote>
  <w:endnote w:id="27">
    <w:p w:rsidR="00494D8C" w:rsidRDefault="00494D8C" w:rsidP="00494D8C">
      <w:pPr>
        <w:pStyle w:val="a7"/>
        <w:rPr>
          <w:rFonts w:hint="cs"/>
          <w:rtl/>
        </w:rPr>
      </w:pPr>
      <w:r>
        <w:rPr>
          <w:rtl/>
        </w:rPr>
        <w:tab/>
      </w:r>
      <w:r w:rsidRPr="00E15672">
        <w:rPr>
          <w:rtl/>
        </w:rPr>
        <w:endnoteRef/>
      </w:r>
      <w:r>
        <w:rPr>
          <w:rtl/>
        </w:rPr>
        <w:t>.</w:t>
      </w:r>
      <w:r>
        <w:rPr>
          <w:rtl/>
        </w:rPr>
        <w:tab/>
      </w:r>
      <w:r>
        <w:rPr>
          <w:rFonts w:hint="cs"/>
          <w:rtl/>
        </w:rPr>
        <w:t>ירושלמי ברכות פ"א ה"א ושבועות פ"ו ה"ה.</w:t>
      </w:r>
    </w:p>
  </w:endnote>
  <w:endnote w:id="28">
    <w:p w:rsidR="00494D8C" w:rsidRDefault="00494D8C" w:rsidP="00494D8C">
      <w:pPr>
        <w:pStyle w:val="a7"/>
        <w:rPr>
          <w:rFonts w:hint="cs"/>
        </w:rPr>
      </w:pPr>
      <w:r>
        <w:rPr>
          <w:rtl/>
        </w:rPr>
        <w:tab/>
      </w:r>
      <w:r w:rsidRPr="00E15672">
        <w:rPr>
          <w:rtl/>
        </w:rPr>
        <w:endnoteRef/>
      </w:r>
      <w:r>
        <w:rPr>
          <w:rtl/>
        </w:rPr>
        <w:t>.</w:t>
      </w:r>
      <w:r>
        <w:rPr>
          <w:rtl/>
        </w:rPr>
        <w:tab/>
      </w:r>
      <w:r>
        <w:rPr>
          <w:rFonts w:hint="cs"/>
          <w:rtl/>
        </w:rPr>
        <w:t xml:space="preserve">בראשית רבה סה, </w:t>
      </w:r>
      <w:proofErr w:type="spellStart"/>
      <w:r>
        <w:rPr>
          <w:rFonts w:hint="cs"/>
          <w:rtl/>
        </w:rPr>
        <w:t>כא</w:t>
      </w:r>
      <w:proofErr w:type="spellEnd"/>
      <w:r>
        <w:rPr>
          <w:rFonts w:hint="cs"/>
          <w:rtl/>
        </w:rPr>
        <w:t>.</w:t>
      </w:r>
    </w:p>
  </w:endnote>
  <w:endnote w:id="29">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תו"א</w:t>
      </w:r>
      <w:proofErr w:type="spellEnd"/>
      <w:r>
        <w:rPr>
          <w:rFonts w:hint="cs"/>
          <w:rtl/>
        </w:rPr>
        <w:t xml:space="preserve"> בראשית ד"ה "השמים </w:t>
      </w:r>
      <w:proofErr w:type="spellStart"/>
      <w:r>
        <w:rPr>
          <w:rFonts w:hint="cs"/>
          <w:rtl/>
        </w:rPr>
        <w:t>כסאי</w:t>
      </w:r>
      <w:proofErr w:type="spellEnd"/>
      <w:r>
        <w:rPr>
          <w:rFonts w:hint="cs"/>
          <w:rtl/>
        </w:rPr>
        <w:t>".</w:t>
      </w:r>
    </w:p>
  </w:endnote>
  <w:endnote w:id="30">
    <w:p w:rsidR="00494D8C" w:rsidRDefault="00494D8C" w:rsidP="00494D8C">
      <w:pPr>
        <w:pStyle w:val="a7"/>
        <w:rPr>
          <w:rFonts w:hint="cs"/>
          <w:rtl/>
        </w:rPr>
      </w:pPr>
      <w:r>
        <w:rPr>
          <w:rtl/>
        </w:rPr>
        <w:tab/>
      </w:r>
      <w:r w:rsidRPr="00E15672">
        <w:rPr>
          <w:rtl/>
        </w:rPr>
        <w:endnoteRef/>
      </w:r>
      <w:r>
        <w:rPr>
          <w:rtl/>
        </w:rPr>
        <w:t>.</w:t>
      </w:r>
      <w:r>
        <w:rPr>
          <w:rtl/>
        </w:rPr>
        <w:tab/>
      </w:r>
      <w:r>
        <w:rPr>
          <w:rFonts w:hint="cs"/>
          <w:rtl/>
        </w:rPr>
        <w:t>ראה תורת מנחם ח"א עמ' 183.</w:t>
      </w:r>
    </w:p>
  </w:endnote>
  <w:endnote w:id="31">
    <w:p w:rsidR="00494D8C" w:rsidRDefault="00494D8C" w:rsidP="00494D8C">
      <w:pPr>
        <w:pStyle w:val="a7"/>
        <w:rPr>
          <w:rFonts w:hint="cs"/>
        </w:rPr>
      </w:pPr>
      <w:r>
        <w:rPr>
          <w:rtl/>
        </w:rPr>
        <w:tab/>
      </w:r>
      <w:r w:rsidRPr="00E15672">
        <w:rPr>
          <w:rtl/>
        </w:rPr>
        <w:endnoteRef/>
      </w:r>
      <w:r>
        <w:rPr>
          <w:rtl/>
        </w:rPr>
        <w:t>.</w:t>
      </w:r>
      <w:r>
        <w:rPr>
          <w:rtl/>
        </w:rPr>
        <w:tab/>
      </w:r>
      <w:r>
        <w:rPr>
          <w:rFonts w:hint="cs"/>
          <w:rtl/>
        </w:rPr>
        <w:t xml:space="preserve">ראה </w:t>
      </w:r>
      <w:proofErr w:type="spellStart"/>
      <w:r>
        <w:rPr>
          <w:rFonts w:hint="cs"/>
          <w:rtl/>
        </w:rPr>
        <w:t>לקו"ת</w:t>
      </w:r>
      <w:proofErr w:type="spellEnd"/>
      <w:r>
        <w:rPr>
          <w:rFonts w:hint="cs"/>
          <w:rtl/>
        </w:rPr>
        <w:t xml:space="preserve"> </w:t>
      </w:r>
      <w:proofErr w:type="spellStart"/>
      <w:r>
        <w:rPr>
          <w:rFonts w:hint="cs"/>
          <w:rtl/>
        </w:rPr>
        <w:t>חקת</w:t>
      </w:r>
      <w:proofErr w:type="spellEnd"/>
      <w:r>
        <w:rPr>
          <w:rFonts w:hint="cs"/>
          <w:rtl/>
        </w:rPr>
        <w:t xml:space="preserve"> </w:t>
      </w:r>
      <w:proofErr w:type="spellStart"/>
      <w:r>
        <w:rPr>
          <w:rFonts w:hint="cs"/>
          <w:rtl/>
        </w:rPr>
        <w:t>סו</w:t>
      </w:r>
      <w:proofErr w:type="spellEnd"/>
      <w:r>
        <w:rPr>
          <w:rFonts w:hint="cs"/>
          <w:rtl/>
        </w:rPr>
        <w:t xml:space="preserve">, ג ודרושי ר"ה </w:t>
      </w:r>
      <w:proofErr w:type="spellStart"/>
      <w:r>
        <w:rPr>
          <w:rFonts w:hint="cs"/>
          <w:rtl/>
        </w:rPr>
        <w:t>סג</w:t>
      </w:r>
      <w:proofErr w:type="spellEnd"/>
      <w:r>
        <w:rPr>
          <w:rFonts w:hint="cs"/>
          <w:rtl/>
        </w:rPr>
        <w:t xml:space="preserve">, ד </w:t>
      </w:r>
      <w:r>
        <w:rPr>
          <w:rtl/>
        </w:rPr>
        <w:t>–</w:t>
      </w:r>
      <w:r>
        <w:rPr>
          <w:rFonts w:hint="cs"/>
          <w:rtl/>
        </w:rPr>
        <w:t xml:space="preserve"> ובכ"ד.</w:t>
      </w:r>
    </w:p>
  </w:endnote>
  <w:endnote w:id="32">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קכח</w:t>
      </w:r>
      <w:proofErr w:type="spellEnd"/>
      <w:r>
        <w:rPr>
          <w:rFonts w:hint="cs"/>
          <w:rtl/>
        </w:rPr>
        <w:t>, ב.</w:t>
      </w:r>
    </w:p>
  </w:endnote>
  <w:endnote w:id="33">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שמות ג, ה (וראה רבינו בחיי עה"פ, ובזהר </w:t>
      </w:r>
      <w:proofErr w:type="spellStart"/>
      <w:r>
        <w:rPr>
          <w:rFonts w:hint="cs"/>
          <w:rtl/>
        </w:rPr>
        <w:t>ח"ב</w:t>
      </w:r>
      <w:proofErr w:type="spellEnd"/>
      <w:r>
        <w:rPr>
          <w:rFonts w:hint="cs"/>
          <w:rtl/>
        </w:rPr>
        <w:t xml:space="preserve"> רכב, א).</w:t>
      </w:r>
    </w:p>
  </w:endnote>
  <w:endnote w:id="34">
    <w:p w:rsidR="00494D8C" w:rsidRDefault="00494D8C" w:rsidP="00494D8C">
      <w:pPr>
        <w:pStyle w:val="a7"/>
        <w:rPr>
          <w:rFonts w:hint="cs"/>
          <w:rtl/>
        </w:rPr>
      </w:pPr>
      <w:r>
        <w:rPr>
          <w:rtl/>
        </w:rPr>
        <w:tab/>
      </w:r>
      <w:r w:rsidRPr="00E15672">
        <w:rPr>
          <w:rtl/>
        </w:rPr>
        <w:endnoteRef/>
      </w:r>
      <w:r>
        <w:rPr>
          <w:rtl/>
        </w:rPr>
        <w:t>.</w:t>
      </w:r>
      <w:r>
        <w:rPr>
          <w:rtl/>
        </w:rPr>
        <w:tab/>
      </w:r>
      <w:r>
        <w:rPr>
          <w:rFonts w:hint="cs"/>
          <w:rtl/>
        </w:rPr>
        <w:t xml:space="preserve">כמבואר בחסידות (ראה </w:t>
      </w:r>
      <w:proofErr w:type="spellStart"/>
      <w:r>
        <w:rPr>
          <w:rFonts w:hint="cs"/>
          <w:rtl/>
        </w:rPr>
        <w:t>תו"א</w:t>
      </w:r>
      <w:proofErr w:type="spellEnd"/>
      <w:r>
        <w:rPr>
          <w:rFonts w:hint="cs"/>
          <w:rtl/>
        </w:rPr>
        <w:t xml:space="preserve"> קב, ב</w:t>
      </w:r>
      <w:r>
        <w:rPr>
          <w:rFonts w:hint="cs"/>
        </w:rPr>
        <w:t xml:space="preserve"> </w:t>
      </w:r>
      <w:r>
        <w:rPr>
          <w:rFonts w:hint="cs"/>
          <w:rtl/>
        </w:rPr>
        <w:t xml:space="preserve">ובכ"ד) שהחיצונים יונקים מהגבהת עצמם למעלה </w:t>
      </w:r>
      <w:proofErr w:type="spellStart"/>
      <w:r>
        <w:rPr>
          <w:rFonts w:hint="cs"/>
          <w:rtl/>
        </w:rPr>
        <w:t>ב</w:t>
      </w:r>
      <w:r w:rsidRPr="00995309">
        <w:rPr>
          <w:rStyle w:val="a6"/>
          <w:rFonts w:hint="cs"/>
          <w:rtl/>
        </w:rPr>
        <w:t>גאוה</w:t>
      </w:r>
      <w:proofErr w:type="spellEnd"/>
      <w:r>
        <w:rPr>
          <w:rFonts w:hint="cs"/>
          <w:rtl/>
        </w:rPr>
        <w:t xml:space="preserve"> למקום בו "אם צדקת מה </w:t>
      </w:r>
      <w:proofErr w:type="spellStart"/>
      <w:r>
        <w:rPr>
          <w:rFonts w:hint="cs"/>
          <w:rtl/>
        </w:rPr>
        <w:t>תתן</w:t>
      </w:r>
      <w:proofErr w:type="spellEnd"/>
      <w:r>
        <w:rPr>
          <w:rFonts w:hint="cs"/>
          <w:rtl/>
        </w:rPr>
        <w:t xml:space="preserve"> לו" (איוב לה, ז) או משפלות </w:t>
      </w:r>
      <w:proofErr w:type="spellStart"/>
      <w:r>
        <w:rPr>
          <w:rFonts w:hint="cs"/>
          <w:rtl/>
        </w:rPr>
        <w:t>ה</w:t>
      </w:r>
      <w:r w:rsidRPr="00995309">
        <w:rPr>
          <w:rStyle w:val="a6"/>
          <w:rFonts w:hint="cs"/>
          <w:rtl/>
        </w:rPr>
        <w:t>תאוה</w:t>
      </w:r>
      <w:proofErr w:type="spellEnd"/>
      <w:r>
        <w:rPr>
          <w:rFonts w:hint="cs"/>
          <w:rtl/>
        </w:rPr>
        <w:t xml:space="preserve"> לינוק מהשמרים הגסים שבתחתית סדר </w:t>
      </w:r>
      <w:r>
        <w:rPr>
          <w:rtl/>
        </w:rPr>
        <w:t>ה</w:t>
      </w:r>
      <w:r>
        <w:rPr>
          <w:rFonts w:hint="cs"/>
          <w:rtl/>
        </w:rPr>
        <w:t>השתלשלות (ויש צורך בחרב פיפיות, בעלת שתי פיות, להכרית את יניקת הקליפה מלמעלה ומלמטה), ודוק.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FrankRuehl nikud2">
    <w:charset w:val="B1"/>
    <w:family w:val="auto"/>
    <w:pitch w:val="variable"/>
    <w:sig w:usb0="00001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06F" w:rsidRDefault="006B206F" w:rsidP="00494D8C">
      <w:pPr>
        <w:spacing w:after="0" w:line="240" w:lineRule="auto"/>
      </w:pPr>
      <w:r>
        <w:separator/>
      </w:r>
    </w:p>
  </w:footnote>
  <w:footnote w:type="continuationSeparator" w:id="0">
    <w:p w:rsidR="006B206F" w:rsidRDefault="006B206F" w:rsidP="00494D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43"/>
    <w:rsid w:val="00061E65"/>
    <w:rsid w:val="00494D8C"/>
    <w:rsid w:val="006B206F"/>
    <w:rsid w:val="007D3243"/>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94D8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94D8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94D8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494D8C"/>
    <w:pPr>
      <w:spacing w:before="120"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494D8C"/>
    <w:rPr>
      <w:rFonts w:ascii="Times New Roman" w:eastAsia="Times New Roman" w:hAnsi="Times New Roman" w:cs="Guttman Soncino"/>
      <w:noProof/>
      <w:snapToGrid w:val="0"/>
      <w:sz w:val="23"/>
    </w:rPr>
  </w:style>
  <w:style w:type="character" w:customStyle="1" w:styleId="a5">
    <w:name w:val="מרים"/>
    <w:basedOn w:val="a0"/>
    <w:rsid w:val="00494D8C"/>
    <w:rPr>
      <w:rFonts w:cs="Miriam"/>
      <w:w w:val="100"/>
      <w:sz w:val="21"/>
      <w:szCs w:val="23"/>
    </w:rPr>
  </w:style>
  <w:style w:type="character" w:customStyle="1" w:styleId="a6">
    <w:name w:val="מרים הערות שוליים"/>
    <w:basedOn w:val="a0"/>
    <w:rsid w:val="00494D8C"/>
    <w:rPr>
      <w:rFonts w:cs="Miriam"/>
      <w:sz w:val="20"/>
      <w:szCs w:val="19"/>
      <w:lang w:eastAsia="en-US"/>
    </w:rPr>
  </w:style>
  <w:style w:type="paragraph" w:styleId="a7">
    <w:name w:val="endnote text"/>
    <w:aliases w:val="Endnote Text"/>
    <w:basedOn w:val="a"/>
    <w:link w:val="a8"/>
    <w:autoRedefine/>
    <w:semiHidden/>
    <w:rsid w:val="00494D8C"/>
    <w:pPr>
      <w:tabs>
        <w:tab w:val="right" w:pos="266"/>
        <w:tab w:val="left" w:pos="340"/>
      </w:tabs>
      <w:spacing w:after="20" w:line="260" w:lineRule="exact"/>
      <w:ind w:left="340" w:hanging="340"/>
    </w:pPr>
    <w:rPr>
      <w:sz w:val="20"/>
      <w:szCs w:val="23"/>
    </w:rPr>
  </w:style>
  <w:style w:type="character" w:customStyle="1" w:styleId="a8">
    <w:name w:val="טקסט הערת סיום תו"/>
    <w:basedOn w:val="a0"/>
    <w:link w:val="a7"/>
    <w:semiHidden/>
    <w:rsid w:val="00494D8C"/>
    <w:rPr>
      <w:rFonts w:ascii="Times New Roman" w:eastAsia="Times New Roman" w:hAnsi="Times New Roman" w:cs="FrankRuehl"/>
      <w:sz w:val="20"/>
      <w:szCs w:val="23"/>
      <w:lang w:eastAsia="he-IL"/>
    </w:rPr>
  </w:style>
  <w:style w:type="character" w:styleId="a9">
    <w:name w:val="endnote reference"/>
    <w:aliases w:val="Endnote Reference"/>
    <w:basedOn w:val="aa"/>
    <w:semiHidden/>
    <w:rsid w:val="00494D8C"/>
    <w:rPr>
      <w:noProof/>
      <w:position w:val="-4"/>
      <w:szCs w:val="27"/>
      <w:vertAlign w:val="superscript"/>
    </w:rPr>
  </w:style>
  <w:style w:type="paragraph" w:customStyle="1" w:styleId="ab">
    <w:name w:val="פתיח תו"/>
    <w:basedOn w:val="a"/>
    <w:link w:val="ac"/>
    <w:rsid w:val="00494D8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494D8C"/>
    <w:rPr>
      <w:rFonts w:ascii="Times New Roman" w:eastAsia="Times New Roman" w:hAnsi="Times New Roman" w:cs="Guttman Soncino"/>
      <w:b/>
      <w:bCs/>
      <w:color w:val="808080"/>
      <w:position w:val="-5"/>
      <w:sz w:val="85"/>
      <w:szCs w:val="85"/>
      <w:lang w:eastAsia="he-IL"/>
    </w:rPr>
  </w:style>
  <w:style w:type="character" w:styleId="aa">
    <w:name w:val="footnote reference"/>
    <w:basedOn w:val="a0"/>
    <w:uiPriority w:val="99"/>
    <w:semiHidden/>
    <w:unhideWhenUsed/>
    <w:rsid w:val="00494D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94D8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94D8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94D8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494D8C"/>
    <w:pPr>
      <w:spacing w:before="120"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494D8C"/>
    <w:rPr>
      <w:rFonts w:ascii="Times New Roman" w:eastAsia="Times New Roman" w:hAnsi="Times New Roman" w:cs="Guttman Soncino"/>
      <w:noProof/>
      <w:snapToGrid w:val="0"/>
      <w:sz w:val="23"/>
    </w:rPr>
  </w:style>
  <w:style w:type="character" w:customStyle="1" w:styleId="a5">
    <w:name w:val="מרים"/>
    <w:basedOn w:val="a0"/>
    <w:rsid w:val="00494D8C"/>
    <w:rPr>
      <w:rFonts w:cs="Miriam"/>
      <w:w w:val="100"/>
      <w:sz w:val="21"/>
      <w:szCs w:val="23"/>
    </w:rPr>
  </w:style>
  <w:style w:type="character" w:customStyle="1" w:styleId="a6">
    <w:name w:val="מרים הערות שוליים"/>
    <w:basedOn w:val="a0"/>
    <w:rsid w:val="00494D8C"/>
    <w:rPr>
      <w:rFonts w:cs="Miriam"/>
      <w:sz w:val="20"/>
      <w:szCs w:val="19"/>
      <w:lang w:eastAsia="en-US"/>
    </w:rPr>
  </w:style>
  <w:style w:type="paragraph" w:styleId="a7">
    <w:name w:val="endnote text"/>
    <w:aliases w:val="Endnote Text"/>
    <w:basedOn w:val="a"/>
    <w:link w:val="a8"/>
    <w:autoRedefine/>
    <w:semiHidden/>
    <w:rsid w:val="00494D8C"/>
    <w:pPr>
      <w:tabs>
        <w:tab w:val="right" w:pos="266"/>
        <w:tab w:val="left" w:pos="340"/>
      </w:tabs>
      <w:spacing w:after="20" w:line="260" w:lineRule="exact"/>
      <w:ind w:left="340" w:hanging="340"/>
    </w:pPr>
    <w:rPr>
      <w:sz w:val="20"/>
      <w:szCs w:val="23"/>
    </w:rPr>
  </w:style>
  <w:style w:type="character" w:customStyle="1" w:styleId="a8">
    <w:name w:val="טקסט הערת סיום תו"/>
    <w:basedOn w:val="a0"/>
    <w:link w:val="a7"/>
    <w:semiHidden/>
    <w:rsid w:val="00494D8C"/>
    <w:rPr>
      <w:rFonts w:ascii="Times New Roman" w:eastAsia="Times New Roman" w:hAnsi="Times New Roman" w:cs="FrankRuehl"/>
      <w:sz w:val="20"/>
      <w:szCs w:val="23"/>
      <w:lang w:eastAsia="he-IL"/>
    </w:rPr>
  </w:style>
  <w:style w:type="character" w:styleId="a9">
    <w:name w:val="endnote reference"/>
    <w:aliases w:val="Endnote Reference"/>
    <w:basedOn w:val="aa"/>
    <w:semiHidden/>
    <w:rsid w:val="00494D8C"/>
    <w:rPr>
      <w:noProof/>
      <w:position w:val="-4"/>
      <w:szCs w:val="27"/>
      <w:vertAlign w:val="superscript"/>
    </w:rPr>
  </w:style>
  <w:style w:type="paragraph" w:customStyle="1" w:styleId="ab">
    <w:name w:val="פתיח תו"/>
    <w:basedOn w:val="a"/>
    <w:link w:val="ac"/>
    <w:rsid w:val="00494D8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c">
    <w:name w:val="פתיח תו תו"/>
    <w:basedOn w:val="a0"/>
    <w:link w:val="ab"/>
    <w:rsid w:val="00494D8C"/>
    <w:rPr>
      <w:rFonts w:ascii="Times New Roman" w:eastAsia="Times New Roman" w:hAnsi="Times New Roman" w:cs="Guttman Soncino"/>
      <w:b/>
      <w:bCs/>
      <w:color w:val="808080"/>
      <w:position w:val="-5"/>
      <w:sz w:val="85"/>
      <w:szCs w:val="85"/>
      <w:lang w:eastAsia="he-IL"/>
    </w:rPr>
  </w:style>
  <w:style w:type="character" w:styleId="aa">
    <w:name w:val="footnote reference"/>
    <w:basedOn w:val="a0"/>
    <w:uiPriority w:val="99"/>
    <w:semiHidden/>
    <w:unhideWhenUsed/>
    <w:rsid w:val="00494D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495;&#1502;&#1497;&#1513;&#1497;%20&#1506;&#1497;&#1504;&#1497;&#1493;%20&#1500;&#1502;&#1496;&#1492;%20&#1493;&#1500;&#1489;&#1493;%20&#1500;&#1502;&#1506;&#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4461</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2017-08-14T22:46:00Z</dcterms:created>
  <dcterms:modified xsi:type="dcterms:W3CDTF">2017-08-14T22:46:00Z</dcterms:modified>
</cp:coreProperties>
</file>