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692" w:rsidRPr="00DE7874" w:rsidRDefault="00794692" w:rsidP="00794692">
      <w:pPr>
        <w:pStyle w:val="2"/>
        <w:rPr>
          <w:rFonts w:hint="cs"/>
          <w:rtl/>
        </w:rPr>
      </w:pPr>
      <w:bookmarkStart w:id="0" w:name="_Toc145068692"/>
      <w:bookmarkStart w:id="1" w:name="_Ref145069167"/>
      <w:r w:rsidRPr="00DE7874">
        <w:rPr>
          <w:rFonts w:hint="cs"/>
          <w:rtl/>
        </w:rPr>
        <w:t>"כאילו הוא עומד בשמים"</w:t>
      </w:r>
      <w:bookmarkEnd w:id="0"/>
      <w:bookmarkEnd w:id="1"/>
    </w:p>
    <w:p w:rsidR="00794692" w:rsidRPr="00115A08" w:rsidRDefault="00794692" w:rsidP="00794692">
      <w:pPr>
        <w:keepNext/>
        <w:framePr w:dropCap="drop" w:lines="2" w:hSpace="57" w:wrap="around" w:vAnchor="text" w:hAnchor="text" w:xAlign="right"/>
        <w:spacing w:after="0" w:line="760" w:lineRule="exact"/>
        <w:textAlignment w:val="baseline"/>
        <w:rPr>
          <w:rStyle w:val="a8"/>
          <w:rtl/>
        </w:rPr>
      </w:pPr>
      <w:r w:rsidRPr="00115A08">
        <w:rPr>
          <w:rStyle w:val="a8"/>
          <w:rFonts w:hint="cs"/>
          <w:rtl/>
        </w:rPr>
        <w:t>ה</w:t>
      </w:r>
    </w:p>
    <w:p w:rsidR="00794692" w:rsidRDefault="00794692" w:rsidP="00794692">
      <w:pPr>
        <w:rPr>
          <w:rFonts w:hint="cs"/>
          <w:rtl/>
        </w:rPr>
      </w:pPr>
      <w:r>
        <w:rPr>
          <w:rFonts w:hint="cs"/>
          <w:rtl/>
        </w:rPr>
        <w:t>רמב"ם מתאר כי בשעת התפלה צריך האדם ש"יהיה לבו פנוי למעלה, כאילו הוא עומד בשמים"</w:t>
      </w:r>
      <w:r w:rsidRPr="005316B5">
        <w:rPr>
          <w:rStyle w:val="a5"/>
          <w:rtl/>
        </w:rPr>
        <w:endnoteReference w:id="1"/>
      </w:r>
      <w:r>
        <w:rPr>
          <w:rFonts w:hint="cs"/>
          <w:rtl/>
        </w:rPr>
        <w:t>. כך גם בשעת הזיווג על בני הזוג לפנות את לבם מכל ענין שמחוץ לקשר האהבה שלהם, להתנער מכובד משקלה של המציאות, ולרחף ביחד. לשם כך הזיווג נעשה בזמן בו אין הפרעות מן החוץ</w:t>
      </w:r>
      <w:r w:rsidRPr="005316B5">
        <w:rPr>
          <w:rStyle w:val="a5"/>
          <w:rtl/>
        </w:rPr>
        <w:endnoteReference w:id="2"/>
      </w:r>
      <w:r>
        <w:rPr>
          <w:rFonts w:hint="cs"/>
          <w:rtl/>
        </w:rPr>
        <w:t>, ובו גם הגוף משוחרר ממועקות של כבדות או של רעב, ובני הזוג מצווים "ולא יהיו שניהם לא שכורים ולא עצלנים ולא עצבנים… אלא ברצון שניהם ובשמחתם"</w:t>
      </w:r>
      <w:r w:rsidRPr="005316B5">
        <w:rPr>
          <w:rStyle w:val="a5"/>
          <w:rtl/>
        </w:rPr>
        <w:endnoteReference w:id="3"/>
      </w:r>
      <w:r>
        <w:rPr>
          <w:rFonts w:hint="cs"/>
          <w:rtl/>
        </w:rPr>
        <w:t xml:space="preserve">. </w:t>
      </w:r>
    </w:p>
    <w:p w:rsidR="00794692" w:rsidRDefault="00794692" w:rsidP="00794692">
      <w:pPr>
        <w:rPr>
          <w:rFonts w:hint="cs"/>
          <w:rtl/>
        </w:rPr>
      </w:pPr>
      <w:r>
        <w:rPr>
          <w:rFonts w:hint="cs"/>
          <w:rtl/>
        </w:rPr>
        <w:t xml:space="preserve">הריחוף בשמים </w:t>
      </w:r>
      <w:r>
        <w:rPr>
          <w:rtl/>
        </w:rPr>
        <w:t>–</w:t>
      </w:r>
      <w:r>
        <w:rPr>
          <w:rFonts w:hint="cs"/>
          <w:rtl/>
        </w:rPr>
        <w:t xml:space="preserve"> תחושת </w:t>
      </w:r>
      <w:proofErr w:type="spellStart"/>
      <w:r>
        <w:rPr>
          <w:rFonts w:hint="cs"/>
          <w:rtl/>
        </w:rPr>
        <w:t>העפיפה</w:t>
      </w:r>
      <w:proofErr w:type="spellEnd"/>
      <w:r>
        <w:rPr>
          <w:rFonts w:hint="cs"/>
          <w:rtl/>
        </w:rPr>
        <w:t xml:space="preserve"> </w:t>
      </w:r>
      <w:r>
        <w:rPr>
          <w:rtl/>
        </w:rPr>
        <w:t>–</w:t>
      </w:r>
      <w:r>
        <w:rPr>
          <w:rFonts w:hint="cs"/>
          <w:rtl/>
        </w:rPr>
        <w:t xml:space="preserve"> היא </w:t>
      </w:r>
      <w:proofErr w:type="spellStart"/>
      <w:r>
        <w:rPr>
          <w:rFonts w:hint="cs"/>
          <w:rtl/>
        </w:rPr>
        <w:t>חוית</w:t>
      </w:r>
      <w:proofErr w:type="spellEnd"/>
      <w:r>
        <w:rPr>
          <w:rFonts w:hint="cs"/>
          <w:rtl/>
        </w:rPr>
        <w:t xml:space="preserve"> השיא של הזיווג</w:t>
      </w:r>
      <w:r w:rsidRPr="005316B5">
        <w:rPr>
          <w:rStyle w:val="a5"/>
          <w:rtl/>
        </w:rPr>
        <w:endnoteReference w:id="4"/>
      </w:r>
      <w:r>
        <w:rPr>
          <w:rFonts w:hint="cs"/>
          <w:rtl/>
        </w:rPr>
        <w:t xml:space="preserve">. אז חשים בני הזוג, הבוערים באש הקדש של אהבתם, כשרפים מעופפים. אכן, בדרך אל הריחוף </w:t>
      </w:r>
      <w:r>
        <w:rPr>
          <w:rFonts w:hint="eastAsia"/>
          <w:rtl/>
        </w:rPr>
        <w:t xml:space="preserve">– על מנת שיהיה זה ריחוף </w:t>
      </w:r>
      <w:r>
        <w:rPr>
          <w:rFonts w:hint="cs"/>
          <w:rtl/>
        </w:rPr>
        <w:t xml:space="preserve">של שרפי קדש הלוהטים באש </w:t>
      </w:r>
      <w:r>
        <w:rPr>
          <w:rFonts w:hint="eastAsia"/>
          <w:rtl/>
        </w:rPr>
        <w:t xml:space="preserve">קדש </w:t>
      </w:r>
      <w:r>
        <w:rPr>
          <w:rFonts w:hint="cs"/>
          <w:rtl/>
        </w:rPr>
        <w:t xml:space="preserve">(ולא ח"ו מצב של "אש </w:t>
      </w:r>
      <w:proofErr w:type="spellStart"/>
      <w:r>
        <w:rPr>
          <w:rFonts w:hint="cs"/>
          <w:rtl/>
        </w:rPr>
        <w:t>אוכלתן</w:t>
      </w:r>
      <w:proofErr w:type="spellEnd"/>
      <w:r>
        <w:rPr>
          <w:rFonts w:hint="cs"/>
          <w:rtl/>
        </w:rPr>
        <w:t>"</w:t>
      </w:r>
      <w:r w:rsidRPr="005316B5">
        <w:rPr>
          <w:rStyle w:val="a5"/>
          <w:rtl/>
        </w:rPr>
        <w:endnoteReference w:id="5"/>
      </w:r>
      <w:r>
        <w:rPr>
          <w:rFonts w:hint="cs"/>
          <w:rtl/>
        </w:rPr>
        <w:t xml:space="preserve">, בו ה"שרף </w:t>
      </w:r>
      <w:proofErr w:type="spellStart"/>
      <w:r>
        <w:rPr>
          <w:rFonts w:hint="cs"/>
          <w:rtl/>
        </w:rPr>
        <w:t>מע</w:t>
      </w:r>
      <w:r w:rsidRPr="00CD27F0">
        <w:rPr>
          <w:rFonts w:hint="cs"/>
          <w:spacing w:val="-10"/>
          <w:rtl/>
        </w:rPr>
        <w:t>ֹ</w:t>
      </w:r>
      <w:r w:rsidRPr="00CD27F0">
        <w:rPr>
          <w:rFonts w:hint="cs"/>
          <w:spacing w:val="-6"/>
          <w:rtl/>
        </w:rPr>
        <w:t>פ</w:t>
      </w:r>
      <w:r>
        <w:rPr>
          <w:rFonts w:hint="cs"/>
          <w:rtl/>
        </w:rPr>
        <w:t>ף</w:t>
      </w:r>
      <w:proofErr w:type="spellEnd"/>
      <w:r>
        <w:rPr>
          <w:rFonts w:hint="cs"/>
          <w:rtl/>
        </w:rPr>
        <w:t>"</w:t>
      </w:r>
      <w:r w:rsidRPr="005316B5">
        <w:rPr>
          <w:rStyle w:val="a5"/>
          <w:rtl/>
        </w:rPr>
        <w:endnoteReference w:id="6"/>
      </w:r>
      <w:r>
        <w:rPr>
          <w:rFonts w:hint="cs"/>
          <w:rtl/>
        </w:rPr>
        <w:t xml:space="preserve"> אינו אלא הנחש הקדמוני) </w:t>
      </w:r>
      <w:r>
        <w:rPr>
          <w:rFonts w:hint="eastAsia"/>
          <w:rtl/>
        </w:rPr>
        <w:t xml:space="preserve">– על </w:t>
      </w:r>
      <w:r>
        <w:rPr>
          <w:rFonts w:hint="cs"/>
          <w:rtl/>
        </w:rPr>
        <w:t>בני הזוג להתקדם בסולם של שלשה שלבים, המכוונים כנגד שלשת זוגות כנפי השרפים: "</w:t>
      </w:r>
      <w:proofErr w:type="spellStart"/>
      <w:r>
        <w:rPr>
          <w:rFonts w:hint="cs"/>
          <w:rtl/>
        </w:rPr>
        <w:t>בשתים</w:t>
      </w:r>
      <w:proofErr w:type="spellEnd"/>
      <w:r>
        <w:rPr>
          <w:rFonts w:hint="cs"/>
          <w:rtl/>
        </w:rPr>
        <w:t xml:space="preserve"> יכסה פניו [דבר המתבטא בבושת הפנים הקיימת בין בני הזוג] </w:t>
      </w:r>
      <w:proofErr w:type="spellStart"/>
      <w:r>
        <w:rPr>
          <w:rFonts w:hint="cs"/>
          <w:rtl/>
        </w:rPr>
        <w:t>בשתים</w:t>
      </w:r>
      <w:proofErr w:type="spellEnd"/>
      <w:r>
        <w:rPr>
          <w:rFonts w:hint="cs"/>
          <w:rtl/>
        </w:rPr>
        <w:t xml:space="preserve"> יכסה רגליו [דבר המתבטא בצניעות הזיווג של בני הזוג] </w:t>
      </w:r>
      <w:proofErr w:type="spellStart"/>
      <w:r>
        <w:rPr>
          <w:rFonts w:hint="cs"/>
          <w:rtl/>
        </w:rPr>
        <w:t>ובשתים</w:t>
      </w:r>
      <w:proofErr w:type="spellEnd"/>
      <w:r>
        <w:rPr>
          <w:rFonts w:hint="cs"/>
          <w:rtl/>
        </w:rPr>
        <w:t xml:space="preserve"> יעופף [בעוצמת התשוקה הגורמת לבני הזוג לרחף ביחד]"</w:t>
      </w:r>
      <w:r w:rsidRPr="005316B5">
        <w:rPr>
          <w:rStyle w:val="a5"/>
          <w:rtl/>
        </w:rPr>
        <w:endnoteReference w:id="7"/>
      </w:r>
      <w:r>
        <w:rPr>
          <w:rFonts w:hint="cs"/>
          <w:rtl/>
        </w:rPr>
        <w:t>.</w:t>
      </w:r>
    </w:p>
    <w:p w:rsidR="00794692" w:rsidRDefault="00794692" w:rsidP="00794692">
      <w:pPr>
        <w:rPr>
          <w:rFonts w:hint="cs"/>
          <w:rtl/>
        </w:rPr>
      </w:pPr>
      <w:r>
        <w:rPr>
          <w:rFonts w:hint="cs"/>
          <w:rtl/>
        </w:rPr>
        <w:t xml:space="preserve">עם זאת, על אף שהריחוף בשמים בא בסוף, בכל שלשת השלבים של בושה-צניעות-תשוקה צריך להיות לבם של בני הזוג פנוי ומכוון כלפי מעלה – שואף אל השמים. לכן, ניתן להקביל לשלשת השלבים את שלשת הפירושים שנותנים חז"ל למושג שמים </w:t>
      </w:r>
      <w:r>
        <w:rPr>
          <w:rtl/>
        </w:rPr>
        <w:t>–</w:t>
      </w:r>
      <w:r>
        <w:rPr>
          <w:rFonts w:hint="cs"/>
          <w:rtl/>
        </w:rPr>
        <w:t xml:space="preserve"> שם מים, שא מים, אש ומים</w:t>
      </w:r>
      <w:r w:rsidRPr="005316B5">
        <w:rPr>
          <w:rStyle w:val="a5"/>
          <w:rtl/>
        </w:rPr>
        <w:endnoteReference w:id="8"/>
      </w:r>
      <w:r>
        <w:rPr>
          <w:rFonts w:hint="cs"/>
          <w:rtl/>
        </w:rPr>
        <w:t>:</w:t>
      </w:r>
    </w:p>
    <w:p w:rsidR="00794692" w:rsidRDefault="00794692" w:rsidP="00794692">
      <w:pPr>
        <w:rPr>
          <w:rFonts w:hint="cs"/>
          <w:rtl/>
        </w:rPr>
      </w:pPr>
      <w:r>
        <w:rPr>
          <w:rFonts w:hint="cs"/>
          <w:rtl/>
        </w:rPr>
        <w:t>"שם מים" היינו סוד "</w:t>
      </w:r>
      <w:proofErr w:type="spellStart"/>
      <w:r>
        <w:rPr>
          <w:rFonts w:hint="cs"/>
          <w:rtl/>
        </w:rPr>
        <w:t>בשתים</w:t>
      </w:r>
      <w:proofErr w:type="spellEnd"/>
      <w:r>
        <w:rPr>
          <w:rFonts w:hint="cs"/>
          <w:rtl/>
        </w:rPr>
        <w:t xml:space="preserve"> יכסה פניו". המים כאן הם הלחלוחית הקיימת במח שבראש </w:t>
      </w:r>
      <w:r>
        <w:rPr>
          <w:rtl/>
        </w:rPr>
        <w:t>–</w:t>
      </w:r>
      <w:r>
        <w:rPr>
          <w:rFonts w:hint="cs"/>
          <w:rtl/>
        </w:rPr>
        <w:t xml:space="preserve"> "מים מצמיחים כל מיני תענוג"</w:t>
      </w:r>
      <w:r w:rsidRPr="005316B5">
        <w:rPr>
          <w:rStyle w:val="a5"/>
          <w:rtl/>
        </w:rPr>
        <w:endnoteReference w:id="9"/>
      </w:r>
      <w:r>
        <w:rPr>
          <w:rFonts w:hint="cs"/>
          <w:rtl/>
        </w:rPr>
        <w:t>, ובהקשר של הזיווג המים שבמח הם מקור הזרע</w:t>
      </w:r>
      <w:r w:rsidRPr="005316B5">
        <w:rPr>
          <w:rStyle w:val="a5"/>
          <w:rtl/>
        </w:rPr>
        <w:endnoteReference w:id="10"/>
      </w:r>
      <w:r>
        <w:rPr>
          <w:rFonts w:hint="cs"/>
          <w:rtl/>
        </w:rPr>
        <w:t xml:space="preserve"> (דהיינו מקור </w:t>
      </w:r>
      <w:proofErr w:type="spellStart"/>
      <w:r>
        <w:rPr>
          <w:rFonts w:hint="cs"/>
          <w:rtl/>
        </w:rPr>
        <w:t>המיין-דכורין</w:t>
      </w:r>
      <w:proofErr w:type="spellEnd"/>
      <w:r>
        <w:rPr>
          <w:rFonts w:hint="cs"/>
          <w:rtl/>
        </w:rPr>
        <w:t xml:space="preserve"> של האיש </w:t>
      </w:r>
      <w:proofErr w:type="spellStart"/>
      <w:r>
        <w:rPr>
          <w:rFonts w:hint="cs"/>
          <w:rtl/>
        </w:rPr>
        <w:t>והמיין-נוקבין</w:t>
      </w:r>
      <w:proofErr w:type="spellEnd"/>
      <w:r>
        <w:rPr>
          <w:rFonts w:hint="cs"/>
          <w:rtl/>
        </w:rPr>
        <w:t xml:space="preserve"> של </w:t>
      </w:r>
      <w:proofErr w:type="spellStart"/>
      <w:r>
        <w:rPr>
          <w:rFonts w:hint="cs"/>
          <w:rtl/>
        </w:rPr>
        <w:t>האשה</w:t>
      </w:r>
      <w:proofErr w:type="spellEnd"/>
      <w:r w:rsidRPr="005316B5">
        <w:rPr>
          <w:rStyle w:val="a5"/>
          <w:rtl/>
        </w:rPr>
        <w:endnoteReference w:id="11"/>
      </w:r>
      <w:r>
        <w:rPr>
          <w:rFonts w:hint="cs"/>
          <w:rtl/>
        </w:rPr>
        <w:t xml:space="preserve">). הבושה גורמת להצנעת הדבר בעצמו, שלא יהיה גלוי </w:t>
      </w:r>
      <w:r>
        <w:rPr>
          <w:rtl/>
        </w:rPr>
        <w:t>–</w:t>
      </w:r>
      <w:r>
        <w:rPr>
          <w:rFonts w:hint="cs"/>
          <w:rtl/>
        </w:rPr>
        <w:t xml:space="preserve"> כך שאי אפשר לומר "הנה מים" (לנוכח וגלוי) אלא "שם מים" (על נסתר ומכוסה). הבושה של בני הזוג גורמת לכל אחד מהם להצניע ולכסות את השרש והמקור הפנימי לזיווג, ולא להביט בשרש זה כפי שהוא קיים אצל זולתו.</w:t>
      </w:r>
    </w:p>
    <w:p w:rsidR="00794692" w:rsidRDefault="00794692" w:rsidP="00794692">
      <w:pPr>
        <w:rPr>
          <w:rFonts w:hint="cs"/>
          <w:rtl/>
        </w:rPr>
      </w:pPr>
      <w:r>
        <w:rPr>
          <w:rFonts w:hint="cs"/>
          <w:rtl/>
        </w:rPr>
        <w:t xml:space="preserve">"שא מים" היינו רמז להתקשרות הרגלים לסוד השמים </w:t>
      </w:r>
      <w:r>
        <w:rPr>
          <w:rtl/>
        </w:rPr>
        <w:t>–</w:t>
      </w:r>
      <w:r>
        <w:rPr>
          <w:rFonts w:hint="cs"/>
          <w:rtl/>
        </w:rPr>
        <w:t xml:space="preserve"> לכך שקיימים עמודים התומכים ונושאים את המים העליונים שבשמים, דבר המתבטא בגוף בכך שהרגלים תומכות ומוליכות את הראש</w:t>
      </w:r>
      <w:r w:rsidRPr="005316B5">
        <w:rPr>
          <w:rStyle w:val="a5"/>
          <w:rtl/>
        </w:rPr>
        <w:endnoteReference w:id="12"/>
      </w:r>
      <w:r>
        <w:rPr>
          <w:rFonts w:hint="cs"/>
          <w:rtl/>
        </w:rPr>
        <w:t xml:space="preserve"> בו נמצאים המים. אם מקור ההתעוררות לזיווג היא בראש, וממנו נובעים מימי הזיווג, הרי הרגלים הן התומכות את המים הללו ומחוללות את הזיווג בפועל </w:t>
      </w:r>
      <w:r>
        <w:rPr>
          <w:rtl/>
        </w:rPr>
        <w:t>–</w:t>
      </w:r>
      <w:r>
        <w:rPr>
          <w:rFonts w:hint="cs"/>
          <w:rtl/>
        </w:rPr>
        <w:t xml:space="preserve"> הן הנושאות את המים </w:t>
      </w:r>
      <w:r>
        <w:rPr>
          <w:rtl/>
        </w:rPr>
        <w:t>–</w:t>
      </w:r>
      <w:r>
        <w:rPr>
          <w:rFonts w:hint="cs"/>
          <w:rtl/>
        </w:rPr>
        <w:t xml:space="preserve"> ובעת הזיווג יש להקפיד על צניעותן. זהו סוד "</w:t>
      </w:r>
      <w:proofErr w:type="spellStart"/>
      <w:r>
        <w:rPr>
          <w:rFonts w:hint="cs"/>
          <w:rtl/>
        </w:rPr>
        <w:t>ובשתים</w:t>
      </w:r>
      <w:proofErr w:type="spellEnd"/>
      <w:r>
        <w:rPr>
          <w:rFonts w:hint="cs"/>
          <w:rtl/>
        </w:rPr>
        <w:t xml:space="preserve"> יכסה רגליו".</w:t>
      </w:r>
    </w:p>
    <w:p w:rsidR="00794692" w:rsidRDefault="00794692" w:rsidP="00794692">
      <w:pPr>
        <w:rPr>
          <w:rFonts w:hint="cs"/>
          <w:rtl/>
        </w:rPr>
      </w:pPr>
      <w:r>
        <w:rPr>
          <w:rFonts w:hint="cs"/>
          <w:rtl/>
        </w:rPr>
        <w:t xml:space="preserve">"אש ומים" היינו עצם התשוקה העזה בין בני הזוג </w:t>
      </w:r>
      <w:r>
        <w:rPr>
          <w:rtl/>
        </w:rPr>
        <w:t>–</w:t>
      </w:r>
      <w:r>
        <w:rPr>
          <w:rFonts w:hint="cs"/>
          <w:rtl/>
        </w:rPr>
        <w:t xml:space="preserve"> התפרצות רגשות הלב הבוערים </w:t>
      </w:r>
      <w:proofErr w:type="spellStart"/>
      <w:r>
        <w:rPr>
          <w:rFonts w:hint="cs"/>
          <w:rtl/>
        </w:rPr>
        <w:t>ועפיפת</w:t>
      </w:r>
      <w:proofErr w:type="spellEnd"/>
      <w:r>
        <w:rPr>
          <w:rFonts w:hint="cs"/>
          <w:rtl/>
        </w:rPr>
        <w:t xml:space="preserve"> בני הזוג כשרפים אוהבים באש קדש, "</w:t>
      </w:r>
      <w:proofErr w:type="spellStart"/>
      <w:r>
        <w:rPr>
          <w:rFonts w:hint="cs"/>
          <w:rtl/>
        </w:rPr>
        <w:t>ובשתים</w:t>
      </w:r>
      <w:proofErr w:type="spellEnd"/>
      <w:r>
        <w:rPr>
          <w:rFonts w:hint="cs"/>
          <w:rtl/>
        </w:rPr>
        <w:t xml:space="preserve"> יעופף". התשוקה עצמה איננה אש בלבד </w:t>
      </w:r>
      <w:r>
        <w:rPr>
          <w:rFonts w:hint="eastAsia"/>
          <w:rtl/>
        </w:rPr>
        <w:t xml:space="preserve">– </w:t>
      </w:r>
      <w:r>
        <w:rPr>
          <w:rFonts w:hint="cs"/>
          <w:rtl/>
        </w:rPr>
        <w:t xml:space="preserve">היא </w:t>
      </w:r>
      <w:r>
        <w:rPr>
          <w:rFonts w:hint="eastAsia"/>
          <w:rtl/>
        </w:rPr>
        <w:t>התעוררות קדושה רוויה גם במים חיים</w:t>
      </w:r>
      <w:r w:rsidRPr="005316B5">
        <w:rPr>
          <w:rStyle w:val="a5"/>
          <w:rtl/>
        </w:rPr>
        <w:endnoteReference w:id="13"/>
      </w:r>
      <w:r>
        <w:rPr>
          <w:rFonts w:hint="cs"/>
          <w:rtl/>
        </w:rPr>
        <w:t xml:space="preserve">. התעוררות התשוקה הקדושה איננה </w:t>
      </w:r>
      <w:proofErr w:type="spellStart"/>
      <w:r>
        <w:rPr>
          <w:rFonts w:hint="cs"/>
          <w:rtl/>
        </w:rPr>
        <w:t>תאוה</w:t>
      </w:r>
      <w:proofErr w:type="spellEnd"/>
      <w:r>
        <w:rPr>
          <w:rFonts w:hint="cs"/>
          <w:rtl/>
        </w:rPr>
        <w:t xml:space="preserve"> מכלה </w:t>
      </w:r>
      <w:r>
        <w:rPr>
          <w:rFonts w:hint="cs"/>
          <w:rtl/>
        </w:rPr>
        <w:lastRenderedPageBreak/>
        <w:t>ושורפת, אלא דחף עז (ומלא בתענוג פנימי) להצמחת חיים חדשים. כשהאש מצטרפת אל המים שוב לא ניתן להצניע אותם, וגם אין צורך בכך, והרגש החם מתגלה בין בני הזוג וגורם להם לרחף ביחד.</w:t>
      </w:r>
    </w:p>
    <w:p w:rsidR="00794692" w:rsidRDefault="00794692" w:rsidP="00794692">
      <w:pPr>
        <w:rPr>
          <w:rFonts w:hint="cs"/>
          <w:rtl/>
        </w:rPr>
      </w:pPr>
      <w:r>
        <w:rPr>
          <w:rFonts w:hint="cs"/>
          <w:rtl/>
        </w:rPr>
        <w:t>את כל התהליך הזה ניתן להמחיש יותר דרך ההתייחסות לתורה: "אין מים אלא תורה"</w:t>
      </w:r>
      <w:r w:rsidRPr="005316B5">
        <w:rPr>
          <w:rStyle w:val="a5"/>
          <w:rtl/>
        </w:rPr>
        <w:endnoteReference w:id="14"/>
      </w:r>
      <w:r>
        <w:rPr>
          <w:rFonts w:hint="cs"/>
          <w:rtl/>
        </w:rPr>
        <w:t xml:space="preserve">, ואלו הם המים שבראשו ושכלו של האדם ("שם מים"), כאשר הרגלים הן </w:t>
      </w:r>
      <w:proofErr w:type="spellStart"/>
      <w:r>
        <w:rPr>
          <w:rFonts w:hint="cs"/>
          <w:rtl/>
        </w:rPr>
        <w:t>ה"תמכין</w:t>
      </w:r>
      <w:proofErr w:type="spellEnd"/>
      <w:r>
        <w:rPr>
          <w:rFonts w:hint="cs"/>
          <w:rtl/>
        </w:rPr>
        <w:t xml:space="preserve"> דאורייתא"</w:t>
      </w:r>
      <w:r w:rsidRPr="005316B5">
        <w:rPr>
          <w:rStyle w:val="a5"/>
          <w:rtl/>
        </w:rPr>
        <w:endnoteReference w:id="15"/>
      </w:r>
      <w:r>
        <w:rPr>
          <w:rFonts w:hint="cs"/>
          <w:rtl/>
        </w:rPr>
        <w:t xml:space="preserve"> הנושאות ותומכות את מימי התורה ("שא מים"). אם ביחס לתורה עצמה צריכה להתקיים מדה של בושה טובה, שמונעת לגלות אותה </w:t>
      </w:r>
      <w:proofErr w:type="spellStart"/>
      <w:r>
        <w:rPr>
          <w:rFonts w:hint="cs"/>
          <w:rtl/>
        </w:rPr>
        <w:t>בפרהסיא</w:t>
      </w:r>
      <w:proofErr w:type="spellEnd"/>
      <w:r w:rsidRPr="005316B5">
        <w:rPr>
          <w:rStyle w:val="a5"/>
          <w:rtl/>
        </w:rPr>
        <w:endnoteReference w:id="16"/>
      </w:r>
      <w:r>
        <w:rPr>
          <w:rFonts w:hint="cs"/>
          <w:rtl/>
        </w:rPr>
        <w:t xml:space="preserve">, </w:t>
      </w:r>
      <w:proofErr w:type="spellStart"/>
      <w:r>
        <w:rPr>
          <w:rFonts w:hint="cs"/>
          <w:rtl/>
        </w:rPr>
        <w:t>בודאי</w:t>
      </w:r>
      <w:proofErr w:type="spellEnd"/>
      <w:r>
        <w:rPr>
          <w:rFonts w:hint="cs"/>
          <w:rtl/>
        </w:rPr>
        <w:t xml:space="preserve"> כך הוא ביחס לתומכי התורה, שנדרשים להצניע את עצמם ואת מעשיהם הטובים. נראה כי הבושה בגילוי מי השכל של התורה לכל היא בתחושה שהדבר עלול להחצין את התורה ולהפוך את התענוג הקדוש הקיים בה לתענוג שכלי פשוט </w:t>
      </w:r>
      <w:r>
        <w:rPr>
          <w:rtl/>
        </w:rPr>
        <w:t>–</w:t>
      </w:r>
      <w:r>
        <w:rPr>
          <w:rFonts w:hint="cs"/>
          <w:rtl/>
        </w:rPr>
        <w:t xml:space="preserve"> כזה אשר כל בר שכל תופס ומשיג אותו, ובכך מחלל את הפלא שבתורה. בדומה לכך, הגילוי כי התורה זקוקה </w:t>
      </w:r>
      <w:proofErr w:type="spellStart"/>
      <w:r>
        <w:rPr>
          <w:rFonts w:hint="cs"/>
          <w:rtl/>
        </w:rPr>
        <w:t>ל"תמכין</w:t>
      </w:r>
      <w:proofErr w:type="spellEnd"/>
      <w:r>
        <w:rPr>
          <w:rFonts w:hint="cs"/>
          <w:rtl/>
        </w:rPr>
        <w:t xml:space="preserve"> דאורייתא" עלול להשפיל את מעלתה בעיני הציבור, ולכן יש להצניע את תומכי התורה (ואף הם עצמם חשים צורך להצטנע, בהכירם כי באמת אין הם אלא טפלים ללומדי התורה, כמובן). אמנם, ברגע שמתגלה ממד האש שבתורה </w:t>
      </w:r>
      <w:r>
        <w:rPr>
          <w:rtl/>
        </w:rPr>
        <w:t>–</w:t>
      </w:r>
      <w:r>
        <w:rPr>
          <w:rFonts w:hint="cs"/>
          <w:rtl/>
        </w:rPr>
        <w:t xml:space="preserve"> רזי התורה (שנמשלו לאש</w:t>
      </w:r>
      <w:bookmarkStart w:id="2" w:name="_Ref144644121"/>
      <w:r w:rsidRPr="005316B5">
        <w:rPr>
          <w:rStyle w:val="a5"/>
          <w:rtl/>
        </w:rPr>
        <w:endnoteReference w:id="17"/>
      </w:r>
      <w:bookmarkEnd w:id="2"/>
      <w:r>
        <w:rPr>
          <w:rFonts w:hint="cs"/>
          <w:rtl/>
        </w:rPr>
        <w:t>) המסתתרים בתוך הנגלה שבתורה (שנמשל למים</w:t>
      </w:r>
      <w:r w:rsidRPr="006A216A">
        <w:rPr>
          <w:rStyle w:val="a5"/>
          <w:rtl/>
        </w:rPr>
        <w:fldChar w:fldCharType="begin"/>
      </w:r>
      <w:r w:rsidRPr="006A216A">
        <w:rPr>
          <w:rStyle w:val="a5"/>
          <w:rtl/>
        </w:rPr>
        <w:instrText xml:space="preserve"> </w:instrText>
      </w:r>
      <w:r w:rsidRPr="006A216A">
        <w:rPr>
          <w:rStyle w:val="a5"/>
          <w:rFonts w:hint="cs"/>
        </w:rPr>
        <w:instrText>NOTEREF</w:instrText>
      </w:r>
      <w:r w:rsidRPr="006A216A">
        <w:rPr>
          <w:rStyle w:val="a5"/>
          <w:rFonts w:hint="cs"/>
          <w:rtl/>
        </w:rPr>
        <w:instrText xml:space="preserve"> _</w:instrText>
      </w:r>
      <w:r w:rsidRPr="006A216A">
        <w:rPr>
          <w:rStyle w:val="a5"/>
          <w:rFonts w:hint="cs"/>
        </w:rPr>
        <w:instrText>Ref144644121 \h</w:instrText>
      </w:r>
      <w:r w:rsidRPr="006A216A">
        <w:rPr>
          <w:rStyle w:val="a5"/>
          <w:rtl/>
        </w:rPr>
        <w:instrText xml:space="preserve"> </w:instrText>
      </w:r>
      <w:r w:rsidRPr="006A216A">
        <w:rPr>
          <w:rStyle w:val="a5"/>
        </w:rPr>
      </w:r>
      <w:r>
        <w:rPr>
          <w:rStyle w:val="a5"/>
          <w:rtl/>
        </w:rPr>
        <w:instrText xml:space="preserve"> \* </w:instrText>
      </w:r>
      <w:r>
        <w:rPr>
          <w:rStyle w:val="a5"/>
        </w:rPr>
        <w:instrText>MERGEFORMAT</w:instrText>
      </w:r>
      <w:r>
        <w:rPr>
          <w:rStyle w:val="a5"/>
          <w:rtl/>
        </w:rPr>
        <w:instrText xml:space="preserve"> </w:instrText>
      </w:r>
      <w:r w:rsidRPr="006A216A">
        <w:rPr>
          <w:rStyle w:val="a5"/>
          <w:rtl/>
        </w:rPr>
        <w:fldChar w:fldCharType="separate"/>
      </w:r>
      <w:r>
        <w:rPr>
          <w:rStyle w:val="a5"/>
          <w:rtl/>
        </w:rPr>
        <w:t>יז</w:t>
      </w:r>
      <w:r w:rsidRPr="006A216A">
        <w:rPr>
          <w:rStyle w:val="a5"/>
          <w:rtl/>
        </w:rPr>
        <w:fldChar w:fldCharType="end"/>
      </w:r>
      <w:r>
        <w:rPr>
          <w:rFonts w:hint="cs"/>
          <w:rtl/>
        </w:rPr>
        <w:t xml:space="preserve">) </w:t>
      </w:r>
      <w:r>
        <w:rPr>
          <w:rtl/>
        </w:rPr>
        <w:t>–</w:t>
      </w:r>
      <w:r>
        <w:rPr>
          <w:rFonts w:hint="cs"/>
          <w:rtl/>
        </w:rPr>
        <w:t xml:space="preserve"> שוב אין צורך בהסתר. הסוד, גם כאשר הוא מתגלה, נותר עמוק ונסתר </w:t>
      </w:r>
      <w:r>
        <w:rPr>
          <w:rtl/>
        </w:rPr>
        <w:t>–</w:t>
      </w:r>
      <w:r>
        <w:rPr>
          <w:rFonts w:hint="cs"/>
          <w:rtl/>
        </w:rPr>
        <w:t xml:space="preserve"> אז גם כאשר תתגלה התורה </w:t>
      </w:r>
      <w:proofErr w:type="spellStart"/>
      <w:r>
        <w:rPr>
          <w:rFonts w:hint="cs"/>
          <w:rtl/>
        </w:rPr>
        <w:t>בפרהסיא</w:t>
      </w:r>
      <w:proofErr w:type="spellEnd"/>
      <w:r>
        <w:rPr>
          <w:rFonts w:hint="cs"/>
          <w:rtl/>
        </w:rPr>
        <w:t xml:space="preserve"> הרחבה ביותר, יוותר הפלא בדברים והם ילהיבו את הלבבות וירוממו את הלומדים אל השמים.</w:t>
      </w:r>
    </w:p>
    <w:p w:rsidR="00794692" w:rsidRDefault="00794692" w:rsidP="00794692">
      <w:pPr>
        <w:rPr>
          <w:rFonts w:hint="cs"/>
          <w:rtl/>
        </w:rPr>
      </w:pPr>
      <w:r>
        <w:rPr>
          <w:rFonts w:hint="cs"/>
          <w:rtl/>
        </w:rPr>
        <w:t xml:space="preserve">ולפי זה יובן גם בהקשר של הזיווג: לפני שאש הקדש מתלהטת הזיווג מוּנע רק </w:t>
      </w:r>
      <w:proofErr w:type="spellStart"/>
      <w:r>
        <w:rPr>
          <w:rFonts w:hint="cs"/>
          <w:rtl/>
        </w:rPr>
        <w:t>בכח</w:t>
      </w:r>
      <w:proofErr w:type="spellEnd"/>
      <w:r>
        <w:rPr>
          <w:rFonts w:hint="cs"/>
          <w:rtl/>
        </w:rPr>
        <w:t xml:space="preserve"> של מים, שטבעם לדבק ולחבר ולהצמיח כל מיני תענוג. אז ישנה תחושה פנימית ברורה כי יש בזיווג סוד עמוק של התקשרות הנשמות, אך יש בושה לחשוף את מקור הזיווג בראשו של האדם מתוך ההרגשה שהחשיפה תעלים את הסוד ורק הממד החיצוני של המים יתגלה </w:t>
      </w:r>
      <w:r>
        <w:rPr>
          <w:rtl/>
        </w:rPr>
        <w:t>–</w:t>
      </w:r>
      <w:r>
        <w:rPr>
          <w:rFonts w:hint="cs"/>
          <w:rtl/>
        </w:rPr>
        <w:t xml:space="preserve"> זהו חשש שיראה כי המים שבמח אינם אלא הורמונים היוצרים משיכה טבעית-ביולוגית בין שני בני אדם (או, בדרגה נעלית הרבה יותר, כוונה מוגדרת המניעה את בני הזוג להתייחד </w:t>
      </w:r>
      <w:r>
        <w:rPr>
          <w:rtl/>
        </w:rPr>
        <w:t>–</w:t>
      </w:r>
      <w:r>
        <w:rPr>
          <w:rFonts w:hint="cs"/>
          <w:rtl/>
        </w:rPr>
        <w:t xml:space="preserve"> כוונה שככל שתהיה נעלה, היא נחשפת כסיבה מוגדרת וחיצונית המניעה מעשה טכני גרידא). ועוד יותר מכך ביחס ל"שא מים" – </w:t>
      </w:r>
      <w:proofErr w:type="spellStart"/>
      <w:r>
        <w:rPr>
          <w:rFonts w:hint="cs"/>
          <w:rtl/>
        </w:rPr>
        <w:t>מכיון</w:t>
      </w:r>
      <w:proofErr w:type="spellEnd"/>
      <w:r>
        <w:rPr>
          <w:rFonts w:hint="cs"/>
          <w:rtl/>
        </w:rPr>
        <w:t xml:space="preserve"> שאת ההתעוררות השכלית (או אפילו את הכוונה העליונה) נושאות הרגלים, היינו </w:t>
      </w:r>
      <w:proofErr w:type="spellStart"/>
      <w:r>
        <w:rPr>
          <w:rFonts w:hint="cs"/>
          <w:rtl/>
        </w:rPr>
        <w:t>שהכל</w:t>
      </w:r>
      <w:proofErr w:type="spellEnd"/>
      <w:r>
        <w:rPr>
          <w:rFonts w:hint="cs"/>
          <w:rtl/>
        </w:rPr>
        <w:t xml:space="preserve"> נישא על גבי </w:t>
      </w:r>
      <w:proofErr w:type="spellStart"/>
      <w:r>
        <w:rPr>
          <w:rFonts w:hint="cs"/>
          <w:rtl/>
        </w:rPr>
        <w:t>חויה</w:t>
      </w:r>
      <w:proofErr w:type="spellEnd"/>
      <w:r>
        <w:rPr>
          <w:rFonts w:hint="cs"/>
          <w:rtl/>
        </w:rPr>
        <w:t xml:space="preserve"> גופנית נמוכה, נדרשת צניעות רבה כדי לא לחלל את הזיווג ולהבין אותו במונחים גופניים נחותים. רק כאשר מתעוררת אש הקדש, וגלוי לכל כי יש במעשה הזיווג משהו שמעבר </w:t>
      </w:r>
      <w:r>
        <w:rPr>
          <w:rtl/>
        </w:rPr>
        <w:t>–</w:t>
      </w:r>
      <w:r>
        <w:rPr>
          <w:rFonts w:hint="cs"/>
          <w:rtl/>
        </w:rPr>
        <w:t xml:space="preserve"> משהו סודי המצית את הלב, הפועל בעוצמה על אף </w:t>
      </w:r>
      <w:proofErr w:type="spellStart"/>
      <w:r>
        <w:rPr>
          <w:rFonts w:hint="cs"/>
          <w:rtl/>
        </w:rPr>
        <w:t>שהכל</w:t>
      </w:r>
      <w:proofErr w:type="spellEnd"/>
      <w:r>
        <w:rPr>
          <w:rFonts w:hint="cs"/>
          <w:rtl/>
        </w:rPr>
        <w:t xml:space="preserve"> מתוכנת-לכאורה על ידי ההכרה השכלית והאינסטינקטים הגופניים – התשוקה יכולה להתגלות, לרומם את בני הזוג ולגרום להם לרחף בשמים, למעלה מהשעבוד לגוף ולמעלה מטעם ודעת.</w:t>
      </w:r>
    </w:p>
    <w:p w:rsidR="005F4A47" w:rsidRDefault="004267B1">
      <w:bookmarkStart w:id="3" w:name="_GoBack"/>
      <w:bookmarkEnd w:id="3"/>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7B1" w:rsidRDefault="004267B1" w:rsidP="00794692">
      <w:pPr>
        <w:spacing w:after="0" w:line="240" w:lineRule="auto"/>
      </w:pPr>
      <w:r>
        <w:separator/>
      </w:r>
    </w:p>
  </w:endnote>
  <w:endnote w:type="continuationSeparator" w:id="0">
    <w:p w:rsidR="004267B1" w:rsidRDefault="004267B1" w:rsidP="00794692">
      <w:pPr>
        <w:spacing w:after="0" w:line="240" w:lineRule="auto"/>
      </w:pPr>
      <w:r>
        <w:continuationSeparator/>
      </w:r>
    </w:p>
  </w:endnote>
  <w:endnote w:id="1">
    <w:p w:rsidR="00794692" w:rsidRDefault="00794692" w:rsidP="00794692">
      <w:pPr>
        <w:pStyle w:val="a3"/>
        <w:rPr>
          <w:rFonts w:hint="cs"/>
        </w:rPr>
      </w:pPr>
      <w:r>
        <w:rPr>
          <w:rtl/>
        </w:rPr>
        <w:tab/>
      </w:r>
      <w:r w:rsidRPr="00E15672">
        <w:rPr>
          <w:rtl/>
        </w:rPr>
        <w:endnoteRef/>
      </w:r>
      <w:r>
        <w:rPr>
          <w:rtl/>
        </w:rPr>
        <w:t>.</w:t>
      </w:r>
      <w:r>
        <w:rPr>
          <w:rtl/>
        </w:rPr>
        <w:tab/>
      </w:r>
      <w:r>
        <w:rPr>
          <w:rFonts w:hint="cs"/>
          <w:rtl/>
        </w:rPr>
        <w:t xml:space="preserve">הלכות תפלה ונשיאת כפים פ"ה </w:t>
      </w:r>
      <w:proofErr w:type="spellStart"/>
      <w:r>
        <w:rPr>
          <w:rFonts w:hint="cs"/>
          <w:rtl/>
        </w:rPr>
        <w:t>ה"ד</w:t>
      </w:r>
      <w:proofErr w:type="spellEnd"/>
      <w:r>
        <w:rPr>
          <w:rFonts w:hint="cs"/>
          <w:rtl/>
        </w:rPr>
        <w:t xml:space="preserve"> (וכפי שכבר נתבאר בתורות הקודמות).</w:t>
      </w:r>
    </w:p>
  </w:endnote>
  <w:endnote w:id="2">
    <w:p w:rsidR="00794692" w:rsidRDefault="00794692" w:rsidP="00794692">
      <w:pPr>
        <w:pStyle w:val="a3"/>
        <w:rPr>
          <w:rFonts w:hint="cs"/>
          <w:rtl/>
        </w:rPr>
      </w:pPr>
      <w:r>
        <w:rPr>
          <w:rtl/>
        </w:rPr>
        <w:tab/>
      </w:r>
      <w:r w:rsidRPr="00E15672">
        <w:rPr>
          <w:rtl/>
        </w:rPr>
        <w:endnoteRef/>
      </w:r>
      <w:r>
        <w:rPr>
          <w:rtl/>
        </w:rPr>
        <w:t>.</w:t>
      </w:r>
      <w:r>
        <w:rPr>
          <w:rtl/>
        </w:rPr>
        <w:tab/>
      </w:r>
      <w:proofErr w:type="spellStart"/>
      <w:r>
        <w:rPr>
          <w:rFonts w:hint="cs"/>
          <w:rtl/>
        </w:rPr>
        <w:t>שו"ע</w:t>
      </w:r>
      <w:proofErr w:type="spellEnd"/>
      <w:r>
        <w:rPr>
          <w:rFonts w:hint="cs"/>
          <w:rtl/>
        </w:rPr>
        <w:t xml:space="preserve"> </w:t>
      </w:r>
      <w:proofErr w:type="spellStart"/>
      <w:r>
        <w:rPr>
          <w:rFonts w:hint="cs"/>
          <w:rtl/>
        </w:rPr>
        <w:t>או"ח</w:t>
      </w:r>
      <w:proofErr w:type="spellEnd"/>
      <w:r>
        <w:rPr>
          <w:rFonts w:hint="cs"/>
          <w:rtl/>
        </w:rPr>
        <w:t xml:space="preserve"> סימן </w:t>
      </w:r>
      <w:proofErr w:type="spellStart"/>
      <w:r>
        <w:rPr>
          <w:rFonts w:hint="cs"/>
          <w:rtl/>
        </w:rPr>
        <w:t>רמ</w:t>
      </w:r>
      <w:proofErr w:type="spellEnd"/>
      <w:r>
        <w:rPr>
          <w:rFonts w:hint="cs"/>
          <w:rtl/>
        </w:rPr>
        <w:t xml:space="preserve"> סעיף ח, ועוד.</w:t>
      </w:r>
    </w:p>
  </w:endnote>
  <w:endnote w:id="3">
    <w:p w:rsidR="00794692" w:rsidRDefault="00794692" w:rsidP="00794692">
      <w:pPr>
        <w:pStyle w:val="a3"/>
        <w:rPr>
          <w:rtl/>
        </w:rPr>
      </w:pPr>
      <w:r>
        <w:rPr>
          <w:rtl/>
        </w:rPr>
        <w:tab/>
      </w:r>
      <w:r w:rsidRPr="00E15672">
        <w:rPr>
          <w:rtl/>
        </w:rPr>
        <w:endnoteRef/>
      </w:r>
      <w:r>
        <w:rPr>
          <w:rtl/>
        </w:rPr>
        <w:t>.</w:t>
      </w:r>
      <w:r>
        <w:rPr>
          <w:rtl/>
        </w:rPr>
        <w:tab/>
      </w:r>
      <w:r>
        <w:rPr>
          <w:rFonts w:hint="cs"/>
          <w:rtl/>
        </w:rPr>
        <w:t xml:space="preserve">רמב"ם הלכות דעות פ"ה </w:t>
      </w:r>
      <w:proofErr w:type="spellStart"/>
      <w:r>
        <w:rPr>
          <w:rFonts w:hint="cs"/>
          <w:rtl/>
        </w:rPr>
        <w:t>ה"ד</w:t>
      </w:r>
      <w:proofErr w:type="spellEnd"/>
      <w:r>
        <w:rPr>
          <w:rFonts w:hint="cs"/>
          <w:rtl/>
        </w:rPr>
        <w:t>.</w:t>
      </w:r>
    </w:p>
  </w:endnote>
  <w:endnote w:id="4">
    <w:p w:rsidR="00794692" w:rsidRDefault="00794692" w:rsidP="00794692">
      <w:pPr>
        <w:pStyle w:val="a3"/>
        <w:rPr>
          <w:rFonts w:hint="cs"/>
        </w:rPr>
      </w:pPr>
      <w:r>
        <w:rPr>
          <w:rtl/>
        </w:rPr>
        <w:tab/>
      </w:r>
      <w:r w:rsidRPr="00E15672">
        <w:rPr>
          <w:rtl/>
        </w:rPr>
        <w:endnoteRef/>
      </w:r>
      <w:r>
        <w:rPr>
          <w:rtl/>
        </w:rPr>
        <w:t>.</w:t>
      </w:r>
      <w:r>
        <w:rPr>
          <w:rtl/>
        </w:rPr>
        <w:tab/>
      </w:r>
      <w:r>
        <w:rPr>
          <w:rFonts w:hint="cs"/>
          <w:rtl/>
        </w:rPr>
        <w:t xml:space="preserve">וכנ"ל בתורה "לעולם הוי' דברך </w:t>
      </w:r>
      <w:proofErr w:type="spellStart"/>
      <w:r>
        <w:rPr>
          <w:rFonts w:hint="cs"/>
          <w:rtl/>
        </w:rPr>
        <w:t>נצב</w:t>
      </w:r>
      <w:proofErr w:type="spellEnd"/>
      <w:r>
        <w:rPr>
          <w:rFonts w:hint="cs"/>
          <w:rtl/>
        </w:rPr>
        <w:t xml:space="preserve"> בשמים".</w:t>
      </w:r>
    </w:p>
  </w:endnote>
  <w:endnote w:id="5">
    <w:p w:rsidR="00794692" w:rsidRDefault="00794692" w:rsidP="00794692">
      <w:pPr>
        <w:pStyle w:val="a3"/>
        <w:rPr>
          <w:rFonts w:hint="cs"/>
          <w:rtl/>
        </w:rPr>
      </w:pPr>
      <w:r>
        <w:rPr>
          <w:rtl/>
        </w:rPr>
        <w:tab/>
      </w:r>
      <w:r w:rsidRPr="00E15672">
        <w:rPr>
          <w:rtl/>
        </w:rPr>
        <w:endnoteRef/>
      </w:r>
      <w:r>
        <w:rPr>
          <w:rtl/>
        </w:rPr>
        <w:t>.</w:t>
      </w:r>
      <w:r>
        <w:rPr>
          <w:rtl/>
        </w:rPr>
        <w:tab/>
      </w:r>
      <w:r>
        <w:rPr>
          <w:rFonts w:hint="cs"/>
          <w:rtl/>
        </w:rPr>
        <w:t xml:space="preserve">סוטה </w:t>
      </w:r>
      <w:proofErr w:type="spellStart"/>
      <w:r>
        <w:rPr>
          <w:rFonts w:hint="cs"/>
          <w:rtl/>
        </w:rPr>
        <w:t>יז</w:t>
      </w:r>
      <w:proofErr w:type="spellEnd"/>
      <w:r>
        <w:rPr>
          <w:rFonts w:hint="cs"/>
          <w:rtl/>
        </w:rPr>
        <w:t>, א.</w:t>
      </w:r>
    </w:p>
  </w:endnote>
  <w:endnote w:id="6">
    <w:p w:rsidR="00794692" w:rsidRDefault="00794692" w:rsidP="00794692">
      <w:pPr>
        <w:pStyle w:val="a3"/>
        <w:rPr>
          <w:rFonts w:hint="cs"/>
          <w:rtl/>
        </w:rPr>
      </w:pPr>
      <w:r>
        <w:rPr>
          <w:rtl/>
        </w:rPr>
        <w:tab/>
      </w:r>
      <w:r w:rsidRPr="00E15672">
        <w:rPr>
          <w:rtl/>
        </w:rPr>
        <w:endnoteRef/>
      </w:r>
      <w:r>
        <w:rPr>
          <w:rtl/>
        </w:rPr>
        <w:t>.</w:t>
      </w:r>
      <w:r>
        <w:rPr>
          <w:rtl/>
        </w:rPr>
        <w:tab/>
      </w:r>
      <w:r>
        <w:rPr>
          <w:rFonts w:hint="cs"/>
          <w:rtl/>
        </w:rPr>
        <w:t xml:space="preserve">ישעיה יד, </w:t>
      </w:r>
      <w:proofErr w:type="spellStart"/>
      <w:r>
        <w:rPr>
          <w:rFonts w:hint="cs"/>
          <w:rtl/>
        </w:rPr>
        <w:t>כט</w:t>
      </w:r>
      <w:proofErr w:type="spellEnd"/>
      <w:r>
        <w:rPr>
          <w:rFonts w:hint="cs"/>
          <w:rtl/>
        </w:rPr>
        <w:t>. וראה זהר חדש רות (מאמר "</w:t>
      </w:r>
      <w:proofErr w:type="spellStart"/>
      <w:r>
        <w:rPr>
          <w:rFonts w:hint="cs"/>
          <w:rtl/>
        </w:rPr>
        <w:t>זוהמא</w:t>
      </w:r>
      <w:proofErr w:type="spellEnd"/>
      <w:r>
        <w:rPr>
          <w:rFonts w:hint="cs"/>
          <w:rtl/>
        </w:rPr>
        <w:t xml:space="preserve"> </w:t>
      </w:r>
      <w:proofErr w:type="spellStart"/>
      <w:r>
        <w:rPr>
          <w:rFonts w:hint="cs"/>
          <w:rtl/>
        </w:rPr>
        <w:t>דחויא</w:t>
      </w:r>
      <w:proofErr w:type="spellEnd"/>
      <w:r>
        <w:rPr>
          <w:rFonts w:hint="cs"/>
          <w:rtl/>
        </w:rPr>
        <w:t>") שהשרף המעופף היינו קין שיצא מזיווגם הלא-מתוקן  של אדם וחוה.</w:t>
      </w:r>
    </w:p>
  </w:endnote>
  <w:endnote w:id="7">
    <w:p w:rsidR="00794692" w:rsidRDefault="00794692" w:rsidP="00794692">
      <w:pPr>
        <w:pStyle w:val="a3"/>
        <w:rPr>
          <w:rFonts w:hint="cs"/>
          <w:rtl/>
        </w:rPr>
      </w:pPr>
      <w:r>
        <w:rPr>
          <w:rtl/>
        </w:rPr>
        <w:tab/>
      </w:r>
      <w:r w:rsidRPr="00E15672">
        <w:rPr>
          <w:rtl/>
        </w:rPr>
        <w:endnoteRef/>
      </w:r>
      <w:r>
        <w:rPr>
          <w:rtl/>
        </w:rPr>
        <w:t>.</w:t>
      </w:r>
      <w:r>
        <w:rPr>
          <w:rtl/>
        </w:rPr>
        <w:tab/>
      </w:r>
      <w:r>
        <w:rPr>
          <w:rFonts w:hint="cs"/>
          <w:rtl/>
        </w:rPr>
        <w:t xml:space="preserve">ישעיה ו, ב (וראה שם בפירוש מצודת דוד). שלשת השלבים הללו נתבארו בארוכה ביין משמח ח"א שער ז בתורה "בושה, צניעות, תשוקה" </w:t>
      </w:r>
      <w:r>
        <w:rPr>
          <w:rtl/>
        </w:rPr>
        <w:t>–</w:t>
      </w:r>
      <w:r>
        <w:rPr>
          <w:rFonts w:hint="cs"/>
          <w:rtl/>
        </w:rPr>
        <w:t xml:space="preserve"> עיי"ש.</w:t>
      </w:r>
    </w:p>
  </w:endnote>
  <w:endnote w:id="8">
    <w:p w:rsidR="00794692" w:rsidRDefault="00794692" w:rsidP="00794692">
      <w:pPr>
        <w:pStyle w:val="a3"/>
        <w:rPr>
          <w:rFonts w:hint="cs"/>
          <w:rtl/>
        </w:rPr>
      </w:pPr>
      <w:r>
        <w:rPr>
          <w:rtl/>
        </w:rPr>
        <w:tab/>
      </w:r>
      <w:r w:rsidRPr="00E15672">
        <w:rPr>
          <w:rtl/>
        </w:rPr>
        <w:endnoteRef/>
      </w:r>
      <w:r>
        <w:rPr>
          <w:rtl/>
        </w:rPr>
        <w:t>.</w:t>
      </w:r>
      <w:r>
        <w:rPr>
          <w:rtl/>
        </w:rPr>
        <w:tab/>
      </w:r>
      <w:r>
        <w:rPr>
          <w:rFonts w:hint="cs"/>
          <w:rtl/>
        </w:rPr>
        <w:t xml:space="preserve">רש"י לבראשית א, ח (על פי חגיגה </w:t>
      </w:r>
      <w:proofErr w:type="spellStart"/>
      <w:r>
        <w:rPr>
          <w:rFonts w:hint="cs"/>
          <w:rtl/>
        </w:rPr>
        <w:t>יב</w:t>
      </w:r>
      <w:proofErr w:type="spellEnd"/>
      <w:r>
        <w:rPr>
          <w:rFonts w:hint="cs"/>
          <w:rtl/>
        </w:rPr>
        <w:t>, א).</w:t>
      </w:r>
    </w:p>
  </w:endnote>
  <w:endnote w:id="9">
    <w:p w:rsidR="00794692" w:rsidRDefault="00794692" w:rsidP="00794692">
      <w:pPr>
        <w:pStyle w:val="a3"/>
        <w:rPr>
          <w:rFonts w:hint="cs"/>
          <w:rtl/>
        </w:rPr>
      </w:pPr>
      <w:r>
        <w:rPr>
          <w:rtl/>
        </w:rPr>
        <w:tab/>
      </w:r>
      <w:r w:rsidRPr="00E15672">
        <w:rPr>
          <w:rtl/>
        </w:rPr>
        <w:endnoteRef/>
      </w:r>
      <w:r>
        <w:rPr>
          <w:rtl/>
        </w:rPr>
        <w:t>.</w:t>
      </w:r>
      <w:r>
        <w:rPr>
          <w:rtl/>
        </w:rPr>
        <w:tab/>
      </w:r>
      <w:r>
        <w:rPr>
          <w:rFonts w:hint="cs"/>
          <w:rtl/>
        </w:rPr>
        <w:t>תניא פ"א.</w:t>
      </w:r>
    </w:p>
  </w:endnote>
  <w:endnote w:id="10">
    <w:p w:rsidR="00794692" w:rsidRDefault="00794692" w:rsidP="00794692">
      <w:pPr>
        <w:pStyle w:val="a3"/>
        <w:rPr>
          <w:rFonts w:hint="cs"/>
          <w:rtl/>
        </w:rPr>
      </w:pPr>
      <w:r>
        <w:rPr>
          <w:rtl/>
        </w:rPr>
        <w:tab/>
      </w:r>
      <w:r w:rsidRPr="00E15672">
        <w:rPr>
          <w:rtl/>
        </w:rPr>
        <w:endnoteRef/>
      </w:r>
      <w:r>
        <w:rPr>
          <w:rtl/>
        </w:rPr>
        <w:t>.</w:t>
      </w:r>
      <w:r>
        <w:rPr>
          <w:rtl/>
        </w:rPr>
        <w:tab/>
      </w:r>
      <w:r>
        <w:rPr>
          <w:rFonts w:hint="cs"/>
          <w:rtl/>
        </w:rPr>
        <w:t>ראה תניא פ"ב.</w:t>
      </w:r>
    </w:p>
  </w:endnote>
  <w:endnote w:id="11">
    <w:p w:rsidR="00794692" w:rsidRDefault="00794692" w:rsidP="00794692">
      <w:pPr>
        <w:pStyle w:val="a3"/>
        <w:rPr>
          <w:rFonts w:hint="cs"/>
          <w:rtl/>
        </w:rPr>
      </w:pPr>
      <w:r>
        <w:rPr>
          <w:rtl/>
        </w:rPr>
        <w:tab/>
      </w:r>
      <w:r w:rsidRPr="00E15672">
        <w:rPr>
          <w:rtl/>
        </w:rPr>
        <w:endnoteRef/>
      </w:r>
      <w:r>
        <w:rPr>
          <w:rtl/>
        </w:rPr>
        <w:t>.</w:t>
      </w:r>
      <w:r>
        <w:rPr>
          <w:rtl/>
        </w:rPr>
        <w:tab/>
      </w:r>
      <w:r>
        <w:rPr>
          <w:rFonts w:hint="cs"/>
          <w:rtl/>
        </w:rPr>
        <w:t xml:space="preserve">ראה </w:t>
      </w:r>
      <w:proofErr w:type="spellStart"/>
      <w:r>
        <w:rPr>
          <w:rFonts w:hint="cs"/>
          <w:rtl/>
        </w:rPr>
        <w:t>דרמ"צ</w:t>
      </w:r>
      <w:proofErr w:type="spellEnd"/>
      <w:r>
        <w:rPr>
          <w:rFonts w:hint="cs"/>
          <w:rtl/>
        </w:rPr>
        <w:t xml:space="preserve"> מצות מחצית השקל פ"ג (עמ' </w:t>
      </w:r>
      <w:proofErr w:type="spellStart"/>
      <w:r>
        <w:rPr>
          <w:rFonts w:hint="cs"/>
          <w:rtl/>
        </w:rPr>
        <w:t>סז</w:t>
      </w:r>
      <w:proofErr w:type="spellEnd"/>
      <w:r>
        <w:rPr>
          <w:rFonts w:hint="cs"/>
          <w:rtl/>
        </w:rPr>
        <w:t>).</w:t>
      </w:r>
    </w:p>
  </w:endnote>
  <w:endnote w:id="12">
    <w:p w:rsidR="00794692" w:rsidRDefault="00794692" w:rsidP="00794692">
      <w:pPr>
        <w:pStyle w:val="a3"/>
        <w:rPr>
          <w:rFonts w:hint="cs"/>
          <w:rtl/>
        </w:rPr>
      </w:pPr>
      <w:r>
        <w:rPr>
          <w:rtl/>
        </w:rPr>
        <w:tab/>
      </w:r>
      <w:r w:rsidRPr="00E15672">
        <w:rPr>
          <w:rtl/>
        </w:rPr>
        <w:endnoteRef/>
      </w:r>
      <w:r>
        <w:rPr>
          <w:rtl/>
        </w:rPr>
        <w:t>.</w:t>
      </w:r>
      <w:r>
        <w:rPr>
          <w:rtl/>
        </w:rPr>
        <w:tab/>
      </w:r>
      <w:r>
        <w:rPr>
          <w:rFonts w:hint="cs"/>
          <w:rtl/>
        </w:rPr>
        <w:t xml:space="preserve">ראה </w:t>
      </w:r>
      <w:proofErr w:type="spellStart"/>
      <w:r>
        <w:rPr>
          <w:rFonts w:hint="cs"/>
          <w:rtl/>
        </w:rPr>
        <w:t>תו"א</w:t>
      </w:r>
      <w:proofErr w:type="spellEnd"/>
      <w:r>
        <w:rPr>
          <w:rFonts w:hint="cs"/>
          <w:rtl/>
        </w:rPr>
        <w:t xml:space="preserve"> בראשית ד"ה "השמים </w:t>
      </w:r>
      <w:proofErr w:type="spellStart"/>
      <w:r>
        <w:rPr>
          <w:rFonts w:hint="cs"/>
          <w:rtl/>
        </w:rPr>
        <w:t>כסאי</w:t>
      </w:r>
      <w:proofErr w:type="spellEnd"/>
      <w:r>
        <w:rPr>
          <w:rFonts w:hint="cs"/>
          <w:rtl/>
        </w:rPr>
        <w:t>" (א, ב) ובכ"ד.</w:t>
      </w:r>
    </w:p>
  </w:endnote>
  <w:endnote w:id="13">
    <w:p w:rsidR="00794692" w:rsidRDefault="00794692" w:rsidP="00794692">
      <w:pPr>
        <w:pStyle w:val="a3"/>
        <w:rPr>
          <w:rFonts w:hint="cs"/>
          <w:rtl/>
        </w:rPr>
      </w:pPr>
      <w:r>
        <w:rPr>
          <w:rtl/>
        </w:rPr>
        <w:tab/>
      </w:r>
      <w:r w:rsidRPr="00E15672">
        <w:rPr>
          <w:rtl/>
        </w:rPr>
        <w:endnoteRef/>
      </w:r>
      <w:r>
        <w:rPr>
          <w:rtl/>
        </w:rPr>
        <w:t>.</w:t>
      </w:r>
      <w:r>
        <w:rPr>
          <w:rtl/>
        </w:rPr>
        <w:tab/>
      </w:r>
      <w:r>
        <w:rPr>
          <w:rFonts w:hint="cs"/>
          <w:rtl/>
        </w:rPr>
        <w:t xml:space="preserve">כפי שמסביר רבי אייזיק </w:t>
      </w:r>
      <w:proofErr w:type="spellStart"/>
      <w:r>
        <w:rPr>
          <w:rFonts w:hint="cs"/>
          <w:rtl/>
        </w:rPr>
        <w:t>מהומיל</w:t>
      </w:r>
      <w:proofErr w:type="spellEnd"/>
      <w:r>
        <w:rPr>
          <w:rFonts w:hint="cs"/>
          <w:rtl/>
        </w:rPr>
        <w:t xml:space="preserve"> זצ"ל במאמר השפלות והשמחה </w:t>
      </w:r>
      <w:proofErr w:type="spellStart"/>
      <w:r>
        <w:rPr>
          <w:rFonts w:hint="cs"/>
          <w:rtl/>
        </w:rPr>
        <w:t>פ"מ</w:t>
      </w:r>
      <w:proofErr w:type="spellEnd"/>
      <w:r>
        <w:rPr>
          <w:rFonts w:hint="cs"/>
          <w:rtl/>
        </w:rPr>
        <w:t xml:space="preserve"> </w:t>
      </w:r>
      <w:proofErr w:type="spellStart"/>
      <w:r>
        <w:rPr>
          <w:rFonts w:hint="cs"/>
          <w:rtl/>
        </w:rPr>
        <w:t>ופמ"א</w:t>
      </w:r>
      <w:proofErr w:type="spellEnd"/>
      <w:r>
        <w:rPr>
          <w:rFonts w:hint="cs"/>
          <w:rtl/>
        </w:rPr>
        <w:t>, וראה יין משמח ח"א שער ז בתורות "עורי צפון ובואי תימן" ו"ואל אישך תשוקתך".</w:t>
      </w:r>
    </w:p>
  </w:endnote>
  <w:endnote w:id="14">
    <w:p w:rsidR="00794692" w:rsidRDefault="00794692" w:rsidP="00794692">
      <w:pPr>
        <w:pStyle w:val="a3"/>
        <w:rPr>
          <w:rFonts w:hint="cs"/>
          <w:rtl/>
        </w:rPr>
      </w:pPr>
      <w:r>
        <w:rPr>
          <w:rtl/>
        </w:rPr>
        <w:tab/>
      </w:r>
      <w:r w:rsidRPr="00E15672">
        <w:rPr>
          <w:rtl/>
        </w:rPr>
        <w:endnoteRef/>
      </w:r>
      <w:r>
        <w:rPr>
          <w:rtl/>
        </w:rPr>
        <w:t>.</w:t>
      </w:r>
      <w:r>
        <w:rPr>
          <w:rtl/>
        </w:rPr>
        <w:tab/>
      </w:r>
      <w:r>
        <w:rPr>
          <w:rFonts w:hint="cs"/>
          <w:rtl/>
        </w:rPr>
        <w:t xml:space="preserve">בבא קמא </w:t>
      </w:r>
      <w:proofErr w:type="spellStart"/>
      <w:r>
        <w:rPr>
          <w:rFonts w:hint="cs"/>
          <w:rtl/>
        </w:rPr>
        <w:t>יז</w:t>
      </w:r>
      <w:proofErr w:type="spellEnd"/>
      <w:r>
        <w:rPr>
          <w:rFonts w:hint="cs"/>
          <w:rtl/>
        </w:rPr>
        <w:t>, א, ועוד.</w:t>
      </w:r>
    </w:p>
  </w:endnote>
  <w:endnote w:id="15">
    <w:p w:rsidR="00794692" w:rsidRDefault="00794692" w:rsidP="00794692">
      <w:pPr>
        <w:pStyle w:val="a3"/>
        <w:rPr>
          <w:rFonts w:hint="cs"/>
          <w:rtl/>
        </w:rPr>
      </w:pPr>
      <w:r>
        <w:rPr>
          <w:rtl/>
        </w:rPr>
        <w:tab/>
      </w:r>
      <w:r w:rsidRPr="00E15672">
        <w:rPr>
          <w:rtl/>
        </w:rPr>
        <w:endnoteRef/>
      </w:r>
      <w:r>
        <w:rPr>
          <w:rtl/>
        </w:rPr>
        <w:t>.</w:t>
      </w:r>
      <w:r>
        <w:rPr>
          <w:rtl/>
        </w:rPr>
        <w:tab/>
      </w:r>
      <w:r>
        <w:rPr>
          <w:rFonts w:hint="cs"/>
          <w:rtl/>
        </w:rPr>
        <w:t xml:space="preserve">זהר </w:t>
      </w:r>
      <w:proofErr w:type="spellStart"/>
      <w:r>
        <w:rPr>
          <w:rFonts w:hint="cs"/>
          <w:rtl/>
        </w:rPr>
        <w:t>ח"ג</w:t>
      </w:r>
      <w:proofErr w:type="spellEnd"/>
      <w:r>
        <w:rPr>
          <w:rFonts w:hint="cs"/>
          <w:rtl/>
        </w:rPr>
        <w:t xml:space="preserve"> </w:t>
      </w:r>
      <w:proofErr w:type="spellStart"/>
      <w:r>
        <w:rPr>
          <w:rFonts w:hint="cs"/>
          <w:rtl/>
        </w:rPr>
        <w:t>נג</w:t>
      </w:r>
      <w:proofErr w:type="spellEnd"/>
      <w:r>
        <w:rPr>
          <w:rFonts w:hint="cs"/>
          <w:rtl/>
        </w:rPr>
        <w:t>, ב.</w:t>
      </w:r>
    </w:p>
  </w:endnote>
  <w:endnote w:id="16">
    <w:p w:rsidR="00794692" w:rsidRDefault="00794692" w:rsidP="00794692">
      <w:pPr>
        <w:pStyle w:val="a3"/>
        <w:rPr>
          <w:rFonts w:hint="cs"/>
          <w:rtl/>
        </w:rPr>
      </w:pPr>
      <w:r>
        <w:rPr>
          <w:rtl/>
        </w:rPr>
        <w:tab/>
      </w:r>
      <w:r w:rsidRPr="00E15672">
        <w:rPr>
          <w:rtl/>
        </w:rPr>
        <w:endnoteRef/>
      </w:r>
      <w:r>
        <w:rPr>
          <w:rtl/>
        </w:rPr>
        <w:t>.</w:t>
      </w:r>
      <w:r>
        <w:rPr>
          <w:rtl/>
        </w:rPr>
        <w:tab/>
      </w:r>
      <w:r>
        <w:rPr>
          <w:rFonts w:hint="cs"/>
          <w:rtl/>
        </w:rPr>
        <w:t>ראה סוכה מט, ב (ובכ"ד).</w:t>
      </w:r>
    </w:p>
  </w:endnote>
  <w:endnote w:id="17">
    <w:p w:rsidR="00794692" w:rsidRDefault="00794692" w:rsidP="00794692">
      <w:pPr>
        <w:pStyle w:val="a3"/>
        <w:rPr>
          <w:rFonts w:hint="cs"/>
          <w:rtl/>
        </w:rPr>
      </w:pPr>
      <w:r>
        <w:rPr>
          <w:rtl/>
        </w:rPr>
        <w:tab/>
      </w:r>
      <w:r w:rsidRPr="00E15672">
        <w:rPr>
          <w:rtl/>
        </w:rPr>
        <w:endnoteRef/>
      </w:r>
      <w:r>
        <w:rPr>
          <w:rtl/>
        </w:rPr>
        <w:t>.</w:t>
      </w:r>
      <w:r>
        <w:rPr>
          <w:rtl/>
        </w:rPr>
        <w:tab/>
      </w:r>
      <w:r>
        <w:rPr>
          <w:rFonts w:hint="cs"/>
          <w:rtl/>
        </w:rPr>
        <w:t xml:space="preserve">ראה לוח "היום יום" </w:t>
      </w:r>
      <w:proofErr w:type="spellStart"/>
      <w:r>
        <w:rPr>
          <w:rFonts w:hint="cs"/>
          <w:rtl/>
        </w:rPr>
        <w:t>טז</w:t>
      </w:r>
      <w:proofErr w:type="spellEnd"/>
      <w:r>
        <w:rPr>
          <w:rFonts w:hint="cs"/>
          <w:rtl/>
        </w:rPr>
        <w:t xml:space="preserve"> מנחם-אב.</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7B1" w:rsidRDefault="004267B1" w:rsidP="00794692">
      <w:pPr>
        <w:spacing w:after="0" w:line="240" w:lineRule="auto"/>
      </w:pPr>
      <w:r>
        <w:separator/>
      </w:r>
    </w:p>
  </w:footnote>
  <w:footnote w:type="continuationSeparator" w:id="0">
    <w:p w:rsidR="004267B1" w:rsidRDefault="004267B1" w:rsidP="007946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495"/>
    <w:rsid w:val="00061E65"/>
    <w:rsid w:val="001F5495"/>
    <w:rsid w:val="004267B1"/>
    <w:rsid w:val="00794692"/>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794692"/>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794692"/>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794692"/>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autoRedefine/>
    <w:semiHidden/>
    <w:rsid w:val="00794692"/>
    <w:pPr>
      <w:tabs>
        <w:tab w:val="right" w:pos="266"/>
        <w:tab w:val="left" w:pos="340"/>
      </w:tabs>
      <w:spacing w:after="20" w:line="260" w:lineRule="exact"/>
      <w:ind w:left="340" w:hanging="340"/>
    </w:pPr>
    <w:rPr>
      <w:sz w:val="20"/>
      <w:szCs w:val="23"/>
    </w:rPr>
  </w:style>
  <w:style w:type="character" w:customStyle="1" w:styleId="a4">
    <w:name w:val="טקסט הערת סיום תו"/>
    <w:basedOn w:val="a0"/>
    <w:link w:val="a3"/>
    <w:semiHidden/>
    <w:rsid w:val="00794692"/>
    <w:rPr>
      <w:rFonts w:ascii="Times New Roman" w:eastAsia="Times New Roman" w:hAnsi="Times New Roman" w:cs="FrankRuehl"/>
      <w:sz w:val="20"/>
      <w:szCs w:val="23"/>
      <w:lang w:eastAsia="he-IL"/>
    </w:rPr>
  </w:style>
  <w:style w:type="character" w:styleId="a5">
    <w:name w:val="endnote reference"/>
    <w:aliases w:val="Endnote Reference"/>
    <w:basedOn w:val="a6"/>
    <w:semiHidden/>
    <w:rsid w:val="00794692"/>
    <w:rPr>
      <w:noProof/>
      <w:position w:val="-4"/>
      <w:szCs w:val="27"/>
      <w:vertAlign w:val="superscript"/>
    </w:rPr>
  </w:style>
  <w:style w:type="paragraph" w:customStyle="1" w:styleId="a7">
    <w:name w:val="פתיח תו"/>
    <w:basedOn w:val="a"/>
    <w:link w:val="a8"/>
    <w:rsid w:val="00794692"/>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794692"/>
    <w:rPr>
      <w:rFonts w:ascii="Times New Roman" w:eastAsia="Times New Roman" w:hAnsi="Times New Roman" w:cs="Guttman Soncino"/>
      <w:b/>
      <w:bCs/>
      <w:color w:val="808080"/>
      <w:position w:val="-5"/>
      <w:sz w:val="85"/>
      <w:szCs w:val="85"/>
      <w:lang w:eastAsia="he-IL"/>
    </w:rPr>
  </w:style>
  <w:style w:type="character" w:styleId="a6">
    <w:name w:val="footnote reference"/>
    <w:basedOn w:val="a0"/>
    <w:uiPriority w:val="99"/>
    <w:semiHidden/>
    <w:unhideWhenUsed/>
    <w:rsid w:val="0079469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794692"/>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794692"/>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794692"/>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autoRedefine/>
    <w:semiHidden/>
    <w:rsid w:val="00794692"/>
    <w:pPr>
      <w:tabs>
        <w:tab w:val="right" w:pos="266"/>
        <w:tab w:val="left" w:pos="340"/>
      </w:tabs>
      <w:spacing w:after="20" w:line="260" w:lineRule="exact"/>
      <w:ind w:left="340" w:hanging="340"/>
    </w:pPr>
    <w:rPr>
      <w:sz w:val="20"/>
      <w:szCs w:val="23"/>
    </w:rPr>
  </w:style>
  <w:style w:type="character" w:customStyle="1" w:styleId="a4">
    <w:name w:val="טקסט הערת סיום תו"/>
    <w:basedOn w:val="a0"/>
    <w:link w:val="a3"/>
    <w:semiHidden/>
    <w:rsid w:val="00794692"/>
    <w:rPr>
      <w:rFonts w:ascii="Times New Roman" w:eastAsia="Times New Roman" w:hAnsi="Times New Roman" w:cs="FrankRuehl"/>
      <w:sz w:val="20"/>
      <w:szCs w:val="23"/>
      <w:lang w:eastAsia="he-IL"/>
    </w:rPr>
  </w:style>
  <w:style w:type="character" w:styleId="a5">
    <w:name w:val="endnote reference"/>
    <w:aliases w:val="Endnote Reference"/>
    <w:basedOn w:val="a6"/>
    <w:semiHidden/>
    <w:rsid w:val="00794692"/>
    <w:rPr>
      <w:noProof/>
      <w:position w:val="-4"/>
      <w:szCs w:val="27"/>
      <w:vertAlign w:val="superscript"/>
    </w:rPr>
  </w:style>
  <w:style w:type="paragraph" w:customStyle="1" w:styleId="a7">
    <w:name w:val="פתיח תו"/>
    <w:basedOn w:val="a"/>
    <w:link w:val="a8"/>
    <w:rsid w:val="00794692"/>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794692"/>
    <w:rPr>
      <w:rFonts w:ascii="Times New Roman" w:eastAsia="Times New Roman" w:hAnsi="Times New Roman" w:cs="Guttman Soncino"/>
      <w:b/>
      <w:bCs/>
      <w:color w:val="808080"/>
      <w:position w:val="-5"/>
      <w:sz w:val="85"/>
      <w:szCs w:val="85"/>
      <w:lang w:eastAsia="he-IL"/>
    </w:rPr>
  </w:style>
  <w:style w:type="character" w:styleId="a6">
    <w:name w:val="footnote reference"/>
    <w:basedOn w:val="a0"/>
    <w:uiPriority w:val="99"/>
    <w:semiHidden/>
    <w:unhideWhenUsed/>
    <w:rsid w:val="007946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752</Words>
  <Characters>3764</Characters>
  <Application>Microsoft Office Word</Application>
  <DocSecurity>0</DocSecurity>
  <Lines>31</Lines>
  <Paragraphs>9</Paragraphs>
  <ScaleCrop>false</ScaleCrop>
  <Company/>
  <LinksUpToDate>false</LinksUpToDate>
  <CharactersWithSpaces>4507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2017-08-14T22:47:00Z</dcterms:created>
  <dcterms:modified xsi:type="dcterms:W3CDTF">2017-08-14T22:47:00Z</dcterms:modified>
</cp:coreProperties>
</file>