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59" w:rsidRPr="004017DE" w:rsidRDefault="009F1E59" w:rsidP="009F1E59">
      <w:pPr>
        <w:pStyle w:val="2"/>
        <w:rPr>
          <w:rtl/>
        </w:rPr>
      </w:pPr>
      <w:bookmarkStart w:id="0" w:name="_Toc145068666"/>
      <w:bookmarkStart w:id="1" w:name="_Ref145068927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685800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7DE">
        <w:rPr>
          <w:rtl/>
        </w:rPr>
        <w:t>הפעולה ההדדית בקידושין</w:t>
      </w:r>
      <w:bookmarkEnd w:id="0"/>
      <w:bookmarkEnd w:id="1"/>
    </w:p>
    <w:p w:rsidR="009F1E59" w:rsidRPr="00715B97" w:rsidRDefault="009F1E59" w:rsidP="009F1E59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b"/>
          <w:rtl/>
        </w:rPr>
      </w:pPr>
      <w:r w:rsidRPr="00715B97">
        <w:rPr>
          <w:rStyle w:val="ab"/>
          <w:rFonts w:hint="cs"/>
          <w:rtl/>
        </w:rPr>
        <w:t>מ</w:t>
      </w:r>
    </w:p>
    <w:p w:rsidR="009F1E59" w:rsidRPr="003F0F21" w:rsidRDefault="009F1E59" w:rsidP="009F1E59">
      <w:pPr>
        <w:rPr>
          <w:rFonts w:hint="cs"/>
          <w:rtl/>
        </w:rPr>
      </w:pPr>
      <w:r w:rsidRPr="003F0F21">
        <w:rPr>
          <w:rFonts w:hint="cs"/>
          <w:rtl/>
        </w:rPr>
        <w:t xml:space="preserve">רא דארעא </w:t>
      </w:r>
      <w:proofErr w:type="spellStart"/>
      <w:r w:rsidRPr="00B31855">
        <w:rPr>
          <w:rFonts w:hint="cs"/>
          <w:rtl/>
        </w:rPr>
        <w:t>ד</w:t>
      </w:r>
      <w:r w:rsidRPr="003F0F21">
        <w:rPr>
          <w:rFonts w:hint="cs"/>
          <w:rtl/>
        </w:rPr>
        <w:t>ישראל</w:t>
      </w:r>
      <w:proofErr w:type="spellEnd"/>
      <w:r w:rsidRPr="003F0F21">
        <w:rPr>
          <w:rFonts w:hint="cs"/>
          <w:rtl/>
        </w:rPr>
        <w:t xml:space="preserve">, רבי מנחם </w:t>
      </w:r>
      <w:proofErr w:type="spellStart"/>
      <w:r w:rsidRPr="003F0F21">
        <w:rPr>
          <w:rFonts w:hint="cs"/>
          <w:rtl/>
        </w:rPr>
        <w:t>מענדל</w:t>
      </w:r>
      <w:proofErr w:type="spellEnd"/>
      <w:r w:rsidRPr="003F0F21">
        <w:rPr>
          <w:rFonts w:hint="cs"/>
          <w:rtl/>
        </w:rPr>
        <w:t xml:space="preserve"> </w:t>
      </w:r>
      <w:proofErr w:type="spellStart"/>
      <w:r w:rsidRPr="003F0F21">
        <w:rPr>
          <w:rFonts w:hint="cs"/>
          <w:rtl/>
        </w:rPr>
        <w:t>מויטבסק</w:t>
      </w:r>
      <w:proofErr w:type="spellEnd"/>
      <w:r w:rsidRPr="003F0F21">
        <w:rPr>
          <w:rFonts w:hint="cs"/>
          <w:rtl/>
        </w:rPr>
        <w:t xml:space="preserve"> (בעל "פרי הארץ") היה שר שיר מופלא של השתפכות הנפש, המורכב מחמשה משפטים המבטאים את דבקותו וגעגועיו אל ה' יתברך</w:t>
      </w:r>
      <w:r w:rsidRPr="005316B5">
        <w:rPr>
          <w:rStyle w:val="a8"/>
          <w:rtl/>
        </w:rPr>
        <w:endnoteReference w:id="1"/>
      </w:r>
      <w:r w:rsidRPr="003F0F21">
        <w:rPr>
          <w:rFonts w:hint="cs"/>
          <w:rtl/>
        </w:rPr>
        <w:t>:</w:t>
      </w:r>
    </w:p>
    <w:p w:rsidR="009F1E59" w:rsidRPr="000D04BD" w:rsidRDefault="009F1E59" w:rsidP="009F1E59">
      <w:pPr>
        <w:pStyle w:val="a3"/>
        <w:rPr>
          <w:rFonts w:hint="cs"/>
          <w:rtl/>
        </w:rPr>
      </w:pPr>
      <w:r w:rsidRPr="000D04BD">
        <w:rPr>
          <w:rFonts w:hint="cs"/>
          <w:rtl/>
        </w:rPr>
        <w:t>אם היו לי כנפים של זהב הייתי עף אליך</w:t>
      </w:r>
    </w:p>
    <w:p w:rsidR="009F1E59" w:rsidRPr="00E12261" w:rsidRDefault="009F1E59" w:rsidP="009F1E59">
      <w:pPr>
        <w:pStyle w:val="a3"/>
        <w:rPr>
          <w:rFonts w:hint="cs"/>
          <w:rtl/>
        </w:rPr>
      </w:pPr>
      <w:r w:rsidRPr="00E12261">
        <w:rPr>
          <w:rFonts w:hint="cs"/>
          <w:rtl/>
        </w:rPr>
        <w:t>אם היו אופני זהב למרכבתי הייתי נוסע אליך</w:t>
      </w:r>
    </w:p>
    <w:p w:rsidR="009F1E59" w:rsidRPr="00E12261" w:rsidRDefault="009F1E59" w:rsidP="009F1E59">
      <w:pPr>
        <w:pStyle w:val="a3"/>
        <w:rPr>
          <w:rFonts w:hint="cs"/>
          <w:rtl/>
        </w:rPr>
      </w:pPr>
      <w:r w:rsidRPr="00E12261">
        <w:rPr>
          <w:rFonts w:hint="cs"/>
          <w:rtl/>
        </w:rPr>
        <w:t>אם היו לי סוס ואוכף הייתי רוכב אליך</w:t>
      </w:r>
    </w:p>
    <w:p w:rsidR="009F1E59" w:rsidRPr="00E12261" w:rsidRDefault="009F1E59" w:rsidP="009F1E59">
      <w:pPr>
        <w:pStyle w:val="a3"/>
        <w:rPr>
          <w:rFonts w:hint="cs"/>
          <w:rtl/>
        </w:rPr>
      </w:pPr>
      <w:r w:rsidRPr="00E12261">
        <w:rPr>
          <w:rFonts w:hint="cs"/>
          <w:rtl/>
        </w:rPr>
        <w:t>אם היו לי דיו וקולמוס הייתי כותב אליך</w:t>
      </w:r>
    </w:p>
    <w:p w:rsidR="009F1E59" w:rsidRPr="00E12261" w:rsidRDefault="009F1E59" w:rsidP="009F1E59">
      <w:pPr>
        <w:pStyle w:val="a3"/>
        <w:rPr>
          <w:rFonts w:hint="cs"/>
          <w:rtl/>
        </w:rPr>
      </w:pPr>
      <w:r w:rsidRPr="00E12261">
        <w:rPr>
          <w:rFonts w:hint="cs"/>
          <w:rtl/>
        </w:rPr>
        <w:t>אם היתה לי טבעת של זהב הייתי נותנה לך</w:t>
      </w:r>
    </w:p>
    <w:p w:rsidR="009F1E59" w:rsidRDefault="009F1E59" w:rsidP="009F1E59">
      <w:pPr>
        <w:rPr>
          <w:rFonts w:hint="cs"/>
          <w:rtl/>
        </w:rPr>
      </w:pPr>
      <w:r>
        <w:rPr>
          <w:rFonts w:hint="cs"/>
          <w:rtl/>
        </w:rPr>
        <w:t xml:space="preserve">בעומק, חמשת המשפטים מביאים לידי ביטוי את כיסופי הנשמה בכל חמשת הרבדים שלה </w:t>
      </w:r>
      <w:r>
        <w:rPr>
          <w:rtl/>
        </w:rPr>
        <w:t>–</w:t>
      </w:r>
      <w:r>
        <w:rPr>
          <w:rFonts w:hint="cs"/>
          <w:rtl/>
        </w:rPr>
        <w:t xml:space="preserve"> נפש, רוח, נשמה, חיה, יחידה</w:t>
      </w:r>
      <w:r w:rsidRPr="005316B5">
        <w:rPr>
          <w:rStyle w:val="a8"/>
          <w:rtl/>
        </w:rPr>
        <w:endnoteReference w:id="2"/>
      </w:r>
      <w:r>
        <w:rPr>
          <w:rFonts w:hint="cs"/>
          <w:rtl/>
        </w:rPr>
        <w:t>.</w:t>
      </w:r>
    </w:p>
    <w:p w:rsidR="009F1E59" w:rsidRDefault="009F1E59" w:rsidP="009F1E59">
      <w:pPr>
        <w:rPr>
          <w:rFonts w:hint="cs"/>
          <w:rtl/>
        </w:rPr>
      </w:pPr>
      <w:r>
        <w:rPr>
          <w:rFonts w:hint="cs"/>
          <w:rtl/>
        </w:rPr>
        <w:t xml:space="preserve">[וההקבלה בתמצית, למצויים במונחי הקבלה והחסידות: דימוי </w:t>
      </w:r>
      <w:proofErr w:type="spellStart"/>
      <w:r>
        <w:rPr>
          <w:rFonts w:hint="cs"/>
          <w:rtl/>
        </w:rPr>
        <w:t>העפיפה</w:t>
      </w:r>
      <w:proofErr w:type="spellEnd"/>
      <w:r>
        <w:rPr>
          <w:rFonts w:hint="cs"/>
          <w:rtl/>
        </w:rPr>
        <w:t xml:space="preserve"> אל ה' הוא ביטוי של התמקדות הרצון בה', ורצון הוא המובן הפשוט של </w:t>
      </w:r>
      <w:r w:rsidRPr="00E84990">
        <w:rPr>
          <w:rStyle w:val="a5"/>
          <w:rFonts w:hint="cs"/>
          <w:rtl/>
        </w:rPr>
        <w:t>נפש</w:t>
      </w:r>
      <w:r>
        <w:rPr>
          <w:rFonts w:hint="cs"/>
          <w:rtl/>
        </w:rPr>
        <w:t xml:space="preserve"> (כבפסוק "אם יש את נפשכם"</w:t>
      </w:r>
      <w:r w:rsidRPr="005316B5">
        <w:rPr>
          <w:rStyle w:val="a8"/>
          <w:rtl/>
        </w:rPr>
        <w:endnoteReference w:id="3"/>
      </w:r>
      <w:r>
        <w:rPr>
          <w:rFonts w:hint="cs"/>
          <w:rtl/>
        </w:rPr>
        <w:t>). אופני הזהב של המרכבה הם בסוד "</w:t>
      </w:r>
      <w:r w:rsidRPr="00E84990">
        <w:rPr>
          <w:rStyle w:val="a5"/>
          <w:rFonts w:hint="cs"/>
          <w:rtl/>
        </w:rPr>
        <w:t>רוח</w:t>
      </w:r>
      <w:r>
        <w:rPr>
          <w:rFonts w:hint="cs"/>
          <w:rtl/>
        </w:rPr>
        <w:t xml:space="preserve"> החיה באופנים"</w:t>
      </w:r>
      <w:r w:rsidRPr="005316B5">
        <w:rPr>
          <w:rStyle w:val="a8"/>
          <w:rtl/>
        </w:rPr>
        <w:endnoteReference w:id="4"/>
      </w:r>
      <w:r>
        <w:rPr>
          <w:rFonts w:hint="cs"/>
          <w:rtl/>
        </w:rPr>
        <w:t>. סוסים – שהם דימוי לאותיות התורה</w:t>
      </w:r>
      <w:r w:rsidRPr="005316B5">
        <w:rPr>
          <w:rStyle w:val="a8"/>
          <w:rtl/>
        </w:rPr>
        <w:endnoteReference w:id="5"/>
      </w:r>
      <w:r>
        <w:rPr>
          <w:rFonts w:hint="cs"/>
          <w:rtl/>
        </w:rPr>
        <w:t xml:space="preserve"> (וכאן בפרט לאותיות "תורת אמך"</w:t>
      </w:r>
      <w:bookmarkStart w:id="2" w:name="_Ref144999313"/>
      <w:r w:rsidRPr="005316B5">
        <w:rPr>
          <w:rStyle w:val="a8"/>
          <w:rtl/>
        </w:rPr>
        <w:endnoteReference w:id="6"/>
      </w:r>
      <w:bookmarkEnd w:id="2"/>
      <w:r>
        <w:rPr>
          <w:rFonts w:hint="cs"/>
          <w:rtl/>
        </w:rPr>
        <w:t>, תורה שבעל פה, שכנגד הבינה-</w:t>
      </w:r>
      <w:proofErr w:type="spellStart"/>
      <w:r>
        <w:rPr>
          <w:rFonts w:hint="cs"/>
          <w:rtl/>
        </w:rPr>
        <w:t>האמא</w:t>
      </w:r>
      <w:proofErr w:type="spellEnd"/>
      <w:r>
        <w:rPr>
          <w:rFonts w:hint="cs"/>
          <w:rtl/>
        </w:rPr>
        <w:t xml:space="preserve">) – שייכים לשם </w:t>
      </w:r>
      <w:proofErr w:type="spellStart"/>
      <w:r w:rsidRPr="00431474">
        <w:rPr>
          <w:rFonts w:hint="cs"/>
          <w:b/>
          <w:bCs/>
          <w:szCs w:val="28"/>
          <w:rtl/>
        </w:rPr>
        <w:t>סג</w:t>
      </w:r>
      <w:proofErr w:type="spellEnd"/>
      <w:r>
        <w:rPr>
          <w:rFonts w:hint="cs"/>
          <w:rtl/>
        </w:rPr>
        <w:t xml:space="preserve"> (כרמוז בכך ש</w:t>
      </w:r>
      <w:r w:rsidRPr="00431474">
        <w:rPr>
          <w:rFonts w:hint="cs"/>
          <w:b/>
          <w:bCs/>
          <w:szCs w:val="28"/>
          <w:rtl/>
        </w:rPr>
        <w:t>סוס</w:t>
      </w:r>
      <w:r>
        <w:rPr>
          <w:rFonts w:hint="cs"/>
          <w:rtl/>
        </w:rPr>
        <w:t xml:space="preserve"> עולה </w:t>
      </w:r>
      <w:r w:rsidRPr="00431474">
        <w:rPr>
          <w:rFonts w:hint="cs"/>
          <w:b/>
          <w:bCs/>
          <w:szCs w:val="28"/>
          <w:rtl/>
        </w:rPr>
        <w:t>ב</w:t>
      </w:r>
      <w:r>
        <w:rPr>
          <w:rFonts w:hint="cs"/>
          <w:rtl/>
        </w:rPr>
        <w:t xml:space="preserve"> פעמים </w:t>
      </w:r>
      <w:proofErr w:type="spellStart"/>
      <w:r w:rsidRPr="00431474">
        <w:rPr>
          <w:rFonts w:hint="cs"/>
          <w:b/>
          <w:bCs/>
          <w:szCs w:val="28"/>
          <w:rtl/>
        </w:rPr>
        <w:t>סג</w:t>
      </w:r>
      <w:proofErr w:type="spellEnd"/>
      <w:r>
        <w:rPr>
          <w:rFonts w:hint="cs"/>
          <w:rtl/>
        </w:rPr>
        <w:t>) שכנגד הבינה-ה</w:t>
      </w:r>
      <w:r w:rsidRPr="00E84990">
        <w:rPr>
          <w:rStyle w:val="a5"/>
          <w:rFonts w:hint="cs"/>
          <w:rtl/>
        </w:rPr>
        <w:t>נשמה</w:t>
      </w:r>
      <w:r>
        <w:rPr>
          <w:rFonts w:hint="cs"/>
          <w:rtl/>
        </w:rPr>
        <w:t xml:space="preserve"> (בסוד "ונשמת שדי תבינם"</w:t>
      </w:r>
      <w:r w:rsidRPr="005316B5">
        <w:rPr>
          <w:rStyle w:val="a8"/>
          <w:rtl/>
        </w:rPr>
        <w:endnoteReference w:id="7"/>
      </w:r>
      <w:r>
        <w:rPr>
          <w:rFonts w:hint="cs"/>
          <w:rtl/>
        </w:rPr>
        <w:t>). המכתב הוא בסוד תורה שבכתב, "מוסר אביך"</w:t>
      </w:r>
      <w:r>
        <w:fldChar w:fldCharType="begin"/>
      </w:r>
      <w:r>
        <w:rPr>
          <w:rStyle w:val="a8"/>
          <w:rtl/>
        </w:rPr>
        <w:instrText xml:space="preserve"> </w:instrText>
      </w:r>
      <w:r>
        <w:rPr>
          <w:rStyle w:val="a8"/>
        </w:rPr>
        <w:instrText>NOTEREF</w:instrText>
      </w:r>
      <w:r>
        <w:rPr>
          <w:rStyle w:val="a8"/>
          <w:rtl/>
        </w:rPr>
        <w:instrText xml:space="preserve"> _</w:instrText>
      </w:r>
      <w:r>
        <w:rPr>
          <w:rStyle w:val="a8"/>
        </w:rPr>
        <w:instrText>Ref144999313 \h</w:instrText>
      </w:r>
      <w:r>
        <w:rPr>
          <w:rStyle w:val="a8"/>
          <w:rtl/>
        </w:rPr>
        <w:instrText xml:space="preserve"> </w:instrText>
      </w:r>
      <w:r>
        <w:fldChar w:fldCharType="separate"/>
      </w:r>
      <w:r>
        <w:rPr>
          <w:rStyle w:val="a8"/>
          <w:rtl/>
        </w:rPr>
        <w:t>ו</w:t>
      </w:r>
      <w:r>
        <w:fldChar w:fldCharType="end"/>
      </w:r>
      <w:r>
        <w:rPr>
          <w:rFonts w:hint="cs"/>
          <w:rtl/>
        </w:rPr>
        <w:t xml:space="preserve"> שכנגד החכמה-החיה. טבעת הזהב היא בסוד המקיף הגדול של הכתר, שכנגד ה</w:t>
      </w:r>
      <w:r w:rsidRPr="00E84990">
        <w:rPr>
          <w:rStyle w:val="a5"/>
          <w:rFonts w:hint="cs"/>
          <w:rtl/>
        </w:rPr>
        <w:t>יחידה</w:t>
      </w:r>
      <w:r>
        <w:rPr>
          <w:rFonts w:hint="cs"/>
          <w:rtl/>
        </w:rPr>
        <w:t xml:space="preserve"> שבנפש (ורמז נאה ביותר לכך שהטבעת מבטאת את אהבת היחידה: </w:t>
      </w:r>
      <w:r w:rsidRPr="00935695">
        <w:rPr>
          <w:rFonts w:hint="cs"/>
          <w:b/>
          <w:bCs/>
          <w:szCs w:val="28"/>
          <w:rtl/>
        </w:rPr>
        <w:t>טבעת</w:t>
      </w:r>
      <w:r>
        <w:rPr>
          <w:rFonts w:hint="cs"/>
          <w:rtl/>
        </w:rPr>
        <w:t xml:space="preserve"> עולה </w:t>
      </w:r>
      <w:r w:rsidRPr="00935695">
        <w:rPr>
          <w:rFonts w:hint="cs"/>
          <w:b/>
          <w:bCs/>
          <w:szCs w:val="28"/>
          <w:rtl/>
        </w:rPr>
        <w:t>אהבה</w:t>
      </w:r>
      <w:r>
        <w:rPr>
          <w:rFonts w:hint="cs"/>
          <w:rtl/>
        </w:rPr>
        <w:t xml:space="preserve"> פעמים </w:t>
      </w:r>
      <w:r w:rsidRPr="00935695">
        <w:rPr>
          <w:rFonts w:hint="cs"/>
          <w:b/>
          <w:bCs/>
          <w:szCs w:val="28"/>
          <w:rtl/>
        </w:rPr>
        <w:t>יחידה</w:t>
      </w:r>
      <w:r>
        <w:rPr>
          <w:rFonts w:hint="cs"/>
          <w:rtl/>
        </w:rPr>
        <w:t xml:space="preserve">). במבנה השיר יש חלוקה בין הנפש-רוח לנשמה-חיה-יחידה, רמז למבואר כי האדם נולד </w:t>
      </w:r>
      <w:r>
        <w:rPr>
          <w:rtl/>
        </w:rPr>
        <w:t>–</w:t>
      </w:r>
      <w:r>
        <w:rPr>
          <w:rFonts w:hint="cs"/>
          <w:rtl/>
        </w:rPr>
        <w:t xml:space="preserve"> וכך נאצלת כל מדרגה </w:t>
      </w:r>
      <w:r>
        <w:rPr>
          <w:rtl/>
        </w:rPr>
        <w:t>–</w:t>
      </w:r>
      <w:r>
        <w:rPr>
          <w:rFonts w:hint="cs"/>
          <w:rtl/>
        </w:rPr>
        <w:t xml:space="preserve"> עם הנפש-רוח שלו (בסוד "שורש"), ועליו לעמול ולהשיג את הנשמה-חיה-יחידה (בסוד "תוספת")</w:t>
      </w:r>
      <w:r w:rsidRPr="005316B5">
        <w:rPr>
          <w:rStyle w:val="a8"/>
          <w:rtl/>
        </w:rPr>
        <w:endnoteReference w:id="8"/>
      </w:r>
      <w:r>
        <w:rPr>
          <w:rFonts w:hint="cs"/>
          <w:rtl/>
        </w:rPr>
        <w:t>.]</w:t>
      </w:r>
    </w:p>
    <w:p w:rsidR="009F1E59" w:rsidRDefault="009F1E59" w:rsidP="009F1E59">
      <w:pPr>
        <w:rPr>
          <w:rFonts w:hint="cs"/>
          <w:rtl/>
        </w:rPr>
      </w:pPr>
      <w:r>
        <w:rPr>
          <w:rFonts w:hint="cs"/>
          <w:rtl/>
        </w:rPr>
        <w:t xml:space="preserve">משפט האהבה האחרון, המבטא את כיסופי עצם היחידה שבנפש אל הקב"ה – "אילו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לי טבעת זהב הייתי נותנה לך" </w:t>
      </w:r>
      <w:r>
        <w:rPr>
          <w:rtl/>
        </w:rPr>
        <w:t>–</w:t>
      </w:r>
      <w:r>
        <w:rPr>
          <w:rFonts w:hint="cs"/>
          <w:rtl/>
        </w:rPr>
        <w:t xml:space="preserve"> מרמז כמובן לקידושין, ש"מנהג ישראל תורה"</w:t>
      </w:r>
      <w:r w:rsidRPr="005316B5">
        <w:rPr>
          <w:rStyle w:val="a8"/>
          <w:rtl/>
        </w:rPr>
        <w:endnoteReference w:id="9"/>
      </w:r>
      <w:r>
        <w:rPr>
          <w:rFonts w:hint="cs"/>
          <w:rtl/>
        </w:rPr>
        <w:t xml:space="preserve"> הוא לעשות דווקא בטבעת</w:t>
      </w:r>
      <w:bookmarkStart w:id="3" w:name="_Ref144839661"/>
      <w:r w:rsidRPr="005316B5">
        <w:rPr>
          <w:rStyle w:val="a8"/>
          <w:rtl/>
        </w:rPr>
        <w:endnoteReference w:id="10"/>
      </w:r>
      <w:bookmarkEnd w:id="3"/>
      <w:r>
        <w:rPr>
          <w:rFonts w:hint="cs"/>
          <w:rtl/>
        </w:rPr>
        <w:t xml:space="preserve"> (וכן מנהג רוב עדות ישראל שתהיה זו טבעת זהב דווקא</w:t>
      </w:r>
      <w:r w:rsidRPr="005316B5">
        <w:rPr>
          <w:rStyle w:val="a8"/>
          <w:rtl/>
        </w:rPr>
        <w:endnoteReference w:id="11"/>
      </w:r>
      <w:r>
        <w:rPr>
          <w:rFonts w:hint="cs"/>
          <w:rtl/>
        </w:rPr>
        <w:t xml:space="preserve">). משפט זה ממחיש כי </w:t>
      </w:r>
      <w:r>
        <w:rPr>
          <w:rtl/>
        </w:rPr>
        <w:t xml:space="preserve">על אף שבגלוי הקב"ה-החתן הוא המקדש לאשה את </w:t>
      </w:r>
      <w:proofErr w:type="spellStart"/>
      <w:r>
        <w:rPr>
          <w:rtl/>
        </w:rPr>
        <w:t>כנס"י</w:t>
      </w:r>
      <w:proofErr w:type="spellEnd"/>
      <w:r>
        <w:rPr>
          <w:rtl/>
        </w:rPr>
        <w:t xml:space="preserve">-הכלה, והוא המעניק לה את טבעת הזהב, מתברר כי בפנימיות – ברחשי הלב העמוקים והנסתרים ביותר – קיימת גם פעולה של קידושין ונתינת טבעת מן הכלה אל חתנה. אכן, </w:t>
      </w:r>
      <w:proofErr w:type="spellStart"/>
      <w:r>
        <w:rPr>
          <w:rtl/>
        </w:rPr>
        <w:t>מכיון</w:t>
      </w:r>
      <w:proofErr w:type="spellEnd"/>
      <w:r>
        <w:rPr>
          <w:rtl/>
        </w:rPr>
        <w:t xml:space="preserve"> ש"איש דרכו לכבש"</w:t>
      </w:r>
      <w:r w:rsidRPr="005316B5">
        <w:rPr>
          <w:rStyle w:val="a8"/>
          <w:rtl/>
        </w:rPr>
        <w:endnoteReference w:id="12"/>
      </w:r>
      <w:r>
        <w:rPr>
          <w:rtl/>
        </w:rPr>
        <w:t xml:space="preserve"> הוא המעניק לאשתו את הטבעת באופן גלוי (כאשר </w:t>
      </w:r>
      <w:r>
        <w:rPr>
          <w:rFonts w:hint="cs"/>
          <w:rtl/>
        </w:rPr>
        <w:t xml:space="preserve">בעולם הזה </w:t>
      </w:r>
      <w:r>
        <w:rPr>
          <w:rtl/>
        </w:rPr>
        <w:t xml:space="preserve">היא עצמה אף איננה עונה </w:t>
      </w:r>
      <w:proofErr w:type="spellStart"/>
      <w:r>
        <w:rPr>
          <w:rtl/>
        </w:rPr>
        <w:t>לפניתו</w:t>
      </w:r>
      <w:proofErr w:type="spellEnd"/>
      <w:r>
        <w:rPr>
          <w:rtl/>
        </w:rPr>
        <w:t>, ברוב צניעותה ובושתה הפנימית</w:t>
      </w:r>
      <w:r>
        <w:rPr>
          <w:rFonts w:hint="cs"/>
          <w:rtl/>
        </w:rPr>
        <w:t xml:space="preserve">, ורק לעתיד לבוא עתיד </w:t>
      </w:r>
      <w:proofErr w:type="spellStart"/>
      <w:r>
        <w:rPr>
          <w:rFonts w:hint="cs"/>
          <w:rtl/>
        </w:rPr>
        <w:t>להשמע</w:t>
      </w:r>
      <w:proofErr w:type="spellEnd"/>
      <w:r>
        <w:rPr>
          <w:rFonts w:hint="cs"/>
          <w:rtl/>
        </w:rPr>
        <w:t xml:space="preserve"> "קול כלה"</w:t>
      </w:r>
      <w:bookmarkStart w:id="4" w:name="_Ref144877313"/>
      <w:r w:rsidRPr="005316B5">
        <w:rPr>
          <w:rStyle w:val="a8"/>
          <w:rtl/>
        </w:rPr>
        <w:endnoteReference w:id="13"/>
      </w:r>
      <w:bookmarkEnd w:id="4"/>
      <w:r>
        <w:rPr>
          <w:rtl/>
        </w:rPr>
        <w:t xml:space="preserve">), ואילו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ש"כל כבודה בת מלך פנימה"</w:t>
      </w:r>
      <w:r w:rsidRPr="005316B5">
        <w:rPr>
          <w:rStyle w:val="a8"/>
          <w:rtl/>
        </w:rPr>
        <w:endnoteReference w:id="14"/>
      </w:r>
      <w:r>
        <w:rPr>
          <w:rtl/>
        </w:rPr>
        <w:t xml:space="preserve"> מחוללת את מעשה הקידושין באופן נסתר וצנוע לחלוטין</w:t>
      </w:r>
      <w:r>
        <w:rPr>
          <w:rFonts w:hint="cs"/>
          <w:rtl/>
        </w:rPr>
        <w:t xml:space="preserve">. כך הורה כ"ק אדמו"ר </w:t>
      </w:r>
      <w:proofErr w:type="spellStart"/>
      <w:r>
        <w:rPr>
          <w:rFonts w:hint="cs"/>
          <w:rtl/>
        </w:rPr>
        <w:t>הריי"צ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מליובאוויטש</w:t>
      </w:r>
      <w:proofErr w:type="spellEnd"/>
      <w:r>
        <w:rPr>
          <w:rFonts w:hint="cs"/>
          <w:rtl/>
        </w:rPr>
        <w:t xml:space="preserve"> כי "נתינת הטבעת מהכלה אל החתן [אצל אלו הנוהגים כך] טוב יותר בשעה </w:t>
      </w:r>
      <w:r>
        <w:rPr>
          <w:rFonts w:hint="cs"/>
          <w:rtl/>
        </w:rPr>
        <w:lastRenderedPageBreak/>
        <w:t>שטועמים אחר החופה"</w:t>
      </w:r>
      <w:r w:rsidRPr="005316B5">
        <w:rPr>
          <w:rStyle w:val="a8"/>
          <w:rtl/>
        </w:rPr>
        <w:endnoteReference w:id="15"/>
      </w:r>
      <w:r>
        <w:rPr>
          <w:rFonts w:hint="cs"/>
          <w:rtl/>
        </w:rPr>
        <w:t xml:space="preserve"> – קידושי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את בעלה הם חשאיים, ולא ראוי להם </w:t>
      </w:r>
      <w:proofErr w:type="spellStart"/>
      <w:r>
        <w:rPr>
          <w:rFonts w:hint="cs"/>
          <w:rtl/>
        </w:rPr>
        <w:t>להעשות</w:t>
      </w:r>
      <w:proofErr w:type="spellEnd"/>
      <w:r>
        <w:rPr>
          <w:rFonts w:hint="cs"/>
          <w:rtl/>
        </w:rPr>
        <w:t xml:space="preserve"> בפומבי תחת החופה אלא רק בחדר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tl/>
        </w:rPr>
        <w:t>.</w:t>
      </w:r>
      <w:r>
        <w:rPr>
          <w:rFonts w:hint="cs"/>
          <w:rtl/>
        </w:rPr>
        <w:t xml:space="preserve"> </w:t>
      </w:r>
    </w:p>
    <w:p w:rsidR="009F1E59" w:rsidRDefault="009F1E59" w:rsidP="009F1E59">
      <w:pPr>
        <w:rPr>
          <w:rFonts w:hint="cs"/>
          <w:rtl/>
        </w:rPr>
      </w:pPr>
      <w:r>
        <w:rPr>
          <w:rFonts w:hint="cs"/>
          <w:rtl/>
        </w:rPr>
        <w:t xml:space="preserve">ואף על פי כן, ידוע כי על פי מנהג ישראל מקדמת דנא, </w:t>
      </w:r>
      <w:proofErr w:type="spellStart"/>
      <w:r>
        <w:rPr>
          <w:rFonts w:hint="cs"/>
          <w:rtl/>
        </w:rPr>
        <w:t>ברובא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דרובא</w:t>
      </w:r>
      <w:proofErr w:type="spellEnd"/>
      <w:r>
        <w:rPr>
          <w:rFonts w:hint="cs"/>
          <w:rtl/>
        </w:rPr>
        <w:t xml:space="preserve">, אין הכלה נותנת טבעת לחתן, לא תחת החופה וגם לא בחדר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(ובחוגי יראים ושלמים גם לא מקובל שגברים יענדו טבעות, וממילא אין תכלית לנתינת טבעת שכזו). ואכן, כשמדייקים בשיר הכיסופים של רבי מנחם </w:t>
      </w:r>
      <w:proofErr w:type="spellStart"/>
      <w:r>
        <w:rPr>
          <w:rFonts w:hint="cs"/>
          <w:rtl/>
        </w:rPr>
        <w:t>מענדל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מויטבסק</w:t>
      </w:r>
      <w:proofErr w:type="spellEnd"/>
      <w:r>
        <w:rPr>
          <w:rFonts w:hint="cs"/>
          <w:rtl/>
        </w:rPr>
        <w:t xml:space="preserve"> שמים לב כי בפועל אין הכלה נותנת טבעת זהב, משום שאין לה כזו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 w:rsidRPr="00E84990">
        <w:rPr>
          <w:rStyle w:val="a5"/>
          <w:rFonts w:hint="cs"/>
          <w:rtl/>
        </w:rPr>
        <w:t>אם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לי טבעת של זהב הייתי נותנה לך". בעומק, זו גופא מעלת הכלה והחן המיוחד שלה, כאשר "לית לה מגרמה כלום"</w:t>
      </w:r>
      <w:r w:rsidRPr="005316B5">
        <w:rPr>
          <w:rStyle w:val="a8"/>
          <w:rtl/>
        </w:rPr>
        <w:endnoteReference w:id="16"/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ושפלותה</w:t>
      </w:r>
      <w:proofErr w:type="spellEnd"/>
      <w:r>
        <w:rPr>
          <w:rFonts w:hint="cs"/>
          <w:rtl/>
        </w:rPr>
        <w:t xml:space="preserve"> היא המתנה העמוקה ביותר שהיא נותנת לחתן – "אשת חן </w:t>
      </w:r>
      <w:proofErr w:type="spellStart"/>
      <w:r>
        <w:rPr>
          <w:rFonts w:hint="cs"/>
          <w:rtl/>
        </w:rPr>
        <w:t>תתמ</w:t>
      </w:r>
      <w:r w:rsidRPr="0026737F">
        <w:rPr>
          <w:rFonts w:hint="cs"/>
          <w:spacing w:val="-10"/>
          <w:rtl/>
        </w:rPr>
        <w:t>ֹ</w:t>
      </w:r>
      <w:r w:rsidRPr="0026737F">
        <w:rPr>
          <w:rFonts w:hint="cs"/>
          <w:spacing w:val="-6"/>
          <w:rtl/>
        </w:rPr>
        <w:t>ך</w:t>
      </w:r>
      <w:proofErr w:type="spellEnd"/>
      <w:r>
        <w:rPr>
          <w:rFonts w:hint="cs"/>
          <w:rtl/>
        </w:rPr>
        <w:t xml:space="preserve"> כבוד"</w:t>
      </w:r>
      <w:r w:rsidRPr="005316B5">
        <w:rPr>
          <w:rStyle w:val="a8"/>
          <w:rtl/>
        </w:rPr>
        <w:endnoteReference w:id="17"/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מכח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שפלותה</w:t>
      </w:r>
      <w:proofErr w:type="spellEnd"/>
      <w:r>
        <w:rPr>
          <w:rFonts w:hint="cs"/>
          <w:rtl/>
        </w:rPr>
        <w:t xml:space="preserve">, שהרי "שפל רוח </w:t>
      </w:r>
      <w:proofErr w:type="spellStart"/>
      <w:r>
        <w:rPr>
          <w:rFonts w:hint="cs"/>
          <w:rtl/>
        </w:rPr>
        <w:t>יתמ</w:t>
      </w:r>
      <w:r w:rsidRPr="0026737F">
        <w:rPr>
          <w:rFonts w:hint="cs"/>
          <w:spacing w:val="-10"/>
          <w:rtl/>
        </w:rPr>
        <w:t>ֹ</w:t>
      </w:r>
      <w:r w:rsidRPr="0026737F">
        <w:rPr>
          <w:rFonts w:hint="cs"/>
          <w:spacing w:val="-6"/>
          <w:rtl/>
        </w:rPr>
        <w:t>ך</w:t>
      </w:r>
      <w:proofErr w:type="spellEnd"/>
      <w:r>
        <w:rPr>
          <w:rFonts w:hint="cs"/>
          <w:rtl/>
        </w:rPr>
        <w:t xml:space="preserve"> כבוד"</w:t>
      </w:r>
      <w:r w:rsidRPr="005316B5">
        <w:rPr>
          <w:rStyle w:val="a8"/>
          <w:rtl/>
        </w:rPr>
        <w:endnoteReference w:id="18"/>
      </w:r>
      <w:r>
        <w:rPr>
          <w:rFonts w:hint="cs"/>
          <w:rtl/>
        </w:rPr>
        <w:t xml:space="preserve">). הכלה איננה צריכה להעניק טבעת נפרדת, כי היא </w:t>
      </w:r>
      <w:proofErr w:type="spellStart"/>
      <w:r>
        <w:rPr>
          <w:rFonts w:hint="cs"/>
          <w:rtl/>
        </w:rPr>
        <w:t>בשפלותה</w:t>
      </w:r>
      <w:proofErr w:type="spellEnd"/>
      <w:r>
        <w:rPr>
          <w:rFonts w:hint="cs"/>
          <w:rtl/>
        </w:rPr>
        <w:t xml:space="preserve">, בהתמסרותה ובחשק הנתינה שלה היא עצמה טבעת הזהב היקרה ביותר (והרמז: </w:t>
      </w:r>
      <w:r w:rsidRPr="008E59FD">
        <w:rPr>
          <w:rFonts w:hint="cs"/>
          <w:b/>
          <w:bCs/>
          <w:sz w:val="28"/>
          <w:szCs w:val="28"/>
          <w:rtl/>
        </w:rPr>
        <w:t>טבעת</w:t>
      </w:r>
      <w:r>
        <w:rPr>
          <w:rFonts w:hint="cs"/>
          <w:rtl/>
        </w:rPr>
        <w:t xml:space="preserve"> </w:t>
      </w:r>
      <w:r w:rsidRPr="008E59FD">
        <w:rPr>
          <w:rFonts w:hint="cs"/>
          <w:b/>
          <w:bCs/>
          <w:sz w:val="28"/>
          <w:szCs w:val="28"/>
          <w:rtl/>
        </w:rPr>
        <w:t>זהב</w:t>
      </w:r>
      <w:r>
        <w:rPr>
          <w:rFonts w:hint="cs"/>
          <w:rtl/>
        </w:rPr>
        <w:t xml:space="preserve"> עולה </w:t>
      </w:r>
      <w:r w:rsidRPr="008E59FD">
        <w:rPr>
          <w:rFonts w:hint="cs"/>
          <w:b/>
          <w:bCs/>
          <w:sz w:val="28"/>
          <w:szCs w:val="28"/>
          <w:rtl/>
        </w:rPr>
        <w:t>ט</w:t>
      </w:r>
      <w:r>
        <w:rPr>
          <w:rFonts w:hint="cs"/>
          <w:rtl/>
        </w:rPr>
        <w:t xml:space="preserve"> פעמים </w:t>
      </w:r>
      <w:r w:rsidRPr="008E59FD">
        <w:rPr>
          <w:rFonts w:hint="cs"/>
          <w:b/>
          <w:bCs/>
          <w:sz w:val="28"/>
          <w:szCs w:val="28"/>
          <w:rtl/>
        </w:rPr>
        <w:t>כלה</w:t>
      </w:r>
      <w:r>
        <w:rPr>
          <w:rFonts w:hint="cs"/>
          <w:rtl/>
        </w:rPr>
        <w:t xml:space="preserve">). בכיסופי הכלה אל החתן, הצנועים בתכלית, </w:t>
      </w:r>
      <w:proofErr w:type="spellStart"/>
      <w:r>
        <w:rPr>
          <w:rFonts w:hint="cs"/>
          <w:rtl/>
        </w:rPr>
        <w:t>הריהי</w:t>
      </w:r>
      <w:proofErr w:type="spellEnd"/>
      <w:r>
        <w:rPr>
          <w:rFonts w:hint="cs"/>
          <w:rtl/>
        </w:rPr>
        <w:t xml:space="preserve"> מקדשת אותו להיות לה לאיש.</w:t>
      </w:r>
    </w:p>
    <w:p w:rsidR="009F1E59" w:rsidRDefault="009F1E59" w:rsidP="009F1E59">
      <w:pPr>
        <w:rPr>
          <w:rFonts w:hint="cs"/>
          <w:sz w:val="24"/>
          <w:rtl/>
        </w:rPr>
      </w:pPr>
      <w:r>
        <w:rPr>
          <w:rFonts w:hint="cs"/>
          <w:rtl/>
        </w:rPr>
        <w:t xml:space="preserve">הצד הגלוי שיש </w:t>
      </w:r>
      <w:proofErr w:type="spellStart"/>
      <w:r>
        <w:rPr>
          <w:rFonts w:hint="cs"/>
          <w:rtl/>
        </w:rPr>
        <w:t>בקדושין</w:t>
      </w:r>
      <w:proofErr w:type="spellEnd"/>
      <w:r>
        <w:rPr>
          <w:rFonts w:hint="cs"/>
          <w:rtl/>
        </w:rPr>
        <w:t>, בו האיש מקדש את אשתו, הוא בבחינת "קדש". אמנם, כאשר זוכים לכך שהאיש יקדש את אשתו (</w:t>
      </w:r>
      <w:proofErr w:type="spellStart"/>
      <w:r>
        <w:rPr>
          <w:rFonts w:hint="cs"/>
          <w:rtl/>
        </w:rPr>
        <w:t>בפרהסיא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תקדש את אישה (ברחשי הלב הסמויים) יש כבר שתי בחינות של "קדש" – המצטרפות ביחד להיות "קדשים" – ואז גם ה' משרה את השראתו ומקדש את שניהם גם יחד, בבחינת "קדש הקדשים". החדירה מממד הנגלה </w:t>
      </w:r>
      <w:proofErr w:type="spellStart"/>
      <w:r>
        <w:rPr>
          <w:rFonts w:hint="cs"/>
          <w:rtl/>
        </w:rPr>
        <w:t>שבקדושין</w:t>
      </w:r>
      <w:proofErr w:type="spellEnd"/>
      <w:r>
        <w:rPr>
          <w:rFonts w:hint="cs"/>
          <w:rtl/>
        </w:rPr>
        <w:t xml:space="preserve"> אל הממד הסודי שבהם 'לוקחת' את הקדושה </w:t>
      </w:r>
      <w:proofErr w:type="spellStart"/>
      <w:r>
        <w:rPr>
          <w:rFonts w:hint="cs"/>
          <w:sz w:val="24"/>
          <w:rtl/>
        </w:rPr>
        <w:t>מהפרהסיא</w:t>
      </w:r>
      <w:proofErr w:type="spellEnd"/>
      <w:r>
        <w:rPr>
          <w:rFonts w:hint="cs"/>
          <w:sz w:val="24"/>
          <w:rtl/>
        </w:rPr>
        <w:t xml:space="preserve"> של החתונה </w:t>
      </w:r>
      <w:r>
        <w:rPr>
          <w:rFonts w:hint="eastAsia"/>
          <w:sz w:val="24"/>
          <w:rtl/>
        </w:rPr>
        <w:t>– קדוש</w:t>
      </w:r>
      <w:r>
        <w:rPr>
          <w:rFonts w:hint="cs"/>
          <w:sz w:val="24"/>
          <w:rtl/>
        </w:rPr>
        <w:t xml:space="preserve">ת השכינה השורה </w:t>
      </w:r>
      <w:r>
        <w:rPr>
          <w:rFonts w:hint="eastAsia"/>
          <w:sz w:val="24"/>
          <w:rtl/>
        </w:rPr>
        <w:t>במעמד של עשרה מישראל</w:t>
      </w:r>
      <w:r w:rsidRPr="005316B5">
        <w:rPr>
          <w:rStyle w:val="a8"/>
          <w:rtl/>
        </w:rPr>
        <w:endnoteReference w:id="19"/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ומחדירה אותה כ"שכינה ביניהם"</w:t>
      </w:r>
      <w:r w:rsidRPr="005316B5">
        <w:rPr>
          <w:rStyle w:val="a8"/>
          <w:rtl/>
        </w:rPr>
        <w:endnoteReference w:id="20"/>
      </w:r>
      <w:r>
        <w:rPr>
          <w:rFonts w:hint="cs"/>
          <w:sz w:val="24"/>
          <w:rtl/>
        </w:rPr>
        <w:t xml:space="preserve"> גם ל"חדר המטות" הצנוע, הנהפך ל"קדש הקדשים" (המכונה בעצמו במקרא "חדר המטות"</w:t>
      </w:r>
      <w:r w:rsidRPr="005316B5">
        <w:rPr>
          <w:rStyle w:val="a8"/>
          <w:rtl/>
        </w:rPr>
        <w:endnoteReference w:id="21"/>
      </w:r>
      <w:r>
        <w:rPr>
          <w:rFonts w:hint="cs"/>
          <w:sz w:val="24"/>
          <w:rtl/>
        </w:rPr>
        <w:t>).</w:t>
      </w:r>
    </w:p>
    <w:p w:rsidR="005F4A47" w:rsidRDefault="00604141">
      <w:bookmarkStart w:id="5" w:name="_GoBack"/>
      <w:bookmarkEnd w:id="5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141" w:rsidRDefault="00604141" w:rsidP="009F1E59">
      <w:pPr>
        <w:spacing w:after="0" w:line="240" w:lineRule="auto"/>
      </w:pPr>
      <w:r>
        <w:separator/>
      </w:r>
    </w:p>
  </w:endnote>
  <w:endnote w:type="continuationSeparator" w:id="0">
    <w:p w:rsidR="00604141" w:rsidRDefault="00604141" w:rsidP="009F1E59">
      <w:pPr>
        <w:spacing w:after="0" w:line="240" w:lineRule="auto"/>
      </w:pPr>
      <w:r>
        <w:continuationSeparator/>
      </w:r>
    </w:p>
  </w:endnote>
  <w:endnote w:id="1">
    <w:p w:rsidR="009F1E59" w:rsidRPr="00672B3D" w:rsidRDefault="009F1E59" w:rsidP="009F1E59">
      <w:pPr>
        <w:spacing w:before="240"/>
        <w:rPr>
          <w:rFonts w:cs="Guttman Soncino" w:hint="cs"/>
          <w:spacing w:val="60"/>
          <w:sz w:val="22"/>
          <w:szCs w:val="22"/>
        </w:rPr>
      </w:pPr>
      <w:r w:rsidRPr="00672B3D">
        <w:rPr>
          <w:rFonts w:cs="Guttman Soncino" w:hint="cs"/>
          <w:spacing w:val="60"/>
          <w:sz w:val="22"/>
          <w:szCs w:val="22"/>
          <w:rtl/>
        </w:rPr>
        <w:t>מקורות:</w:t>
      </w:r>
    </w:p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BD520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השיר מופיע תחת הכותרת "השתפכות הנפש" בספר הניגונים חב"ד ח"א </w:t>
      </w:r>
      <w:r>
        <w:rPr>
          <w:rtl/>
        </w:rPr>
        <w:t>–</w:t>
      </w:r>
      <w:r>
        <w:rPr>
          <w:rFonts w:hint="cs"/>
          <w:rtl/>
        </w:rPr>
        <w:t xml:space="preserve"> ניגון 25. מילות השיר במקורן הן ביידיש, והן מתורגמות כאן לעברית בתרגום חופשי.</w:t>
      </w:r>
    </w:p>
  </w:endnote>
  <w:endnote w:id="2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BD520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יד, ט. דברים רבה ב, לו.</w:t>
      </w:r>
    </w:p>
  </w:endnote>
  <w:endnote w:id="3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CD3B7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, ח (ובכ"ד).</w:t>
      </w:r>
    </w:p>
  </w:endnote>
  <w:endnote w:id="4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CD3B7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יחזקאל א, כ-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.</w:t>
      </w:r>
    </w:p>
  </w:endnote>
  <w:endnote w:id="5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CD3B7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שה"ש ד"ה "אני ישנה ולבי ער" (לג, ג) </w:t>
      </w:r>
      <w:r>
        <w:rPr>
          <w:rtl/>
        </w:rPr>
        <w:t>–</w:t>
      </w:r>
      <w:r>
        <w:rPr>
          <w:rFonts w:hint="cs"/>
          <w:rtl/>
        </w:rPr>
        <w:t xml:space="preserve"> ובריבוי מקומות </w:t>
      </w:r>
      <w:proofErr w:type="spellStart"/>
      <w:r>
        <w:rPr>
          <w:rFonts w:hint="cs"/>
          <w:rtl/>
        </w:rPr>
        <w:t>בדא"ח</w:t>
      </w:r>
      <w:proofErr w:type="spellEnd"/>
      <w:r>
        <w:rPr>
          <w:rFonts w:hint="cs"/>
          <w:rtl/>
        </w:rPr>
        <w:t>.</w:t>
      </w:r>
    </w:p>
  </w:endnote>
  <w:endnote w:id="6">
    <w:p w:rsidR="009F1E59" w:rsidRDefault="009F1E59" w:rsidP="009F1E59">
      <w:pPr>
        <w:pStyle w:val="a6"/>
        <w:rPr>
          <w:rFonts w:hint="cs"/>
        </w:rPr>
      </w:pPr>
      <w:r>
        <w:rPr>
          <w:rtl/>
        </w:rPr>
        <w:tab/>
      </w:r>
      <w:r w:rsidRPr="00FB6957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א, ח (וראה ברש"י עה"פ).</w:t>
      </w:r>
    </w:p>
  </w:endnote>
  <w:endnote w:id="7">
    <w:p w:rsidR="009F1E59" w:rsidRDefault="009F1E59" w:rsidP="009F1E59">
      <w:pPr>
        <w:pStyle w:val="a6"/>
        <w:rPr>
          <w:rFonts w:hint="cs"/>
          <w:rtl/>
        </w:rPr>
      </w:pPr>
      <w:r w:rsidRPr="00FB6957">
        <w:rPr>
          <w:rtl/>
        </w:rPr>
        <w:tab/>
      </w:r>
      <w:r w:rsidRPr="00FB6957"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  <w:t>איוב לב, ח.</w:t>
      </w:r>
    </w:p>
  </w:endnote>
  <w:endnote w:id="8">
    <w:p w:rsidR="009F1E59" w:rsidRDefault="009F1E59" w:rsidP="009F1E59">
      <w:pPr>
        <w:pStyle w:val="a6"/>
        <w:rPr>
          <w:rFonts w:hint="cs"/>
        </w:rPr>
      </w:pPr>
      <w:r>
        <w:rPr>
          <w:rtl/>
        </w:rPr>
        <w:tab/>
      </w:r>
      <w:r w:rsidRPr="00FB6957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חסדי דוד סימן </w:t>
      </w:r>
      <w:proofErr w:type="spellStart"/>
      <w:r>
        <w:rPr>
          <w:rFonts w:hint="cs"/>
          <w:rtl/>
        </w:rPr>
        <w:t>עו</w:t>
      </w:r>
      <w:proofErr w:type="spellEnd"/>
      <w:r>
        <w:rPr>
          <w:rFonts w:hint="cs"/>
          <w:rtl/>
        </w:rPr>
        <w:t xml:space="preserve"> ובביאורו בחסדי דוד הנאמנים ח"ד עמ' 83 ואילך.</w:t>
      </w:r>
    </w:p>
  </w:endnote>
  <w:endnote w:id="9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8F4170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תוד"ה</w:t>
      </w:r>
      <w:proofErr w:type="spellEnd"/>
      <w:r>
        <w:rPr>
          <w:rFonts w:hint="cs"/>
          <w:rtl/>
        </w:rPr>
        <w:t xml:space="preserve"> נפסל במנחות כ, ב. </w:t>
      </w:r>
      <w:proofErr w:type="spellStart"/>
      <w:r>
        <w:rPr>
          <w:rFonts w:hint="cs"/>
          <w:rtl/>
        </w:rPr>
        <w:t>מהרי"ל</w:t>
      </w:r>
      <w:proofErr w:type="spellEnd"/>
      <w:r>
        <w:rPr>
          <w:rFonts w:hint="cs"/>
          <w:rtl/>
        </w:rPr>
        <w:t xml:space="preserve"> הובא </w:t>
      </w:r>
      <w:proofErr w:type="spellStart"/>
      <w:r>
        <w:rPr>
          <w:rFonts w:hint="cs"/>
          <w:rtl/>
        </w:rPr>
        <w:t>ברמ"א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יו"ד סימן שעו סעיף ד. מנהגים ישנים </w:t>
      </w:r>
      <w:proofErr w:type="spellStart"/>
      <w:r>
        <w:rPr>
          <w:rFonts w:hint="cs"/>
          <w:rtl/>
        </w:rPr>
        <w:t>מדורא</w:t>
      </w:r>
      <w:proofErr w:type="spellEnd"/>
      <w:r>
        <w:rPr>
          <w:rFonts w:hint="cs"/>
          <w:rtl/>
        </w:rPr>
        <w:t xml:space="preserve"> עמ' 153. ראה ירושלמי פסחים פ"ד ה"א.</w:t>
      </w:r>
    </w:p>
  </w:endnote>
  <w:endnote w:id="10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רמ"א </w:t>
      </w:r>
      <w:proofErr w:type="spellStart"/>
      <w:r>
        <w:rPr>
          <w:rFonts w:hint="cs"/>
          <w:rtl/>
        </w:rPr>
        <w:t>אבהע"ז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 xml:space="preserve"> סעיף א המביא </w:t>
      </w:r>
      <w:proofErr w:type="spellStart"/>
      <w:r>
        <w:rPr>
          <w:rFonts w:hint="cs"/>
          <w:rtl/>
        </w:rPr>
        <w:t>מתקו"ז</w:t>
      </w:r>
      <w:proofErr w:type="spellEnd"/>
      <w:r>
        <w:rPr>
          <w:rFonts w:hint="cs"/>
          <w:rtl/>
        </w:rPr>
        <w:t xml:space="preserve"> ה ו-י (ועוד מקורות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בסידור רבינו הזקן עם ציונים והערות). וראה גם במגן אבות, דרוש "להבין ענין טבעת קידושין" (הראשון מבין דרושי החתונה), וביין משמח ח"א שער ה בסיום התורה "שאר כסות ועונה ברוחניות".</w:t>
      </w:r>
    </w:p>
  </w:endnote>
  <w:endnote w:id="11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א בתורה "כמעלת הזהב על הכסף".</w:t>
      </w:r>
    </w:p>
  </w:endnote>
  <w:endnote w:id="12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יבמות סה, ב.</w:t>
      </w:r>
    </w:p>
  </w:endnote>
  <w:endnote w:id="13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כלשון חז"ל בברכה השביעית מברכות החתונה: "מהרה ישמע בערי יהודה… קול כלה" (על פי ירמיה לג י-יא). על יסוד ענין זה </w:t>
      </w:r>
      <w:proofErr w:type="spellStart"/>
      <w:r>
        <w:rPr>
          <w:rFonts w:hint="cs"/>
          <w:rtl/>
        </w:rPr>
        <w:t>נתייסדו</w:t>
      </w:r>
      <w:proofErr w:type="spellEnd"/>
      <w:r>
        <w:rPr>
          <w:rFonts w:hint="cs"/>
          <w:rtl/>
        </w:rPr>
        <w:t xml:space="preserve"> מספר מאמרי </w:t>
      </w:r>
      <w:proofErr w:type="spellStart"/>
      <w:r>
        <w:rPr>
          <w:rFonts w:hint="cs"/>
          <w:rtl/>
        </w:rPr>
        <w:t>דא"ח</w:t>
      </w:r>
      <w:proofErr w:type="spellEnd"/>
      <w:r>
        <w:rPr>
          <w:rFonts w:hint="cs"/>
          <w:rtl/>
        </w:rPr>
        <w:t xml:space="preserve"> המבארים </w:t>
      </w:r>
      <w:proofErr w:type="spellStart"/>
      <w:r>
        <w:rPr>
          <w:rFonts w:hint="cs"/>
          <w:rtl/>
        </w:rPr>
        <w:t>שלע"ל</w:t>
      </w:r>
      <w:proofErr w:type="spellEnd"/>
      <w:r>
        <w:rPr>
          <w:rFonts w:hint="cs"/>
          <w:rtl/>
        </w:rPr>
        <w:t xml:space="preserve"> ישמע "קול כלה" – ראה תורה אור ביאור לד"ה </w:t>
      </w:r>
      <w:proofErr w:type="spellStart"/>
      <w:r>
        <w:rPr>
          <w:rFonts w:hint="cs"/>
          <w:rtl/>
        </w:rPr>
        <w:t>ויגש</w:t>
      </w:r>
      <w:proofErr w:type="spellEnd"/>
      <w:r>
        <w:rPr>
          <w:rFonts w:hint="cs"/>
          <w:rtl/>
        </w:rPr>
        <w:t xml:space="preserve"> אליו יהודה (מד, ד);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שיר השירים מח, ב, ועוד.</w:t>
      </w:r>
    </w:p>
  </w:endnote>
  <w:endnote w:id="14">
    <w:p w:rsidR="009F1E59" w:rsidRDefault="009F1E59" w:rsidP="009F1E59">
      <w:pPr>
        <w:pStyle w:val="a6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מה, יד.</w:t>
      </w:r>
    </w:p>
  </w:endnote>
  <w:endnote w:id="15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אגרות קדש </w:t>
      </w:r>
      <w:proofErr w:type="spellStart"/>
      <w:r>
        <w:rPr>
          <w:rFonts w:hint="cs"/>
          <w:rtl/>
        </w:rPr>
        <w:t>מהוריי"צ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ח"ח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קעח</w:t>
      </w:r>
      <w:proofErr w:type="spellEnd"/>
      <w:r>
        <w:rPr>
          <w:rFonts w:hint="cs"/>
          <w:rtl/>
        </w:rPr>
        <w:t xml:space="preserve">. וראה גם שו"ת אגרות משה </w:t>
      </w:r>
      <w:proofErr w:type="spellStart"/>
      <w:r>
        <w:rPr>
          <w:rFonts w:hint="cs"/>
          <w:rtl/>
        </w:rPr>
        <w:t>אבהע"ז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16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פרדס רימונים </w:t>
      </w:r>
      <w:proofErr w:type="spellStart"/>
      <w:r>
        <w:rPr>
          <w:rFonts w:hint="cs"/>
          <w:rtl/>
        </w:rPr>
        <w:t>לרמ"ק</w:t>
      </w:r>
      <w:proofErr w:type="spellEnd"/>
      <w:r>
        <w:rPr>
          <w:rFonts w:hint="cs"/>
          <w:rtl/>
        </w:rPr>
        <w:t xml:space="preserve"> שער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, פרק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17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יא,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 (וראה לקמן בתורה "מקידושין לנישואין" כי רק כאשר תומכת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את כבודו של האיש, והוא מתעלה להיות "אדם חשוב", יש אפשרות הלכתית בה היא תתקדש במתנה שהיא נותנת לו, ודוק.</w:t>
      </w:r>
    </w:p>
  </w:endnote>
  <w:endnote w:id="18">
    <w:p w:rsidR="009F1E59" w:rsidRDefault="009F1E59" w:rsidP="009F1E59">
      <w:pPr>
        <w:pStyle w:val="a6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19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סנהדרין לט, א.</w:t>
      </w:r>
    </w:p>
  </w:endnote>
  <w:endnote w:id="20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א, ורש"י שם.</w:t>
      </w:r>
    </w:p>
  </w:endnote>
  <w:endnote w:id="21">
    <w:p w:rsidR="009F1E59" w:rsidRDefault="009F1E59" w:rsidP="009F1E59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מלכים ב יא, ב. וראה רש"י שם.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141" w:rsidRDefault="00604141" w:rsidP="009F1E59">
      <w:pPr>
        <w:spacing w:after="0" w:line="240" w:lineRule="auto"/>
      </w:pPr>
      <w:r>
        <w:separator/>
      </w:r>
    </w:p>
  </w:footnote>
  <w:footnote w:type="continuationSeparator" w:id="0">
    <w:p w:rsidR="00604141" w:rsidRDefault="00604141" w:rsidP="009F1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6C"/>
    <w:rsid w:val="00061E65"/>
    <w:rsid w:val="00604141"/>
    <w:rsid w:val="00681A6C"/>
    <w:rsid w:val="009F1E59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F1E59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F1E59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F1E59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Quote"/>
    <w:basedOn w:val="a"/>
    <w:link w:val="a4"/>
    <w:qFormat/>
    <w:rsid w:val="009F1E59"/>
    <w:pPr>
      <w:spacing w:before="120" w:line="340" w:lineRule="exact"/>
      <w:ind w:left="907"/>
      <w:contextualSpacing/>
    </w:pPr>
    <w:rPr>
      <w:rFonts w:cs="Guttman Soncino"/>
      <w:noProof/>
      <w:snapToGrid w:val="0"/>
      <w:sz w:val="23"/>
      <w:szCs w:val="22"/>
      <w:lang w:eastAsia="en-US"/>
    </w:rPr>
  </w:style>
  <w:style w:type="character" w:customStyle="1" w:styleId="a4">
    <w:name w:val="ציטוט תו"/>
    <w:basedOn w:val="a0"/>
    <w:link w:val="a3"/>
    <w:rsid w:val="009F1E59"/>
    <w:rPr>
      <w:rFonts w:ascii="Times New Roman" w:eastAsia="Times New Roman" w:hAnsi="Times New Roman" w:cs="Guttman Soncino"/>
      <w:noProof/>
      <w:snapToGrid w:val="0"/>
      <w:sz w:val="23"/>
    </w:rPr>
  </w:style>
  <w:style w:type="character" w:customStyle="1" w:styleId="a5">
    <w:name w:val="מרים"/>
    <w:basedOn w:val="a0"/>
    <w:rsid w:val="009F1E59"/>
    <w:rPr>
      <w:rFonts w:cs="Miriam"/>
      <w:w w:val="100"/>
      <w:sz w:val="21"/>
      <w:szCs w:val="23"/>
    </w:rPr>
  </w:style>
  <w:style w:type="paragraph" w:styleId="a6">
    <w:name w:val="endnote text"/>
    <w:aliases w:val="Endnote Text"/>
    <w:basedOn w:val="a"/>
    <w:link w:val="a7"/>
    <w:autoRedefine/>
    <w:semiHidden/>
    <w:rsid w:val="009F1E59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7">
    <w:name w:val="טקסט הערת סיום תו"/>
    <w:basedOn w:val="a0"/>
    <w:link w:val="a6"/>
    <w:semiHidden/>
    <w:rsid w:val="009F1E59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8">
    <w:name w:val="endnote reference"/>
    <w:aliases w:val="Endnote Reference"/>
    <w:basedOn w:val="a9"/>
    <w:semiHidden/>
    <w:rsid w:val="009F1E59"/>
    <w:rPr>
      <w:noProof/>
      <w:position w:val="-4"/>
      <w:szCs w:val="27"/>
      <w:vertAlign w:val="superscript"/>
    </w:rPr>
  </w:style>
  <w:style w:type="paragraph" w:customStyle="1" w:styleId="aa">
    <w:name w:val="פתיח תו"/>
    <w:basedOn w:val="a"/>
    <w:link w:val="ab"/>
    <w:rsid w:val="009F1E59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b">
    <w:name w:val="פתיח תו תו"/>
    <w:basedOn w:val="a0"/>
    <w:link w:val="aa"/>
    <w:rsid w:val="009F1E59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9">
    <w:name w:val="footnote reference"/>
    <w:basedOn w:val="a0"/>
    <w:uiPriority w:val="99"/>
    <w:semiHidden/>
    <w:unhideWhenUsed/>
    <w:rsid w:val="009F1E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F1E59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F1E59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F1E59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Quote"/>
    <w:basedOn w:val="a"/>
    <w:link w:val="a4"/>
    <w:qFormat/>
    <w:rsid w:val="009F1E59"/>
    <w:pPr>
      <w:spacing w:before="120" w:line="340" w:lineRule="exact"/>
      <w:ind w:left="907"/>
      <w:contextualSpacing/>
    </w:pPr>
    <w:rPr>
      <w:rFonts w:cs="Guttman Soncino"/>
      <w:noProof/>
      <w:snapToGrid w:val="0"/>
      <w:sz w:val="23"/>
      <w:szCs w:val="22"/>
      <w:lang w:eastAsia="en-US"/>
    </w:rPr>
  </w:style>
  <w:style w:type="character" w:customStyle="1" w:styleId="a4">
    <w:name w:val="ציטוט תו"/>
    <w:basedOn w:val="a0"/>
    <w:link w:val="a3"/>
    <w:rsid w:val="009F1E59"/>
    <w:rPr>
      <w:rFonts w:ascii="Times New Roman" w:eastAsia="Times New Roman" w:hAnsi="Times New Roman" w:cs="Guttman Soncino"/>
      <w:noProof/>
      <w:snapToGrid w:val="0"/>
      <w:sz w:val="23"/>
    </w:rPr>
  </w:style>
  <w:style w:type="character" w:customStyle="1" w:styleId="a5">
    <w:name w:val="מרים"/>
    <w:basedOn w:val="a0"/>
    <w:rsid w:val="009F1E59"/>
    <w:rPr>
      <w:rFonts w:cs="Miriam"/>
      <w:w w:val="100"/>
      <w:sz w:val="21"/>
      <w:szCs w:val="23"/>
    </w:rPr>
  </w:style>
  <w:style w:type="paragraph" w:styleId="a6">
    <w:name w:val="endnote text"/>
    <w:aliases w:val="Endnote Text"/>
    <w:basedOn w:val="a"/>
    <w:link w:val="a7"/>
    <w:autoRedefine/>
    <w:semiHidden/>
    <w:rsid w:val="009F1E59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7">
    <w:name w:val="טקסט הערת סיום תו"/>
    <w:basedOn w:val="a0"/>
    <w:link w:val="a6"/>
    <w:semiHidden/>
    <w:rsid w:val="009F1E59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8">
    <w:name w:val="endnote reference"/>
    <w:aliases w:val="Endnote Reference"/>
    <w:basedOn w:val="a9"/>
    <w:semiHidden/>
    <w:rsid w:val="009F1E59"/>
    <w:rPr>
      <w:noProof/>
      <w:position w:val="-4"/>
      <w:szCs w:val="27"/>
      <w:vertAlign w:val="superscript"/>
    </w:rPr>
  </w:style>
  <w:style w:type="paragraph" w:customStyle="1" w:styleId="aa">
    <w:name w:val="פתיח תו"/>
    <w:basedOn w:val="a"/>
    <w:link w:val="ab"/>
    <w:rsid w:val="009F1E59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b">
    <w:name w:val="פתיח תו תו"/>
    <w:basedOn w:val="a0"/>
    <w:link w:val="aa"/>
    <w:rsid w:val="009F1E59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9">
    <w:name w:val="footnote reference"/>
    <w:basedOn w:val="a0"/>
    <w:uiPriority w:val="99"/>
    <w:semiHidden/>
    <w:unhideWhenUsed/>
    <w:rsid w:val="009F1E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2;&#1488;&#1513;&#1493;&#1503;%20&#1511;&#1491;&#1513;%20&#1492;&#1511;&#1497;&#1491;&#1493;&#1513;&#1497;&#1503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2017-08-14T22:35:00Z</dcterms:created>
  <dcterms:modified xsi:type="dcterms:W3CDTF">2017-08-14T22:35:00Z</dcterms:modified>
</cp:coreProperties>
</file>