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84" w:rsidRPr="000A2158" w:rsidRDefault="008A4E84" w:rsidP="008A4E84">
      <w:pPr>
        <w:pStyle w:val="2"/>
        <w:rPr>
          <w:rFonts w:hint="cs"/>
          <w:rtl/>
        </w:rPr>
      </w:pPr>
      <w:bookmarkStart w:id="0" w:name="_Toc145068667"/>
      <w:bookmarkStart w:id="1" w:name="_Ref145068928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676275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58">
        <w:rPr>
          <w:rFonts w:hint="cs"/>
          <w:rtl/>
        </w:rPr>
        <w:t>"כי על כל כבוד חֻפה"</w:t>
      </w:r>
      <w:bookmarkEnd w:id="0"/>
      <w:bookmarkEnd w:id="1"/>
    </w:p>
    <w:p w:rsidR="008A4E84" w:rsidRPr="00C26113" w:rsidRDefault="008A4E84" w:rsidP="008A4E84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C26113">
        <w:rPr>
          <w:rStyle w:val="a9"/>
          <w:rFonts w:hint="cs"/>
          <w:rtl/>
        </w:rPr>
        <w:t>א</w:t>
      </w:r>
    </w:p>
    <w:p w:rsidR="008A4E84" w:rsidRDefault="008A4E84" w:rsidP="008A4E84">
      <w:pPr>
        <w:rPr>
          <w:rFonts w:hint="cs"/>
          <w:rtl/>
        </w:rPr>
      </w:pPr>
      <w:r>
        <w:rPr>
          <w:rFonts w:hint="cs"/>
          <w:rtl/>
        </w:rPr>
        <w:t>חד מפסוקי החופה החשובים בתנ"ך הוא מפסוקי חזון הגאולה – "כי על כל כבוד חֻפה"</w:t>
      </w:r>
      <w:r w:rsidRPr="005316B5">
        <w:rPr>
          <w:rStyle w:val="a6"/>
          <w:rtl/>
        </w:rPr>
        <w:endnoteReference w:id="1"/>
      </w:r>
      <w:r>
        <w:rPr>
          <w:rFonts w:hint="cs"/>
          <w:rtl/>
        </w:rPr>
        <w:t>. בחסידות</w:t>
      </w:r>
      <w:r w:rsidRPr="005316B5">
        <w:rPr>
          <w:rStyle w:val="a6"/>
          <w:rtl/>
        </w:rPr>
        <w:endnoteReference w:id="2"/>
      </w:r>
      <w:r>
        <w:rPr>
          <w:rFonts w:hint="cs"/>
          <w:rtl/>
        </w:rPr>
        <w:t xml:space="preserve"> למדו מפסוק זה שישנן שלש חופות בחתונה </w:t>
      </w:r>
      <w:r>
        <w:rPr>
          <w:rtl/>
        </w:rPr>
        <w:t>–</w:t>
      </w:r>
      <w:r>
        <w:rPr>
          <w:rFonts w:hint="cs"/>
          <w:rtl/>
        </w:rPr>
        <w:t xml:space="preserve"> חופתו של החתן ("כבוד חתן"), חופתה של הכלה ("כבוד כלה") והחופה המקיפה וכוללת את שניהם כאחד (והיא החופפת "על </w:t>
      </w:r>
      <w:r w:rsidRPr="00E84990">
        <w:rPr>
          <w:rStyle w:val="a3"/>
          <w:rFonts w:hint="cs"/>
          <w:rtl/>
        </w:rPr>
        <w:t>כל</w:t>
      </w:r>
      <w:r>
        <w:rPr>
          <w:rFonts w:hint="cs"/>
          <w:rtl/>
        </w:rPr>
        <w:t xml:space="preserve"> כבוד", של החתן והכלה ביחד). "חופה" (ו"כבוד") היינו המשכה של אור מקיף, החופף ממעל, ואור מקיף מקדש את מי שנמצא תחתיו (שעל כן נוהגים לערוך את הקידושין בטבעת הסובבת ומקיפה את האצבע</w:t>
      </w:r>
      <w:bookmarkStart w:id="2" w:name="_Ref144841365"/>
      <w:r w:rsidRPr="005316B5">
        <w:rPr>
          <w:rStyle w:val="a6"/>
          <w:rtl/>
        </w:rPr>
        <w:endnoteReference w:id="3"/>
      </w:r>
      <w:bookmarkEnd w:id="2"/>
      <w:r>
        <w:rPr>
          <w:rFonts w:hint="cs"/>
          <w:rtl/>
        </w:rPr>
        <w:t xml:space="preserve">, וכמבואר </w:t>
      </w:r>
      <w:proofErr w:type="spellStart"/>
      <w:r>
        <w:rPr>
          <w:rFonts w:hint="cs"/>
          <w:rtl/>
        </w:rPr>
        <w:t>בתניא</w:t>
      </w:r>
      <w:proofErr w:type="spellEnd"/>
      <w:r>
        <w:rPr>
          <w:rFonts w:hint="cs"/>
          <w:rtl/>
        </w:rPr>
        <w:t xml:space="preserve"> כי "קדשנו במצותיו" </w:t>
      </w:r>
      <w:r>
        <w:rPr>
          <w:rtl/>
        </w:rPr>
        <w:t>–</w:t>
      </w:r>
      <w:r>
        <w:rPr>
          <w:rFonts w:hint="cs"/>
          <w:rtl/>
        </w:rPr>
        <w:t xml:space="preserve"> שהוא "כאדם המקדש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להיות מיוחדת עמו ביחוד גמור, כמו שכתוב 'ודבק באשתו והיו לבשר אחד'"</w:t>
      </w:r>
      <w:r w:rsidRPr="005316B5">
        <w:rPr>
          <w:rStyle w:val="a6"/>
          <w:rtl/>
        </w:rPr>
        <w:endnoteReference w:id="4"/>
      </w:r>
      <w:r>
        <w:rPr>
          <w:rFonts w:hint="cs"/>
          <w:rtl/>
        </w:rPr>
        <w:t xml:space="preserve"> ו"כמו הרי את מקודשת לי"</w:t>
      </w:r>
      <w:r w:rsidRPr="005316B5">
        <w:rPr>
          <w:rStyle w:val="a6"/>
          <w:rtl/>
        </w:rPr>
        <w:endnoteReference w:id="5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 הוא קידוש ישראל לה' דווקא על ידי אור הסובב כל עלמין</w:t>
      </w:r>
      <w:r>
        <w:rPr>
          <w:rFonts w:hint="cs"/>
          <w:rtl/>
        </w:rPr>
        <w:t xml:space="preserve"> הקדוש-הנבדל מהעולם ומקיף את הנפש מבחוץ). </w:t>
      </w:r>
    </w:p>
    <w:p w:rsidR="008A4E84" w:rsidRDefault="008A4E84" w:rsidP="008A4E84">
      <w:pPr>
        <w:rPr>
          <w:rFonts w:hint="cs"/>
          <w:rtl/>
        </w:rPr>
      </w:pPr>
      <w:r>
        <w:rPr>
          <w:rFonts w:hint="cs"/>
          <w:rtl/>
        </w:rPr>
        <w:t>אם כן, מובן כי שלש החופות שיש בכל חתונה הן בעצם שלש בחינות של קידושין שמתחוללות בחתונה</w:t>
      </w:r>
      <w:bookmarkStart w:id="3" w:name="_Ref144867039"/>
      <w:r w:rsidRPr="005316B5">
        <w:rPr>
          <w:rStyle w:val="a6"/>
          <w:rtl/>
        </w:rPr>
        <w:endnoteReference w:id="6"/>
      </w:r>
      <w:bookmarkEnd w:id="3"/>
      <w:r>
        <w:rPr>
          <w:rFonts w:hint="cs"/>
          <w:rtl/>
        </w:rPr>
        <w:t xml:space="preserve"> (ואכן יש הגורסים</w:t>
      </w:r>
      <w:r w:rsidRPr="005316B5">
        <w:rPr>
          <w:rStyle w:val="a6"/>
          <w:rtl/>
        </w:rPr>
        <w:endnoteReference w:id="7"/>
      </w:r>
      <w:r>
        <w:rPr>
          <w:rFonts w:hint="cs"/>
          <w:rtl/>
        </w:rPr>
        <w:t xml:space="preserve"> בברכת האירוסין "מקדש עמו ישראל על ידי חֻפה </w:t>
      </w:r>
      <w:r w:rsidRPr="00E84990">
        <w:rPr>
          <w:rStyle w:val="a3"/>
          <w:rFonts w:hint="cs"/>
          <w:rtl/>
        </w:rPr>
        <w:t>ב</w:t>
      </w:r>
      <w:r>
        <w:rPr>
          <w:rFonts w:hint="cs"/>
          <w:rtl/>
        </w:rPr>
        <w:t xml:space="preserve">קידושין"). ובתמצית: </w:t>
      </w:r>
    </w:p>
    <w:p w:rsidR="008A4E84" w:rsidRPr="00463E75" w:rsidRDefault="008A4E84" w:rsidP="008A4E84">
      <w:pPr>
        <w:rPr>
          <w:rFonts w:hint="cs"/>
          <w:rtl/>
        </w:rPr>
      </w:pPr>
      <w:r w:rsidRPr="00463E75">
        <w:rPr>
          <w:rFonts w:hint="cs"/>
          <w:rtl/>
        </w:rPr>
        <w:t>חופת החתן היא הקידושין הגלויים שמקדש החתן את הכלה. קידושין אלו נמשכים מבחינת "כבוד חתן" – אור האהבה של החתן אל כלתו. אהבת החתן אל כלתו גלויה, ועצם הקידושין הם ביטוי לאהבה ב"קול חתן"</w:t>
      </w:r>
      <w:bookmarkStart w:id="4" w:name="_Ref144841277"/>
      <w:r w:rsidRPr="005316B5">
        <w:rPr>
          <w:rStyle w:val="a6"/>
          <w:rtl/>
        </w:rPr>
        <w:endnoteReference w:id="8"/>
      </w:r>
      <w:bookmarkEnd w:id="4"/>
      <w:r w:rsidRPr="00463E75">
        <w:rPr>
          <w:rFonts w:hint="cs"/>
          <w:rtl/>
        </w:rPr>
        <w:t xml:space="preserve"> ובמתנתו לה. על "כבוד חתן" </w:t>
      </w:r>
      <w:r w:rsidRPr="00463E75">
        <w:rPr>
          <w:rFonts w:hint="eastAsia"/>
          <w:rtl/>
        </w:rPr>
        <w:t>– ה</w:t>
      </w:r>
      <w:r w:rsidRPr="00463E75">
        <w:rPr>
          <w:rFonts w:hint="cs"/>
          <w:rtl/>
        </w:rPr>
        <w:t>"דומה למלך"</w:t>
      </w:r>
      <w:r w:rsidRPr="005316B5">
        <w:rPr>
          <w:rStyle w:val="a6"/>
          <w:rtl/>
        </w:rPr>
        <w:endnoteReference w:id="9"/>
      </w:r>
      <w:r w:rsidRPr="00463E75">
        <w:rPr>
          <w:rFonts w:hint="cs"/>
          <w:rtl/>
        </w:rPr>
        <w:t xml:space="preserve"> </w:t>
      </w:r>
      <w:r w:rsidRPr="00463E75">
        <w:rPr>
          <w:rFonts w:hint="eastAsia"/>
          <w:rtl/>
        </w:rPr>
        <w:t xml:space="preserve">– </w:t>
      </w:r>
      <w:r w:rsidRPr="00463E75">
        <w:rPr>
          <w:rFonts w:hint="cs"/>
          <w:rtl/>
        </w:rPr>
        <w:t>נאמר "וכב</w:t>
      </w:r>
      <w:r w:rsidRPr="0026737F">
        <w:rPr>
          <w:rFonts w:hint="cs"/>
          <w:spacing w:val="-10"/>
          <w:rtl/>
        </w:rPr>
        <w:t>ֹ</w:t>
      </w:r>
      <w:r w:rsidRPr="00463E75">
        <w:rPr>
          <w:rFonts w:hint="cs"/>
          <w:rtl/>
        </w:rPr>
        <w:t>ד מלכים חק</w:t>
      </w:r>
      <w:r w:rsidRPr="0026737F">
        <w:rPr>
          <w:rFonts w:hint="cs"/>
          <w:spacing w:val="-10"/>
          <w:rtl/>
        </w:rPr>
        <w:t>ֹ</w:t>
      </w:r>
      <w:r w:rsidRPr="00463E75">
        <w:rPr>
          <w:rFonts w:hint="cs"/>
          <w:rtl/>
        </w:rPr>
        <w:t>ר דבר"</w:t>
      </w:r>
      <w:bookmarkStart w:id="5" w:name="_Ref144841467"/>
      <w:r w:rsidRPr="005316B5">
        <w:rPr>
          <w:rStyle w:val="a6"/>
          <w:rtl/>
        </w:rPr>
        <w:endnoteReference w:id="10"/>
      </w:r>
      <w:bookmarkEnd w:id="5"/>
      <w:r w:rsidRPr="00463E75">
        <w:rPr>
          <w:rFonts w:hint="cs"/>
          <w:rtl/>
        </w:rPr>
        <w:t xml:space="preserve">. זהו כבוד גלוי, שככל שחוקרים בו ומגלים אותו הוא מתרבה (שעל כן נוהגים לקרוא תחת החופה בקול את הכתובה, ולפרט את </w:t>
      </w:r>
      <w:proofErr w:type="spellStart"/>
      <w:r w:rsidRPr="00463E75">
        <w:rPr>
          <w:rFonts w:hint="cs"/>
          <w:rtl/>
        </w:rPr>
        <w:t>התחיבויות</w:t>
      </w:r>
      <w:proofErr w:type="spellEnd"/>
      <w:r w:rsidRPr="00463E75">
        <w:rPr>
          <w:rFonts w:hint="cs"/>
          <w:rtl/>
        </w:rPr>
        <w:t xml:space="preserve"> החתן לכלתו באהבתו לה). "כב</w:t>
      </w:r>
      <w:r w:rsidRPr="0026737F">
        <w:rPr>
          <w:rFonts w:hint="cs"/>
          <w:spacing w:val="-10"/>
          <w:rtl/>
        </w:rPr>
        <w:t>ֹ</w:t>
      </w:r>
      <w:r w:rsidRPr="00463E75">
        <w:rPr>
          <w:rFonts w:hint="cs"/>
          <w:rtl/>
        </w:rPr>
        <w:t>ד מלכים חק</w:t>
      </w:r>
      <w:r w:rsidRPr="0026737F">
        <w:rPr>
          <w:rFonts w:hint="cs"/>
          <w:spacing w:val="-10"/>
          <w:rtl/>
        </w:rPr>
        <w:t>ֹ</w:t>
      </w:r>
      <w:r w:rsidRPr="00463E75">
        <w:rPr>
          <w:rFonts w:hint="cs"/>
          <w:rtl/>
        </w:rPr>
        <w:t>ר דבר" מתייחס לחלק הנגלה שבתורה – ל</w:t>
      </w:r>
      <w:r w:rsidRPr="00E84990">
        <w:rPr>
          <w:rStyle w:val="a3"/>
          <w:rFonts w:hint="cs"/>
          <w:rtl/>
        </w:rPr>
        <w:t>הלכות</w:t>
      </w:r>
      <w:r w:rsidRPr="00463E75">
        <w:rPr>
          <w:rFonts w:hint="cs"/>
          <w:rtl/>
        </w:rPr>
        <w:t xml:space="preserve"> התורה, בהן בעיקר נאמר "בי </w:t>
      </w:r>
      <w:r w:rsidRPr="00E84990">
        <w:rPr>
          <w:rStyle w:val="a3"/>
          <w:rFonts w:hint="cs"/>
          <w:rtl/>
        </w:rPr>
        <w:t>מלכים</w:t>
      </w:r>
      <w:r w:rsidRPr="00463E75">
        <w:rPr>
          <w:rFonts w:hint="cs"/>
          <w:rtl/>
        </w:rPr>
        <w:t xml:space="preserve"> ימל</w:t>
      </w:r>
      <w:r w:rsidRPr="0026737F">
        <w:rPr>
          <w:rFonts w:hint="cs"/>
          <w:spacing w:val="-10"/>
          <w:rtl/>
        </w:rPr>
        <w:t>ֹ</w:t>
      </w:r>
      <w:r w:rsidRPr="005964F5">
        <w:rPr>
          <w:rFonts w:hint="cs"/>
          <w:spacing w:val="-6"/>
          <w:rtl/>
        </w:rPr>
        <w:t>כ</w:t>
      </w:r>
      <w:r w:rsidRPr="00463E75">
        <w:rPr>
          <w:rFonts w:hint="cs"/>
          <w:rtl/>
        </w:rPr>
        <w:t>ו"</w:t>
      </w:r>
      <w:r w:rsidRPr="005316B5">
        <w:rPr>
          <w:rStyle w:val="a6"/>
          <w:rtl/>
        </w:rPr>
        <w:endnoteReference w:id="11"/>
      </w:r>
      <w:r w:rsidRPr="00463E75">
        <w:rPr>
          <w:rFonts w:hint="cs"/>
          <w:rtl/>
        </w:rPr>
        <w:t>, ובפרט לגזרות ותקנות חכמים</w:t>
      </w:r>
      <w:bookmarkStart w:id="6" w:name="_Ref144884530"/>
      <w:r w:rsidRPr="005316B5">
        <w:rPr>
          <w:rStyle w:val="a6"/>
          <w:rtl/>
        </w:rPr>
        <w:endnoteReference w:id="12"/>
      </w:r>
      <w:bookmarkEnd w:id="6"/>
      <w:r w:rsidRPr="00463E75">
        <w:rPr>
          <w:rFonts w:hint="cs"/>
          <w:rtl/>
        </w:rPr>
        <w:t xml:space="preserve"> – והיינו קידושי החתן את אשתו על פי נגלה שבתורה (ובפרט קידושי כסף שהם "מדברי סופרים"</w:t>
      </w:r>
      <w:r w:rsidRPr="005316B5">
        <w:rPr>
          <w:rStyle w:val="a6"/>
          <w:rtl/>
        </w:rPr>
        <w:endnoteReference w:id="13"/>
      </w:r>
      <w:r w:rsidRPr="00463E75">
        <w:rPr>
          <w:rFonts w:hint="cs"/>
          <w:rtl/>
        </w:rPr>
        <w:t>).</w:t>
      </w:r>
    </w:p>
    <w:p w:rsidR="008A4E84" w:rsidRPr="00463E75" w:rsidRDefault="008A4E84" w:rsidP="008A4E84">
      <w:pPr>
        <w:rPr>
          <w:rFonts w:hint="cs"/>
          <w:rtl/>
        </w:rPr>
      </w:pPr>
      <w:r w:rsidRPr="00463E75">
        <w:rPr>
          <w:rFonts w:hint="cs"/>
          <w:rtl/>
        </w:rPr>
        <w:t>חופת הכלה היא הקידושין הנסתרים שמקדשת הכלה את חתנה</w:t>
      </w:r>
      <w:r w:rsidRPr="00463E75">
        <w:rPr>
          <w:rStyle w:val="a6"/>
        </w:rPr>
        <w:fldChar w:fldCharType="begin"/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  <w:rFonts w:hint="cs"/>
        </w:rPr>
        <w:instrText>NOTEREF</w:instrText>
      </w:r>
      <w:r w:rsidRPr="00463E75">
        <w:rPr>
          <w:rStyle w:val="a6"/>
          <w:rFonts w:hint="cs"/>
          <w:rtl/>
        </w:rPr>
        <w:instrText xml:space="preserve"> _</w:instrText>
      </w:r>
      <w:r w:rsidRPr="00463E75">
        <w:rPr>
          <w:rStyle w:val="a6"/>
          <w:rFonts w:hint="cs"/>
        </w:rPr>
        <w:instrText>Ref144867039 \h</w:instrText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</w:rPr>
      </w:r>
      <w:r w:rsidRPr="00463E75">
        <w:rPr>
          <w:rStyle w:val="a6"/>
        </w:rPr>
        <w:instrText xml:space="preserve"> \* MERGEFORMAT </w:instrText>
      </w:r>
      <w:r w:rsidRPr="00463E75">
        <w:rPr>
          <w:rStyle w:val="a6"/>
        </w:rPr>
        <w:fldChar w:fldCharType="separate"/>
      </w:r>
      <w:r>
        <w:rPr>
          <w:rStyle w:val="a6"/>
          <w:rtl/>
        </w:rPr>
        <w:t>ו</w:t>
      </w:r>
      <w:r w:rsidRPr="00463E75">
        <w:rPr>
          <w:rStyle w:val="a6"/>
        </w:rPr>
        <w:fldChar w:fldCharType="end"/>
      </w:r>
      <w:r w:rsidRPr="00463E75">
        <w:rPr>
          <w:rFonts w:hint="cs"/>
          <w:rtl/>
        </w:rPr>
        <w:t xml:space="preserve">. קידושין אלו נמשכים מבחינת "כבוד כלה" </w:t>
      </w:r>
      <w:r w:rsidRPr="00463E75">
        <w:rPr>
          <w:rFonts w:hint="eastAsia"/>
          <w:rtl/>
        </w:rPr>
        <w:t xml:space="preserve">– אור אהבת הכלה אל חתנה. </w:t>
      </w:r>
      <w:r w:rsidRPr="00463E75">
        <w:rPr>
          <w:rFonts w:hint="cs"/>
          <w:rtl/>
        </w:rPr>
        <w:t>אהבת הכלה אל חתנה צנועה, עד ש"קול כלה"</w:t>
      </w:r>
      <w:r w:rsidRPr="00463E75">
        <w:rPr>
          <w:rStyle w:val="a6"/>
          <w:rtl/>
        </w:rPr>
        <w:fldChar w:fldCharType="begin"/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  <w:rFonts w:hint="cs"/>
        </w:rPr>
        <w:instrText>NOTEREF</w:instrText>
      </w:r>
      <w:r w:rsidRPr="00463E75">
        <w:rPr>
          <w:rStyle w:val="a6"/>
          <w:rFonts w:hint="cs"/>
          <w:rtl/>
        </w:rPr>
        <w:instrText xml:space="preserve"> _</w:instrText>
      </w:r>
      <w:r w:rsidRPr="00463E75">
        <w:rPr>
          <w:rStyle w:val="a6"/>
          <w:rFonts w:hint="cs"/>
        </w:rPr>
        <w:instrText>Ref144841277 \h</w:instrText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</w:rPr>
      </w:r>
      <w:r w:rsidRPr="00463E75">
        <w:rPr>
          <w:rStyle w:val="a6"/>
          <w:rtl/>
        </w:rPr>
        <w:instrText xml:space="preserve"> \* </w:instrText>
      </w:r>
      <w:r w:rsidRPr="00463E75">
        <w:rPr>
          <w:rStyle w:val="a6"/>
        </w:rPr>
        <w:instrText>MERGEFORMAT</w:instrText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  <w:rtl/>
        </w:rPr>
        <w:fldChar w:fldCharType="separate"/>
      </w:r>
      <w:r>
        <w:rPr>
          <w:rStyle w:val="a6"/>
          <w:rtl/>
        </w:rPr>
        <w:t>ח</w:t>
      </w:r>
      <w:r w:rsidRPr="00463E75">
        <w:rPr>
          <w:rStyle w:val="a6"/>
          <w:rtl/>
        </w:rPr>
        <w:fldChar w:fldCharType="end"/>
      </w:r>
      <w:r w:rsidRPr="00463E75">
        <w:rPr>
          <w:rFonts w:hint="cs"/>
          <w:rtl/>
        </w:rPr>
        <w:t xml:space="preserve"> כלל אינו נשמע בעולם הזה</w:t>
      </w:r>
      <w:r w:rsidRPr="005316B5">
        <w:rPr>
          <w:rStyle w:val="a6"/>
          <w:rtl/>
        </w:rPr>
        <w:endnoteReference w:id="14"/>
      </w:r>
      <w:r w:rsidRPr="00463E75">
        <w:rPr>
          <w:rFonts w:hint="cs"/>
          <w:rtl/>
        </w:rPr>
        <w:t xml:space="preserve"> (לא בחופה, וגם במשך חיי הנישואין הרי "</w:t>
      </w:r>
      <w:proofErr w:type="spellStart"/>
      <w:r w:rsidRPr="00463E75">
        <w:rPr>
          <w:rFonts w:hint="cs"/>
          <w:rtl/>
        </w:rPr>
        <w:t>האשה</w:t>
      </w:r>
      <w:proofErr w:type="spellEnd"/>
      <w:r w:rsidRPr="00463E75">
        <w:rPr>
          <w:rFonts w:hint="cs"/>
          <w:rtl/>
        </w:rPr>
        <w:t xml:space="preserve"> תובעת בלב והאיש תובע בפה, זו היא מדה טובה בנשים"</w:t>
      </w:r>
      <w:r w:rsidRPr="005316B5">
        <w:rPr>
          <w:rStyle w:val="a6"/>
          <w:rtl/>
        </w:rPr>
        <w:endnoteReference w:id="15"/>
      </w:r>
      <w:r w:rsidRPr="00463E75">
        <w:rPr>
          <w:rFonts w:hint="cs"/>
          <w:rtl/>
        </w:rPr>
        <w:t xml:space="preserve">, כי אף אם תביעת האיש בפה היא מגילויי אהבתו לאשתו, הרי </w:t>
      </w:r>
      <w:proofErr w:type="spellStart"/>
      <w:r w:rsidRPr="00463E75">
        <w:rPr>
          <w:rFonts w:hint="cs"/>
          <w:rtl/>
        </w:rPr>
        <w:t>שהמדה</w:t>
      </w:r>
      <w:proofErr w:type="spellEnd"/>
      <w:r w:rsidRPr="00463E75">
        <w:rPr>
          <w:rFonts w:hint="cs"/>
          <w:rtl/>
        </w:rPr>
        <w:t xml:space="preserve"> הטובה יותר היא האהבה הטמונה בלב </w:t>
      </w:r>
      <w:proofErr w:type="spellStart"/>
      <w:r w:rsidRPr="00463E75">
        <w:rPr>
          <w:rFonts w:hint="cs"/>
          <w:rtl/>
        </w:rPr>
        <w:t>האשה</w:t>
      </w:r>
      <w:proofErr w:type="spellEnd"/>
      <w:r w:rsidRPr="00463E75">
        <w:rPr>
          <w:rFonts w:hint="cs"/>
          <w:rtl/>
        </w:rPr>
        <w:t>, שבאה לידי גילוי בתביעה סמויה ונסתרת). על כבוד זה נאמר "כב</w:t>
      </w:r>
      <w:r w:rsidRPr="005964F5">
        <w:rPr>
          <w:rFonts w:hint="cs"/>
          <w:spacing w:val="-10"/>
          <w:rtl/>
        </w:rPr>
        <w:t>ֹ</w:t>
      </w:r>
      <w:r w:rsidRPr="00463E75">
        <w:rPr>
          <w:rFonts w:hint="cs"/>
          <w:rtl/>
        </w:rPr>
        <w:t xml:space="preserve">ד </w:t>
      </w:r>
      <w:proofErr w:type="spellStart"/>
      <w:r w:rsidRPr="00463E75">
        <w:rPr>
          <w:rFonts w:hint="cs"/>
          <w:rtl/>
        </w:rPr>
        <w:t>אלהים</w:t>
      </w:r>
      <w:proofErr w:type="spellEnd"/>
      <w:r w:rsidRPr="00463E75">
        <w:rPr>
          <w:rFonts w:hint="cs"/>
          <w:rtl/>
        </w:rPr>
        <w:t xml:space="preserve"> הסתר דבר"</w:t>
      </w:r>
      <w:r w:rsidRPr="00463E75">
        <w:rPr>
          <w:rStyle w:val="a6"/>
          <w:rtl/>
        </w:rPr>
        <w:fldChar w:fldCharType="begin"/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  <w:rFonts w:hint="cs"/>
        </w:rPr>
        <w:instrText>NOTEREF</w:instrText>
      </w:r>
      <w:r w:rsidRPr="00463E75">
        <w:rPr>
          <w:rStyle w:val="a6"/>
          <w:rFonts w:hint="cs"/>
          <w:rtl/>
        </w:rPr>
        <w:instrText xml:space="preserve"> _</w:instrText>
      </w:r>
      <w:r w:rsidRPr="00463E75">
        <w:rPr>
          <w:rStyle w:val="a6"/>
          <w:rFonts w:hint="cs"/>
        </w:rPr>
        <w:instrText>Ref144841467 \h</w:instrText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</w:rPr>
      </w:r>
      <w:r w:rsidRPr="00463E75">
        <w:rPr>
          <w:rStyle w:val="a6"/>
          <w:rtl/>
        </w:rPr>
        <w:instrText xml:space="preserve"> \* </w:instrText>
      </w:r>
      <w:r w:rsidRPr="00463E75">
        <w:rPr>
          <w:rStyle w:val="a6"/>
        </w:rPr>
        <w:instrText>MERGEFORMAT</w:instrText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  <w:rtl/>
        </w:rPr>
        <w:fldChar w:fldCharType="separate"/>
      </w:r>
      <w:r>
        <w:rPr>
          <w:rStyle w:val="a6"/>
          <w:rtl/>
        </w:rPr>
        <w:t>י</w:t>
      </w:r>
      <w:r w:rsidRPr="00463E75">
        <w:rPr>
          <w:rStyle w:val="a6"/>
          <w:rtl/>
        </w:rPr>
        <w:fldChar w:fldCharType="end"/>
      </w:r>
      <w:r w:rsidRPr="00463E75">
        <w:rPr>
          <w:rFonts w:hint="cs"/>
          <w:rtl/>
        </w:rPr>
        <w:t xml:space="preserve"> </w:t>
      </w:r>
      <w:r w:rsidRPr="00463E75">
        <w:rPr>
          <w:rFonts w:hint="eastAsia"/>
          <w:rtl/>
        </w:rPr>
        <w:t xml:space="preserve">– ההסתר הוא ממעלת כבוד זה, וככל שהוא סמוי ונעלם יותר כך </w:t>
      </w:r>
      <w:r w:rsidRPr="00463E75">
        <w:rPr>
          <w:rFonts w:hint="cs"/>
          <w:rtl/>
        </w:rPr>
        <w:t>הוא חשוב ונעלה יותר, בבחינת "כל כבודה בת מלך פנימה"</w:t>
      </w:r>
      <w:r w:rsidRPr="005316B5">
        <w:rPr>
          <w:rStyle w:val="a6"/>
          <w:rtl/>
        </w:rPr>
        <w:endnoteReference w:id="16"/>
      </w:r>
      <w:r w:rsidRPr="00463E75">
        <w:rPr>
          <w:rFonts w:hint="cs"/>
          <w:rtl/>
        </w:rPr>
        <w:t xml:space="preserve"> (ויש לומר כי באופן יחסי "כבוד כלה" הנסתר הוא מקיף נעלה יותר מ"כבוד חתן", שהוא מקיף-הקרוב-לפנימי, כרמוז בכך ש"</w:t>
      </w:r>
      <w:r w:rsidRPr="00463E75">
        <w:rPr>
          <w:rFonts w:hint="cs"/>
          <w:b/>
          <w:bCs/>
          <w:sz w:val="28"/>
          <w:szCs w:val="28"/>
          <w:rtl/>
        </w:rPr>
        <w:t>ה</w:t>
      </w:r>
      <w:r w:rsidRPr="00463E75">
        <w:rPr>
          <w:rFonts w:hint="cs"/>
          <w:rtl/>
        </w:rPr>
        <w:t xml:space="preserve">סתר </w:t>
      </w:r>
      <w:r w:rsidRPr="00463E75">
        <w:rPr>
          <w:rFonts w:hint="cs"/>
          <w:b/>
          <w:bCs/>
          <w:sz w:val="28"/>
          <w:szCs w:val="28"/>
          <w:rtl/>
        </w:rPr>
        <w:t>ד</w:t>
      </w:r>
      <w:r w:rsidRPr="00463E75">
        <w:rPr>
          <w:rFonts w:hint="cs"/>
          <w:rtl/>
        </w:rPr>
        <w:t>ב</w:t>
      </w:r>
      <w:r w:rsidRPr="00463E75">
        <w:rPr>
          <w:rFonts w:hint="cs"/>
          <w:b/>
          <w:bCs/>
          <w:sz w:val="28"/>
          <w:szCs w:val="28"/>
          <w:rtl/>
        </w:rPr>
        <w:t>ר</w:t>
      </w:r>
      <w:r w:rsidRPr="00463E75">
        <w:rPr>
          <w:rFonts w:hint="cs"/>
          <w:rtl/>
        </w:rPr>
        <w:t xml:space="preserve">" הוא נוטריקון </w:t>
      </w:r>
      <w:r w:rsidRPr="00463E75">
        <w:rPr>
          <w:rFonts w:hint="cs"/>
          <w:b/>
          <w:bCs/>
          <w:sz w:val="28"/>
          <w:szCs w:val="28"/>
          <w:rtl/>
        </w:rPr>
        <w:t>הדר</w:t>
      </w:r>
      <w:r w:rsidRPr="00463E75">
        <w:rPr>
          <w:rFonts w:hint="cs"/>
          <w:rtl/>
        </w:rPr>
        <w:t>, המקיף את האדם, בבחינת "הוד והדר לבשת"</w:t>
      </w:r>
      <w:r w:rsidRPr="005316B5">
        <w:rPr>
          <w:rStyle w:val="a6"/>
          <w:rtl/>
        </w:rPr>
        <w:endnoteReference w:id="17"/>
      </w:r>
      <w:r w:rsidRPr="00463E75">
        <w:rPr>
          <w:rFonts w:hint="cs"/>
          <w:rtl/>
        </w:rPr>
        <w:t xml:space="preserve">, </w:t>
      </w:r>
      <w:r w:rsidRPr="00463E75">
        <w:rPr>
          <w:rFonts w:hint="cs"/>
          <w:rtl/>
        </w:rPr>
        <w:lastRenderedPageBreak/>
        <w:t>ואילו "</w:t>
      </w:r>
      <w:r w:rsidRPr="00463E75">
        <w:rPr>
          <w:rFonts w:hint="cs"/>
          <w:b/>
          <w:bCs/>
          <w:sz w:val="28"/>
          <w:szCs w:val="28"/>
          <w:rtl/>
        </w:rPr>
        <w:t>ח</w:t>
      </w:r>
      <w:r w:rsidRPr="00463E75">
        <w:rPr>
          <w:rFonts w:hint="cs"/>
          <w:rtl/>
        </w:rPr>
        <w:t>ק</w:t>
      </w:r>
      <w:r w:rsidRPr="005964F5">
        <w:rPr>
          <w:rFonts w:hint="cs"/>
          <w:spacing w:val="-10"/>
          <w:rtl/>
        </w:rPr>
        <w:t>ֹ</w:t>
      </w:r>
      <w:r w:rsidRPr="00463E75">
        <w:rPr>
          <w:rFonts w:hint="cs"/>
          <w:rtl/>
        </w:rPr>
        <w:t xml:space="preserve">ר </w:t>
      </w:r>
      <w:r w:rsidRPr="00463E75">
        <w:rPr>
          <w:rFonts w:hint="cs"/>
          <w:b/>
          <w:bCs/>
          <w:sz w:val="28"/>
          <w:szCs w:val="28"/>
          <w:rtl/>
        </w:rPr>
        <w:t>ד</w:t>
      </w:r>
      <w:r w:rsidRPr="00463E75">
        <w:rPr>
          <w:rFonts w:hint="cs"/>
          <w:rtl/>
        </w:rPr>
        <w:t>ב</w:t>
      </w:r>
      <w:r w:rsidRPr="00463E75">
        <w:rPr>
          <w:rFonts w:hint="cs"/>
          <w:b/>
          <w:bCs/>
          <w:sz w:val="28"/>
          <w:szCs w:val="28"/>
          <w:rtl/>
        </w:rPr>
        <w:t>ר</w:t>
      </w:r>
      <w:r w:rsidRPr="00463E75">
        <w:rPr>
          <w:rFonts w:hint="cs"/>
          <w:rtl/>
        </w:rPr>
        <w:t xml:space="preserve">" הוא נוטריקון </w:t>
      </w:r>
      <w:r w:rsidRPr="00463E75">
        <w:rPr>
          <w:rFonts w:hint="cs"/>
          <w:b/>
          <w:bCs/>
          <w:sz w:val="28"/>
          <w:szCs w:val="28"/>
          <w:rtl/>
        </w:rPr>
        <w:t>חדר</w:t>
      </w:r>
      <w:r w:rsidRPr="00463E75">
        <w:rPr>
          <w:rFonts w:hint="cs"/>
          <w:rtl/>
        </w:rPr>
        <w:t xml:space="preserve">, מקיף הקרוב </w:t>
      </w:r>
      <w:r w:rsidRPr="00E84990">
        <w:rPr>
          <w:rStyle w:val="a3"/>
          <w:rFonts w:hint="cs"/>
          <w:rtl/>
        </w:rPr>
        <w:t>לחדור</w:t>
      </w:r>
      <w:r w:rsidRPr="00463E75">
        <w:rPr>
          <w:rFonts w:hint="cs"/>
          <w:rtl/>
        </w:rPr>
        <w:t xml:space="preserve"> פנימה </w:t>
      </w:r>
      <w:r w:rsidRPr="00463E75">
        <w:rPr>
          <w:rtl/>
        </w:rPr>
        <w:t>–</w:t>
      </w:r>
      <w:r w:rsidRPr="00463E75">
        <w:rPr>
          <w:rFonts w:hint="cs"/>
          <w:rtl/>
        </w:rPr>
        <w:t xml:space="preserve"> ואם כן, מקיף הכלה סובב גם את מקיף החתן, כדוגמת סיבוב הכלה את חתנה המקיף אותו ואת טבעתו גם יחד). "כב</w:t>
      </w:r>
      <w:r w:rsidRPr="005964F5">
        <w:rPr>
          <w:rFonts w:hint="cs"/>
          <w:spacing w:val="-10"/>
          <w:rtl/>
        </w:rPr>
        <w:t>ֹ</w:t>
      </w:r>
      <w:r w:rsidRPr="00463E75">
        <w:rPr>
          <w:rFonts w:hint="cs"/>
          <w:rtl/>
        </w:rPr>
        <w:t xml:space="preserve">ד </w:t>
      </w:r>
      <w:proofErr w:type="spellStart"/>
      <w:r w:rsidRPr="00463E75">
        <w:rPr>
          <w:rFonts w:hint="cs"/>
          <w:rtl/>
        </w:rPr>
        <w:t>אלהים</w:t>
      </w:r>
      <w:proofErr w:type="spellEnd"/>
      <w:r w:rsidRPr="00463E75">
        <w:rPr>
          <w:rFonts w:hint="cs"/>
          <w:rtl/>
        </w:rPr>
        <w:t xml:space="preserve"> הסתר דבר" מתייחס למעשה בראשית ומעשה מרכבה</w:t>
      </w:r>
      <w:r w:rsidRPr="00463E75">
        <w:rPr>
          <w:rStyle w:val="a6"/>
          <w:rtl/>
        </w:rPr>
        <w:fldChar w:fldCharType="begin"/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  <w:rFonts w:hint="cs"/>
        </w:rPr>
        <w:instrText>NOTEREF</w:instrText>
      </w:r>
      <w:r w:rsidRPr="00463E75">
        <w:rPr>
          <w:rStyle w:val="a6"/>
          <w:rFonts w:hint="cs"/>
          <w:rtl/>
        </w:rPr>
        <w:instrText xml:space="preserve"> _</w:instrText>
      </w:r>
      <w:r w:rsidRPr="00463E75">
        <w:rPr>
          <w:rStyle w:val="a6"/>
          <w:rFonts w:hint="cs"/>
        </w:rPr>
        <w:instrText>Ref144884530 \h</w:instrText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</w:rPr>
      </w:r>
      <w:r w:rsidRPr="00463E75">
        <w:rPr>
          <w:rStyle w:val="a6"/>
          <w:rtl/>
        </w:rPr>
        <w:instrText xml:space="preserve"> \* </w:instrText>
      </w:r>
      <w:r w:rsidRPr="00463E75">
        <w:rPr>
          <w:rStyle w:val="a6"/>
        </w:rPr>
        <w:instrText>MERGEFORMAT</w:instrText>
      </w:r>
      <w:r w:rsidRPr="00463E75">
        <w:rPr>
          <w:rStyle w:val="a6"/>
          <w:rtl/>
        </w:rPr>
        <w:instrText xml:space="preserve"> </w:instrText>
      </w:r>
      <w:r w:rsidRPr="00463E75">
        <w:rPr>
          <w:rStyle w:val="a6"/>
          <w:rtl/>
        </w:rPr>
        <w:fldChar w:fldCharType="separate"/>
      </w:r>
      <w:r>
        <w:rPr>
          <w:rStyle w:val="a6"/>
          <w:rtl/>
        </w:rPr>
        <w:t>יב</w:t>
      </w:r>
      <w:r w:rsidRPr="00463E75">
        <w:rPr>
          <w:rStyle w:val="a6"/>
          <w:rtl/>
        </w:rPr>
        <w:fldChar w:fldCharType="end"/>
      </w:r>
      <w:r w:rsidRPr="00463E75">
        <w:rPr>
          <w:rFonts w:hint="cs"/>
          <w:rtl/>
        </w:rPr>
        <w:t xml:space="preserve"> </w:t>
      </w:r>
      <w:r w:rsidRPr="00463E75">
        <w:rPr>
          <w:rtl/>
        </w:rPr>
        <w:t>–</w:t>
      </w:r>
      <w:r w:rsidRPr="00463E75">
        <w:rPr>
          <w:rFonts w:hint="cs"/>
          <w:rtl/>
        </w:rPr>
        <w:t xml:space="preserve"> הקידושין הנסתרים של </w:t>
      </w:r>
      <w:proofErr w:type="spellStart"/>
      <w:r w:rsidRPr="00463E75">
        <w:rPr>
          <w:rFonts w:hint="cs"/>
          <w:rtl/>
        </w:rPr>
        <w:t>האשה</w:t>
      </w:r>
      <w:proofErr w:type="spellEnd"/>
      <w:r w:rsidRPr="00463E75">
        <w:rPr>
          <w:rFonts w:hint="cs"/>
          <w:rtl/>
        </w:rPr>
        <w:t xml:space="preserve"> את אישה היינו התמסרותה לו, בה היא </w:t>
      </w:r>
      <w:r w:rsidRPr="00E84990">
        <w:rPr>
          <w:rStyle w:val="a3"/>
          <w:rFonts w:hint="cs"/>
          <w:rtl/>
        </w:rPr>
        <w:t>מבריאה</w:t>
      </w:r>
      <w:r w:rsidRPr="00463E75">
        <w:rPr>
          <w:rFonts w:hint="cs"/>
          <w:rtl/>
        </w:rPr>
        <w:t xml:space="preserve"> את מדות </w:t>
      </w:r>
      <w:proofErr w:type="spellStart"/>
      <w:r w:rsidRPr="00463E75">
        <w:rPr>
          <w:rFonts w:hint="cs"/>
          <w:rtl/>
        </w:rPr>
        <w:t>התהו</w:t>
      </w:r>
      <w:proofErr w:type="spellEnd"/>
      <w:r w:rsidRPr="00463E75">
        <w:rPr>
          <w:rFonts w:hint="cs"/>
          <w:rtl/>
        </w:rPr>
        <w:t xml:space="preserve"> הראשונות שלו (בסוד ה</w:t>
      </w:r>
      <w:r w:rsidRPr="00E84990">
        <w:rPr>
          <w:rStyle w:val="a3"/>
          <w:rFonts w:hint="cs"/>
          <w:rtl/>
        </w:rPr>
        <w:t>בריאה</w:t>
      </w:r>
      <w:r w:rsidRPr="00463E75">
        <w:rPr>
          <w:rFonts w:hint="cs"/>
          <w:rtl/>
        </w:rPr>
        <w:t xml:space="preserve"> של "מעשה בראשית", כנודע) ונעשית לו מרכבה</w:t>
      </w:r>
      <w:r w:rsidRPr="005316B5">
        <w:rPr>
          <w:rStyle w:val="a6"/>
          <w:rtl/>
        </w:rPr>
        <w:endnoteReference w:id="18"/>
      </w:r>
      <w:r w:rsidRPr="00463E75">
        <w:rPr>
          <w:rFonts w:hint="cs"/>
          <w:rtl/>
        </w:rPr>
        <w:t xml:space="preserve"> (בסוד "מעשה מרכבה") המביאה אותו </w:t>
      </w:r>
      <w:r>
        <w:rPr>
          <w:rFonts w:hint="cs"/>
          <w:rtl/>
        </w:rPr>
        <w:t xml:space="preserve">למקומות אליהם איננו מסוגל להגיע </w:t>
      </w:r>
      <w:proofErr w:type="spellStart"/>
      <w:r>
        <w:rPr>
          <w:rFonts w:hint="cs"/>
          <w:rtl/>
        </w:rPr>
        <w:t>בכחות</w:t>
      </w:r>
      <w:proofErr w:type="spellEnd"/>
      <w:r>
        <w:rPr>
          <w:rFonts w:hint="cs"/>
          <w:rtl/>
        </w:rPr>
        <w:t xml:space="preserve"> עצמו</w:t>
      </w:r>
      <w:r w:rsidRPr="005316B5">
        <w:rPr>
          <w:rStyle w:val="a6"/>
          <w:rtl/>
        </w:rPr>
        <w:endnoteReference w:id="19"/>
      </w:r>
      <w:r w:rsidRPr="00463E75">
        <w:rPr>
          <w:rFonts w:hint="cs"/>
          <w:rtl/>
        </w:rPr>
        <w:t>.</w:t>
      </w:r>
    </w:p>
    <w:p w:rsidR="008A4E84" w:rsidRDefault="008A4E84" w:rsidP="008A4E84">
      <w:pPr>
        <w:rPr>
          <w:rFonts w:hint="cs"/>
          <w:sz w:val="24"/>
          <w:rtl/>
        </w:rPr>
      </w:pPr>
      <w:r>
        <w:rPr>
          <w:rFonts w:hint="cs"/>
          <w:rtl/>
        </w:rPr>
        <w:t xml:space="preserve">מעל שתי החופות ובזכותן נמצאת החופה </w:t>
      </w:r>
      <w:proofErr w:type="spellStart"/>
      <w:r>
        <w:rPr>
          <w:rFonts w:hint="cs"/>
          <w:rtl/>
        </w:rPr>
        <w:t>האלקית</w:t>
      </w:r>
      <w:proofErr w:type="spellEnd"/>
      <w:r>
        <w:rPr>
          <w:rFonts w:hint="cs"/>
          <w:rtl/>
        </w:rPr>
        <w:t xml:space="preserve"> הגדולה – "כי על כל כבוד חֻפה" – כאשר "כבוד הוי'" אוסף</w:t>
      </w:r>
      <w:r w:rsidRPr="005316B5">
        <w:rPr>
          <w:rStyle w:val="a6"/>
          <w:rtl/>
        </w:rPr>
        <w:endnoteReference w:id="20"/>
      </w:r>
      <w:r>
        <w:rPr>
          <w:rFonts w:hint="cs"/>
          <w:rtl/>
        </w:rPr>
        <w:t xml:space="preserve"> תחתיו את שתי חופות האהבה של החתן והכלה ומקדש אותם לו יחדיו באהבה, "כי קדושת הזיווג מעורר אהבה בין ישראל למקום"</w:t>
      </w:r>
      <w:r w:rsidRPr="005316B5">
        <w:rPr>
          <w:rStyle w:val="a6"/>
          <w:rtl/>
        </w:rPr>
        <w:endnoteReference w:id="21"/>
      </w:r>
      <w:r>
        <w:rPr>
          <w:rFonts w:hint="cs"/>
          <w:rtl/>
        </w:rPr>
        <w:t xml:space="preserve">. בזכות קידושי החתן את הכלה וקידושי הכלה את החתן (אשר ביחד הם "קדשים" </w:t>
      </w:r>
      <w:r>
        <w:rPr>
          <w:rtl/>
        </w:rPr>
        <w:t>–</w:t>
      </w:r>
      <w:r>
        <w:rPr>
          <w:rFonts w:hint="cs"/>
          <w:rtl/>
        </w:rPr>
        <w:t xml:space="preserve"> שתי בחינות "קדש") מתגלים קידושי ה' החופפים עליהם (בבחינת "קדש הקדשים")</w:t>
      </w:r>
      <w:r w:rsidRPr="008934EB">
        <w:rPr>
          <w:rStyle w:val="a6"/>
        </w:rPr>
        <w:fldChar w:fldCharType="begin"/>
      </w:r>
      <w:r w:rsidRPr="008934EB">
        <w:rPr>
          <w:rStyle w:val="a6"/>
          <w:rtl/>
        </w:rPr>
        <w:instrText xml:space="preserve"> </w:instrText>
      </w:r>
      <w:r w:rsidRPr="008934EB">
        <w:rPr>
          <w:rStyle w:val="a6"/>
          <w:rFonts w:hint="cs"/>
        </w:rPr>
        <w:instrText>NOTEREF</w:instrText>
      </w:r>
      <w:r w:rsidRPr="008934EB">
        <w:rPr>
          <w:rStyle w:val="a6"/>
          <w:rFonts w:hint="cs"/>
          <w:rtl/>
        </w:rPr>
        <w:instrText xml:space="preserve"> _</w:instrText>
      </w:r>
      <w:r w:rsidRPr="008934EB">
        <w:rPr>
          <w:rStyle w:val="a6"/>
          <w:rFonts w:hint="cs"/>
        </w:rPr>
        <w:instrText>Ref144867039 \h</w:instrText>
      </w:r>
      <w:r w:rsidRPr="008934EB">
        <w:rPr>
          <w:rStyle w:val="a6"/>
          <w:rtl/>
        </w:rPr>
        <w:instrText xml:space="preserve"> </w:instrText>
      </w:r>
      <w:r w:rsidRPr="008934EB">
        <w:rPr>
          <w:rStyle w:val="a6"/>
        </w:rPr>
      </w:r>
      <w:r>
        <w:rPr>
          <w:rStyle w:val="a6"/>
        </w:rPr>
        <w:instrText xml:space="preserve"> \* MERGEFORMAT </w:instrText>
      </w:r>
      <w:r w:rsidRPr="008934EB">
        <w:rPr>
          <w:rStyle w:val="a6"/>
        </w:rPr>
        <w:fldChar w:fldCharType="separate"/>
      </w:r>
      <w:r>
        <w:rPr>
          <w:rStyle w:val="a6"/>
          <w:rtl/>
        </w:rPr>
        <w:t>ו</w:t>
      </w:r>
      <w:r w:rsidRPr="008934EB">
        <w:rPr>
          <w:rStyle w:val="a6"/>
        </w:rPr>
        <w:fldChar w:fldCharType="end"/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"</w:t>
      </w:r>
      <w:proofErr w:type="spellStart"/>
      <w:r>
        <w:rPr>
          <w:rFonts w:hint="cs"/>
          <w:rtl/>
        </w:rPr>
        <w:t>ויכס</w:t>
      </w:r>
      <w:proofErr w:type="spellEnd"/>
      <w:r>
        <w:rPr>
          <w:rFonts w:hint="cs"/>
          <w:rtl/>
        </w:rPr>
        <w:t xml:space="preserve"> הענן את אהל מועד וכבוד הוי' מלא את המשכן"</w:t>
      </w:r>
      <w:r w:rsidRPr="005316B5">
        <w:rPr>
          <w:rStyle w:val="a6"/>
          <w:rtl/>
        </w:rPr>
        <w:endnoteReference w:id="22"/>
      </w:r>
      <w:r>
        <w:rPr>
          <w:rFonts w:hint="cs"/>
          <w:rtl/>
        </w:rPr>
        <w:t>.</w:t>
      </w:r>
    </w:p>
    <w:p w:rsidR="005F4A47" w:rsidRDefault="00933160">
      <w:bookmarkStart w:id="7" w:name="_GoBack"/>
      <w:bookmarkEnd w:id="7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160" w:rsidRDefault="00933160" w:rsidP="008A4E84">
      <w:pPr>
        <w:spacing w:after="0" w:line="240" w:lineRule="auto"/>
      </w:pPr>
      <w:r>
        <w:separator/>
      </w:r>
    </w:p>
  </w:endnote>
  <w:endnote w:type="continuationSeparator" w:id="0">
    <w:p w:rsidR="00933160" w:rsidRDefault="00933160" w:rsidP="008A4E84">
      <w:pPr>
        <w:spacing w:after="0" w:line="240" w:lineRule="auto"/>
      </w:pPr>
      <w:r>
        <w:continuationSeparator/>
      </w:r>
    </w:p>
  </w:endnote>
  <w:endnote w:id="1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ד, ה.</w:t>
      </w:r>
    </w:p>
  </w:endnote>
  <w:endnote w:id="2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החל </w:t>
      </w:r>
      <w:proofErr w:type="spellStart"/>
      <w:r>
        <w:rPr>
          <w:rFonts w:hint="cs"/>
          <w:rtl/>
        </w:rPr>
        <w:t>מלקו"ת</w:t>
      </w:r>
      <w:proofErr w:type="spellEnd"/>
      <w:r>
        <w:rPr>
          <w:rFonts w:hint="cs"/>
          <w:rtl/>
        </w:rPr>
        <w:t xml:space="preserve"> שה"ש ד"ה "כי על כל כבוד חפה" (</w:t>
      </w:r>
      <w:proofErr w:type="spellStart"/>
      <w:r>
        <w:rPr>
          <w:rFonts w:hint="cs"/>
          <w:rtl/>
        </w:rPr>
        <w:t>מז</w:t>
      </w:r>
      <w:proofErr w:type="spellEnd"/>
      <w:r>
        <w:rPr>
          <w:rFonts w:hint="cs"/>
          <w:rtl/>
        </w:rPr>
        <w:t>, ב ואילך), ונתבאר ברבים מדרושי החתונה.</w:t>
      </w:r>
    </w:p>
  </w:endnote>
  <w:endnote w:id="3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וכנ"ל בתורה הקודמת </w:t>
      </w:r>
      <w:r>
        <w:rPr>
          <w:rtl/>
        </w:rPr>
        <w:t>–</w:t>
      </w:r>
      <w:r>
        <w:rPr>
          <w:rFonts w:hint="cs"/>
          <w:rtl/>
        </w:rPr>
        <w:t xml:space="preserve"> "הפעולה ההדדית בקידושין" </w:t>
      </w:r>
      <w:r>
        <w:rPr>
          <w:rtl/>
        </w:rPr>
        <w:t>–</w:t>
      </w:r>
      <w:r>
        <w:rPr>
          <w:rFonts w:hint="cs"/>
          <w:rtl/>
        </w:rPr>
        <w:t xml:space="preserve"> וראה </w:t>
      </w:r>
      <w:proofErr w:type="spellStart"/>
      <w:r>
        <w:rPr>
          <w:rFonts w:hint="cs"/>
          <w:rtl/>
        </w:rPr>
        <w:t>בנסמן</w:t>
      </w:r>
      <w:proofErr w:type="spellEnd"/>
      <w:r>
        <w:rPr>
          <w:rFonts w:hint="cs"/>
          <w:rtl/>
        </w:rPr>
        <w:t xml:space="preserve"> שם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Ref144839661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י</w:t>
      </w:r>
      <w:r>
        <w:rPr>
          <w:rtl/>
        </w:rPr>
        <w:fldChar w:fldCharType="end"/>
      </w:r>
      <w:r>
        <w:rPr>
          <w:rFonts w:hint="cs"/>
          <w:rtl/>
        </w:rPr>
        <w:t>.</w:t>
      </w:r>
    </w:p>
  </w:endnote>
  <w:endnote w:id="4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פמ"ו</w:t>
      </w:r>
      <w:proofErr w:type="spellEnd"/>
      <w:r>
        <w:rPr>
          <w:rFonts w:hint="cs"/>
          <w:rtl/>
        </w:rPr>
        <w:t>.</w:t>
      </w:r>
    </w:p>
  </w:endnote>
  <w:endnote w:id="5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אגה"ת</w:t>
      </w:r>
      <w:proofErr w:type="spellEnd"/>
      <w:r>
        <w:rPr>
          <w:rFonts w:hint="cs"/>
          <w:rtl/>
        </w:rPr>
        <w:t xml:space="preserve"> פ"י.</w:t>
      </w:r>
    </w:p>
  </w:endnote>
  <w:endnote w:id="6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וכנ"ל בתורה הקודמת </w:t>
      </w:r>
      <w:r>
        <w:rPr>
          <w:rtl/>
        </w:rPr>
        <w:t>–</w:t>
      </w:r>
      <w:r>
        <w:rPr>
          <w:rFonts w:hint="cs"/>
          <w:rtl/>
        </w:rPr>
        <w:t xml:space="preserve"> "הפעולה ההדדית בקידושין".</w:t>
      </w:r>
    </w:p>
  </w:endnote>
  <w:endnote w:id="7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כן הוא הלשון </w:t>
      </w:r>
      <w:proofErr w:type="spellStart"/>
      <w:r>
        <w:rPr>
          <w:rFonts w:hint="cs"/>
          <w:rtl/>
        </w:rPr>
        <w:t>בשו"ע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אהע"ז</w:t>
      </w:r>
      <w:proofErr w:type="spellEnd"/>
      <w:r>
        <w:rPr>
          <w:rFonts w:hint="cs"/>
          <w:rtl/>
        </w:rPr>
        <w:t xml:space="preserve"> סימן לד סעיף ב, ובחלקת מחוקק שם הובא בשם ספר העיטור.</w:t>
      </w:r>
    </w:p>
  </w:endnote>
  <w:endnote w:id="8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ירמיה לג, יא ובכ"ד.</w:t>
      </w:r>
    </w:p>
  </w:endnote>
  <w:endnote w:id="9">
    <w:p w:rsidR="008A4E84" w:rsidRDefault="008A4E84" w:rsidP="008A4E84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פרקי דרבי אליעזר </w:t>
      </w:r>
      <w:proofErr w:type="spellStart"/>
      <w:r>
        <w:rPr>
          <w:rFonts w:hint="cs"/>
          <w:rtl/>
        </w:rPr>
        <w:t>פט"ז</w:t>
      </w:r>
      <w:proofErr w:type="spellEnd"/>
      <w:r>
        <w:rPr>
          <w:rFonts w:hint="cs"/>
          <w:rtl/>
        </w:rPr>
        <w:t>.</w:t>
      </w:r>
    </w:p>
  </w:endnote>
  <w:endnote w:id="10">
    <w:p w:rsidR="008A4E84" w:rsidRDefault="008A4E84" w:rsidP="008A4E84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כה, ב.</w:t>
      </w:r>
    </w:p>
  </w:endnote>
  <w:endnote w:id="11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ח, טו (וראה גיטין סב, א).</w:t>
      </w:r>
    </w:p>
  </w:endnote>
  <w:endnote w:id="12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רש"י על הפסוק.</w:t>
      </w:r>
    </w:p>
  </w:endnote>
  <w:endnote w:id="13">
    <w:p w:rsidR="008A4E84" w:rsidRDefault="008A4E84" w:rsidP="008A4E84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רמב"ם הלכות אישות פ"א </w:t>
      </w:r>
      <w:proofErr w:type="spellStart"/>
      <w:r>
        <w:rPr>
          <w:rFonts w:hint="cs"/>
          <w:rtl/>
        </w:rPr>
        <w:t>ה"ב</w:t>
      </w:r>
      <w:proofErr w:type="spellEnd"/>
      <w:r>
        <w:rPr>
          <w:rFonts w:hint="cs"/>
          <w:rtl/>
        </w:rPr>
        <w:t>.</w:t>
      </w:r>
    </w:p>
  </w:endnote>
  <w:endnote w:id="14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 w:rsidRPr="003E2B3B">
        <w:rPr>
          <w:rFonts w:hint="cs"/>
          <w:rtl/>
        </w:rPr>
        <w:t>תו"א</w:t>
      </w:r>
      <w:proofErr w:type="spellEnd"/>
      <w:r w:rsidRPr="003E2B3B">
        <w:rPr>
          <w:rFonts w:hint="cs"/>
          <w:rtl/>
        </w:rPr>
        <w:t xml:space="preserve"> מד, ד. </w:t>
      </w:r>
      <w:proofErr w:type="spellStart"/>
      <w:r w:rsidRPr="003E2B3B">
        <w:rPr>
          <w:rFonts w:hint="cs"/>
          <w:rtl/>
        </w:rPr>
        <w:t>לקוו"ת</w:t>
      </w:r>
      <w:proofErr w:type="spellEnd"/>
      <w:r w:rsidRPr="003E2B3B">
        <w:rPr>
          <w:rFonts w:hint="cs"/>
          <w:rtl/>
        </w:rPr>
        <w:t xml:space="preserve"> שה"ש מח, ב – ובכ"ד.</w:t>
      </w:r>
    </w:p>
  </w:endnote>
  <w:endnote w:id="15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עירובין ק, ב.</w:t>
      </w:r>
    </w:p>
  </w:endnote>
  <w:endnote w:id="16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מה, יד.</w:t>
      </w:r>
    </w:p>
  </w:endnote>
  <w:endnote w:id="17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קד, א.</w:t>
      </w:r>
    </w:p>
  </w:endnote>
  <w:endnote w:id="18">
    <w:p w:rsidR="008A4E84" w:rsidRDefault="008A4E84" w:rsidP="008A4E84">
      <w:pPr>
        <w:pStyle w:val="a4"/>
        <w:rPr>
          <w:rFonts w:hint="cs"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שכינה ביניהם פ"א הערה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(וראה שה"ש א, ט).</w:t>
      </w:r>
    </w:p>
  </w:endnote>
  <w:endnote w:id="19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שכינה ביניהם עמ' </w:t>
      </w:r>
      <w:proofErr w:type="spellStart"/>
      <w:r>
        <w:rPr>
          <w:rFonts w:hint="cs"/>
          <w:rtl/>
        </w:rPr>
        <w:t>קג</w:t>
      </w:r>
      <w:proofErr w:type="spellEnd"/>
      <w:r>
        <w:rPr>
          <w:rFonts w:hint="cs"/>
          <w:rtl/>
        </w:rPr>
        <w:t>.</w:t>
      </w:r>
    </w:p>
  </w:endnote>
  <w:endnote w:id="20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על פי ישעיה נח, ח: "כבוד הוי' יאספך".</w:t>
      </w:r>
    </w:p>
  </w:endnote>
  <w:endnote w:id="21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הקדמת כרתי </w:t>
      </w:r>
      <w:proofErr w:type="spellStart"/>
      <w:r>
        <w:rPr>
          <w:rFonts w:hint="cs"/>
          <w:rtl/>
        </w:rPr>
        <w:t>ופלתי</w:t>
      </w:r>
      <w:proofErr w:type="spellEnd"/>
      <w:r>
        <w:rPr>
          <w:rFonts w:hint="cs"/>
          <w:rtl/>
        </w:rPr>
        <w:t>, בטעם שקרא לספרו על אבן העזר בשם בני אהובה.</w:t>
      </w:r>
    </w:p>
  </w:endnote>
  <w:endnote w:id="22">
    <w:p w:rsidR="008A4E84" w:rsidRDefault="008A4E84" w:rsidP="008A4E84">
      <w:pPr>
        <w:pStyle w:val="a4"/>
        <w:rPr>
          <w:rFonts w:hint="cs"/>
          <w:rtl/>
        </w:rPr>
      </w:pPr>
      <w:r>
        <w:rPr>
          <w:rtl/>
        </w:rPr>
        <w:tab/>
      </w:r>
      <w:r w:rsidRPr="00E15672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מ, לד.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160" w:rsidRDefault="00933160" w:rsidP="008A4E84">
      <w:pPr>
        <w:spacing w:after="0" w:line="240" w:lineRule="auto"/>
      </w:pPr>
      <w:r>
        <w:separator/>
      </w:r>
    </w:p>
  </w:footnote>
  <w:footnote w:type="continuationSeparator" w:id="0">
    <w:p w:rsidR="00933160" w:rsidRDefault="00933160" w:rsidP="008A4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C8B"/>
    <w:rsid w:val="00061E65"/>
    <w:rsid w:val="00382C8B"/>
    <w:rsid w:val="008A4E84"/>
    <w:rsid w:val="00933160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A4E8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A4E8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A4E8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8A4E84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8A4E84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8A4E84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8A4E84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8A4E8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8A4E8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8A4E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8A4E8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8A4E8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8A4E8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8A4E84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8A4E84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8A4E84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8A4E84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8A4E8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8A4E8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8A4E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90;\&#1513;&#1506;&#1512;%20&#1512;&#1488;&#1513;&#1493;&#1503;%20&#1511;&#1491;&#1513;%20&#1492;&#1511;&#1497;&#1491;&#1493;&#1513;&#1497;&#1503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2017-08-14T22:36:00Z</dcterms:created>
  <dcterms:modified xsi:type="dcterms:W3CDTF">2017-08-14T22:36:00Z</dcterms:modified>
</cp:coreProperties>
</file>