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59" w:rsidRPr="000A2158" w:rsidRDefault="00CC3D59" w:rsidP="00CC3D59">
      <w:pPr>
        <w:pStyle w:val="2"/>
        <w:rPr>
          <w:rFonts w:hint="cs"/>
          <w:rtl/>
        </w:rPr>
      </w:pPr>
      <w:bookmarkStart w:id="0" w:name="_Toc145068668"/>
      <w:bookmarkStart w:id="1" w:name="_Ref145068929"/>
      <w:r>
        <w:rPr>
          <w:w w:val="100"/>
          <w:rtl/>
        </w:rPr>
        <w:drawing>
          <wp:anchor distT="0" distB="0" distL="114300" distR="114300" simplePos="0" relativeHeight="251659264" behindDoc="1" locked="0" layoutInCell="1" allowOverlap="1">
            <wp:simplePos x="0" y="0"/>
            <wp:positionH relativeFrom="column">
              <wp:posOffset>1809750</wp:posOffset>
            </wp:positionH>
            <wp:positionV relativeFrom="paragraph">
              <wp:posOffset>685800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מ</w:t>
      </w:r>
      <w:r w:rsidRPr="000A2158">
        <w:rPr>
          <w:rtl/>
        </w:rPr>
        <w:t>קידושין</w:t>
      </w:r>
      <w:r w:rsidRPr="000A2158">
        <w:rPr>
          <w:rFonts w:hint="cs"/>
          <w:rtl/>
        </w:rPr>
        <w:t xml:space="preserve"> לנישואין</w:t>
      </w:r>
      <w:bookmarkEnd w:id="0"/>
      <w:bookmarkEnd w:id="1"/>
    </w:p>
    <w:p w:rsidR="00CC3D59" w:rsidRPr="00C26113" w:rsidRDefault="00CC3D59" w:rsidP="00CC3D59">
      <w:pPr>
        <w:keepNext/>
        <w:framePr w:dropCap="drop" w:lines="2" w:hSpace="57" w:wrap="around" w:vAnchor="text" w:hAnchor="text" w:xAlign="right"/>
        <w:spacing w:after="0" w:line="760" w:lineRule="exact"/>
        <w:textAlignment w:val="baseline"/>
        <w:rPr>
          <w:rStyle w:val="ae"/>
          <w:rtl/>
        </w:rPr>
      </w:pPr>
      <w:r w:rsidRPr="00C26113">
        <w:rPr>
          <w:rStyle w:val="ae"/>
          <w:rFonts w:hint="cs"/>
          <w:rtl/>
        </w:rPr>
        <w:t>ב</w:t>
      </w:r>
    </w:p>
    <w:p w:rsidR="00CC3D59" w:rsidRDefault="00CC3D59" w:rsidP="00CC3D59">
      <w:pPr>
        <w:rPr>
          <w:rFonts w:hint="cs"/>
          <w:rtl/>
        </w:rPr>
      </w:pPr>
      <w:r>
        <w:rPr>
          <w:rFonts w:hint="cs"/>
          <w:rtl/>
        </w:rPr>
        <w:t xml:space="preserve">"קדש הקדשים" של הקידושין מתחוללים שלשה תהליכים </w:t>
      </w:r>
      <w:r>
        <w:rPr>
          <w:rtl/>
        </w:rPr>
        <w:t>–</w:t>
      </w:r>
      <w:r>
        <w:rPr>
          <w:rFonts w:hint="cs"/>
          <w:rtl/>
        </w:rPr>
        <w:t xml:space="preserve"> בגלוי האיש מקדש את אשתו, בפנימיות </w:t>
      </w:r>
      <w:proofErr w:type="spellStart"/>
      <w:r>
        <w:rPr>
          <w:rFonts w:hint="cs"/>
          <w:rtl/>
        </w:rPr>
        <w:t>האשה</w:t>
      </w:r>
      <w:proofErr w:type="spellEnd"/>
      <w:r>
        <w:rPr>
          <w:rFonts w:hint="cs"/>
          <w:rtl/>
        </w:rPr>
        <w:t xml:space="preserve"> מקדשת את אישה, ומעל ליחס ההדדי נמצא ה' המקדש את שניהם ביחד</w:t>
      </w:r>
      <w:r w:rsidRPr="005316B5">
        <w:rPr>
          <w:rStyle w:val="ab"/>
          <w:rtl/>
        </w:rPr>
        <w:endnoteReference w:id="1"/>
      </w:r>
      <w:r>
        <w:rPr>
          <w:rFonts w:hint="cs"/>
          <w:rtl/>
        </w:rPr>
        <w:t xml:space="preserve">. </w:t>
      </w:r>
      <w:r>
        <w:rPr>
          <w:rtl/>
        </w:rPr>
        <w:t xml:space="preserve">בעומק, היחס בין קידושי האיש את אשתו לקידושי </w:t>
      </w:r>
      <w:proofErr w:type="spellStart"/>
      <w:r>
        <w:rPr>
          <w:rtl/>
        </w:rPr>
        <w:t>האשה</w:t>
      </w:r>
      <w:proofErr w:type="spellEnd"/>
      <w:r>
        <w:rPr>
          <w:rtl/>
        </w:rPr>
        <w:t xml:space="preserve"> את אישה הוא </w:t>
      </w:r>
      <w:r>
        <w:rPr>
          <w:rFonts w:hint="cs"/>
          <w:rtl/>
        </w:rPr>
        <w:t xml:space="preserve">עצם </w:t>
      </w:r>
      <w:r>
        <w:rPr>
          <w:rtl/>
        </w:rPr>
        <w:t>היחס שבין הקידושין לנישואין</w:t>
      </w:r>
      <w:r>
        <w:rPr>
          <w:rFonts w:hint="cs"/>
          <w:rtl/>
        </w:rPr>
        <w:t xml:space="preserve"> (כאשר על אף שהסדר הכרונולוגי מקדים את הקידושין לנישואין, הרי בנוסח ברכת האירוסין מקדימים את הנישואין לקידושין</w:t>
      </w:r>
      <w:r w:rsidRPr="005316B5">
        <w:rPr>
          <w:rStyle w:val="ab"/>
          <w:rtl/>
        </w:rPr>
        <w:endnoteReference w:id="2"/>
      </w:r>
      <w:r>
        <w:rPr>
          <w:rFonts w:hint="cs"/>
          <w:rtl/>
        </w:rPr>
        <w:t xml:space="preserve"> – "מקדש עמו ישראל על ידי חֻפה </w:t>
      </w:r>
      <w:proofErr w:type="spellStart"/>
      <w:r>
        <w:rPr>
          <w:rFonts w:hint="cs"/>
          <w:rtl/>
        </w:rPr>
        <w:t>וקדושין</w:t>
      </w:r>
      <w:proofErr w:type="spellEnd"/>
      <w:r>
        <w:rPr>
          <w:rFonts w:hint="cs"/>
          <w:rtl/>
        </w:rPr>
        <w:t xml:space="preserve">" </w:t>
      </w:r>
      <w:r>
        <w:rPr>
          <w:rFonts w:hint="eastAsia"/>
          <w:rtl/>
        </w:rPr>
        <w:t xml:space="preserve">– לרמז על מעלת </w:t>
      </w:r>
      <w:proofErr w:type="spellStart"/>
      <w:r>
        <w:rPr>
          <w:rFonts w:hint="eastAsia"/>
          <w:rtl/>
        </w:rPr>
        <w:t>האשה</w:t>
      </w:r>
      <w:proofErr w:type="spellEnd"/>
      <w:r>
        <w:rPr>
          <w:rFonts w:hint="eastAsia"/>
          <w:rtl/>
        </w:rPr>
        <w:t xml:space="preserve"> העולה להיות </w:t>
      </w:r>
      <w:r>
        <w:rPr>
          <w:rFonts w:hint="cs"/>
          <w:rtl/>
        </w:rPr>
        <w:t>"אשת חיל עטרת בעלה"</w:t>
      </w:r>
      <w:r w:rsidRPr="005316B5">
        <w:rPr>
          <w:rStyle w:val="ab"/>
          <w:rtl/>
        </w:rPr>
        <w:endnoteReference w:id="3"/>
      </w:r>
      <w:r>
        <w:rPr>
          <w:rFonts w:hint="cs"/>
          <w:rtl/>
        </w:rPr>
        <w:t>)</w:t>
      </w:r>
      <w:r>
        <w:rPr>
          <w:rtl/>
        </w:rPr>
        <w:t>:</w:t>
      </w:r>
    </w:p>
    <w:p w:rsidR="00CC3D59" w:rsidRDefault="00CC3D59" w:rsidP="00CC3D59">
      <w:pPr>
        <w:rPr>
          <w:rFonts w:hint="cs"/>
          <w:rtl/>
        </w:rPr>
      </w:pPr>
      <w:r>
        <w:rPr>
          <w:rtl/>
        </w:rPr>
        <w:t>פעולת הקידושין, הפותחת את תהליך ההתקשרות בין בני הזוג, מתחוללת בעיקר מהאיש אל אשתו – גלוי כי הוא הקונה אותה לו לאשה, המתמסרת לו מרצונה, על ידי שהוא מעניק לה דבר מה בעל ערך</w:t>
      </w:r>
      <w:r>
        <w:rPr>
          <w:rFonts w:hint="cs"/>
          <w:rtl/>
        </w:rPr>
        <w:t xml:space="preserve"> (ברור כי עיקר הקידושין הם עצם ההתמסרות מתוך בחירה – </w:t>
      </w:r>
      <w:proofErr w:type="spellStart"/>
      <w:r>
        <w:rPr>
          <w:rFonts w:hint="cs"/>
          <w:rtl/>
        </w:rPr>
        <w:t>כשהאשה</w:t>
      </w:r>
      <w:proofErr w:type="spellEnd"/>
      <w:r>
        <w:rPr>
          <w:rFonts w:hint="cs"/>
          <w:rtl/>
        </w:rPr>
        <w:t xml:space="preserve"> מגלה ש"בפלוני אני רוצה"</w:t>
      </w:r>
      <w:r w:rsidRPr="005316B5">
        <w:rPr>
          <w:rStyle w:val="ab"/>
          <w:rtl/>
        </w:rPr>
        <w:endnoteReference w:id="4"/>
      </w:r>
      <w:r>
        <w:rPr>
          <w:rFonts w:hint="cs"/>
          <w:rtl/>
        </w:rPr>
        <w:t xml:space="preserve"> </w:t>
      </w:r>
      <w:r>
        <w:rPr>
          <w:rtl/>
        </w:rPr>
        <w:t>–</w:t>
      </w:r>
      <w:r>
        <w:rPr>
          <w:rFonts w:hint="cs"/>
          <w:rtl/>
        </w:rPr>
        <w:t xml:space="preserve"> ולא התמסרות-תמורת-כסף ח"ו</w:t>
      </w:r>
      <w:r w:rsidRPr="005316B5">
        <w:rPr>
          <w:rStyle w:val="ab"/>
          <w:rtl/>
        </w:rPr>
        <w:endnoteReference w:id="5"/>
      </w:r>
      <w:r>
        <w:rPr>
          <w:rFonts w:hint="cs"/>
          <w:rtl/>
        </w:rPr>
        <w:t>, אך קידושי ה</w:t>
      </w:r>
      <w:r w:rsidRPr="00E84990">
        <w:rPr>
          <w:rStyle w:val="a8"/>
          <w:rFonts w:hint="cs"/>
          <w:rtl/>
        </w:rPr>
        <w:t>כסף</w:t>
      </w:r>
      <w:r>
        <w:rPr>
          <w:rFonts w:hint="cs"/>
          <w:rtl/>
        </w:rPr>
        <w:t xml:space="preserve"> בהם נוהגים מדברי סופרים</w:t>
      </w:r>
      <w:r w:rsidRPr="005316B5">
        <w:rPr>
          <w:rStyle w:val="ab"/>
          <w:rtl/>
        </w:rPr>
        <w:endnoteReference w:id="6"/>
      </w:r>
      <w:r>
        <w:rPr>
          <w:rFonts w:hint="cs"/>
          <w:rtl/>
        </w:rPr>
        <w:t xml:space="preserve"> מעניקים ביטוי מוחשי ל</w:t>
      </w:r>
      <w:r w:rsidRPr="00E84990">
        <w:rPr>
          <w:rStyle w:val="a8"/>
          <w:rFonts w:hint="cs"/>
          <w:rtl/>
        </w:rPr>
        <w:t>כיסופי</w:t>
      </w:r>
      <w:r>
        <w:rPr>
          <w:rFonts w:hint="cs"/>
          <w:rtl/>
        </w:rPr>
        <w:t xml:space="preserve"> בני הזוג ונותנים תוקף קניני לקידושין). בקידושין אוסר האיש את אשתו על כל העולם כהקדש, ובכך הוא </w:t>
      </w:r>
      <w:r>
        <w:rPr>
          <w:rFonts w:hint="cs"/>
          <w:rtl/>
        </w:rPr>
        <w:lastRenderedPageBreak/>
        <w:t>קונה ושומר אותה לעצמו, אך מצדו שלו אין עדיין התחייבות של ממש</w:t>
      </w:r>
      <w:r w:rsidRPr="005316B5">
        <w:rPr>
          <w:rStyle w:val="ab"/>
          <w:rtl/>
        </w:rPr>
        <w:endnoteReference w:id="7"/>
      </w:r>
      <w:r>
        <w:rPr>
          <w:rFonts w:hint="cs"/>
          <w:rtl/>
        </w:rPr>
        <w:t xml:space="preserve"> – כל הליך הקידושין הוא 'אינטרס' של האיש בלבד.</w:t>
      </w:r>
    </w:p>
    <w:p w:rsidR="00CC3D59" w:rsidRPr="009A1FEF" w:rsidRDefault="00CC3D59" w:rsidP="00CC3D59">
      <w:pPr>
        <w:rPr>
          <w:rFonts w:hint="cs"/>
          <w:rtl/>
        </w:rPr>
      </w:pPr>
      <w:r>
        <w:rPr>
          <w:rtl/>
        </w:rPr>
        <w:t>בהמשך מתחוללת פעולת הנישואין, החותמת את תהליך ההתקשרות בין בני הזוג</w:t>
      </w:r>
      <w:r>
        <w:rPr>
          <w:rFonts w:hint="cs"/>
          <w:rtl/>
        </w:rPr>
        <w:t>,</w:t>
      </w:r>
      <w:r>
        <w:rPr>
          <w:rtl/>
        </w:rPr>
        <w:t xml:space="preserve"> ו</w:t>
      </w:r>
      <w:r>
        <w:rPr>
          <w:rFonts w:hint="cs"/>
          <w:rtl/>
        </w:rPr>
        <w:t>בעיקר</w:t>
      </w:r>
      <w:r>
        <w:rPr>
          <w:rtl/>
        </w:rPr>
        <w:t xml:space="preserve"> היא הפעולה הנמשכת במשך כל ימי חייהם</w:t>
      </w:r>
      <w:r w:rsidRPr="005316B5">
        <w:rPr>
          <w:rStyle w:val="ab"/>
          <w:rtl/>
        </w:rPr>
        <w:endnoteReference w:id="8"/>
      </w:r>
      <w:r>
        <w:rPr>
          <w:rFonts w:hint="cs"/>
          <w:rtl/>
        </w:rPr>
        <w:t>.</w:t>
      </w:r>
      <w:r>
        <w:rPr>
          <w:rtl/>
        </w:rPr>
        <w:t xml:space="preserve"> </w:t>
      </w:r>
      <w:r>
        <w:rPr>
          <w:rFonts w:hint="cs"/>
          <w:rtl/>
        </w:rPr>
        <w:t xml:space="preserve">פעולה זו </w:t>
      </w:r>
      <w:r>
        <w:rPr>
          <w:rtl/>
        </w:rPr>
        <w:t xml:space="preserve">היא קנין </w:t>
      </w:r>
      <w:proofErr w:type="spellStart"/>
      <w:r>
        <w:rPr>
          <w:rtl/>
        </w:rPr>
        <w:t>האשה</w:t>
      </w:r>
      <w:proofErr w:type="spellEnd"/>
      <w:r>
        <w:rPr>
          <w:rtl/>
        </w:rPr>
        <w:t xml:space="preserve"> את בעלה, המתמסר להיות לה לאיש</w:t>
      </w:r>
      <w:r>
        <w:rPr>
          <w:rFonts w:hint="cs"/>
          <w:rtl/>
        </w:rPr>
        <w:t xml:space="preserve"> ומשתעבד בכל חיוביו כלפיה</w:t>
      </w:r>
      <w:r w:rsidRPr="005316B5">
        <w:rPr>
          <w:rStyle w:val="ab"/>
          <w:rtl/>
        </w:rPr>
        <w:endnoteReference w:id="9"/>
      </w:r>
      <w:r>
        <w:rPr>
          <w:rtl/>
        </w:rPr>
        <w:t xml:space="preserve">. מרגע הנישואין מתחולל מהפך ביחסי האיש </w:t>
      </w:r>
      <w:proofErr w:type="spellStart"/>
      <w:r>
        <w:rPr>
          <w:rtl/>
        </w:rPr>
        <w:t>והאשה</w:t>
      </w:r>
      <w:proofErr w:type="spellEnd"/>
      <w:r>
        <w:rPr>
          <w:rtl/>
        </w:rPr>
        <w:t xml:space="preserve">, כאשר בפנימיות </w:t>
      </w:r>
      <w:proofErr w:type="spellStart"/>
      <w:r>
        <w:rPr>
          <w:rtl/>
        </w:rPr>
        <w:t>האשה</w:t>
      </w:r>
      <w:proofErr w:type="spellEnd"/>
      <w:r>
        <w:rPr>
          <w:rtl/>
        </w:rPr>
        <w:t xml:space="preserve"> היא זו המקדשת ונושאת לה את בעלה לאיש. </w:t>
      </w:r>
      <w:r>
        <w:rPr>
          <w:rFonts w:hint="cs"/>
          <w:rtl/>
        </w:rPr>
        <w:t xml:space="preserve">דבר זה מתבטא גם בכך שבעילת </w:t>
      </w:r>
      <w:proofErr w:type="spellStart"/>
      <w:r>
        <w:rPr>
          <w:rFonts w:hint="cs"/>
          <w:rtl/>
        </w:rPr>
        <w:t>המצוה</w:t>
      </w:r>
      <w:proofErr w:type="spellEnd"/>
      <w:r>
        <w:rPr>
          <w:rFonts w:hint="cs"/>
          <w:rtl/>
        </w:rPr>
        <w:t xml:space="preserve"> 'כדאית' בעיקר לאשה </w:t>
      </w:r>
      <w:r>
        <w:rPr>
          <w:rtl/>
        </w:rPr>
        <w:t>–</w:t>
      </w:r>
      <w:r>
        <w:rPr>
          <w:rFonts w:hint="cs"/>
          <w:rtl/>
        </w:rPr>
        <w:t xml:space="preserve"> מצד האיש יש מעלה באשה בתולה (ושבירת הבתולים היא 'השחתה' בלתי רצויה מבחינתו</w:t>
      </w:r>
      <w:r w:rsidRPr="005316B5">
        <w:rPr>
          <w:rStyle w:val="ab"/>
          <w:rtl/>
        </w:rPr>
        <w:endnoteReference w:id="10"/>
      </w:r>
      <w:r>
        <w:rPr>
          <w:rFonts w:hint="cs"/>
          <w:rtl/>
        </w:rPr>
        <w:t xml:space="preserve">) ורק </w:t>
      </w:r>
      <w:proofErr w:type="spellStart"/>
      <w:r>
        <w:rPr>
          <w:rFonts w:hint="cs"/>
          <w:rtl/>
        </w:rPr>
        <w:t>האשה</w:t>
      </w:r>
      <w:proofErr w:type="spellEnd"/>
      <w:r>
        <w:rPr>
          <w:rFonts w:hint="cs"/>
          <w:rtl/>
        </w:rPr>
        <w:t xml:space="preserve"> חשה כי מעלתה היא דווקא כבעולה</w:t>
      </w:r>
      <w:r w:rsidRPr="005316B5">
        <w:rPr>
          <w:rStyle w:val="ab"/>
          <w:rtl/>
        </w:rPr>
        <w:endnoteReference w:id="11"/>
      </w:r>
      <w:r>
        <w:rPr>
          <w:rFonts w:hint="cs"/>
          <w:rtl/>
        </w:rPr>
        <w:t xml:space="preserve">, ועל כן ביאת </w:t>
      </w:r>
      <w:proofErr w:type="spellStart"/>
      <w:r>
        <w:rPr>
          <w:rFonts w:hint="cs"/>
          <w:rtl/>
        </w:rPr>
        <w:t>המצוה</w:t>
      </w:r>
      <w:proofErr w:type="spellEnd"/>
      <w:r>
        <w:rPr>
          <w:rFonts w:hint="cs"/>
          <w:rtl/>
        </w:rPr>
        <w:t xml:space="preserve"> היא בעיקר קנין האיש לעשות את רצון אשתו</w:t>
      </w:r>
      <w:r w:rsidRPr="005316B5">
        <w:rPr>
          <w:rStyle w:val="ab"/>
          <w:rtl/>
        </w:rPr>
        <w:endnoteReference w:id="12"/>
      </w:r>
      <w:r w:rsidRPr="009A1FEF">
        <w:rPr>
          <w:rFonts w:hint="cs"/>
          <w:rtl/>
        </w:rPr>
        <w:t xml:space="preserve"> (ולכן ביאת </w:t>
      </w:r>
      <w:proofErr w:type="spellStart"/>
      <w:r w:rsidRPr="009A1FEF">
        <w:rPr>
          <w:rFonts w:hint="cs"/>
          <w:rtl/>
        </w:rPr>
        <w:t>המצוה</w:t>
      </w:r>
      <w:proofErr w:type="spellEnd"/>
      <w:r w:rsidRPr="009A1FEF">
        <w:rPr>
          <w:rFonts w:hint="cs"/>
          <w:rtl/>
        </w:rPr>
        <w:t xml:space="preserve"> היא דימוי לקידושין בהיפוך יוצרות, כאשר נראה כי </w:t>
      </w:r>
      <w:proofErr w:type="spellStart"/>
      <w:r w:rsidRPr="009A1FEF">
        <w:rPr>
          <w:rFonts w:hint="cs"/>
          <w:rtl/>
        </w:rPr>
        <w:t>האשה</w:t>
      </w:r>
      <w:proofErr w:type="spellEnd"/>
      <w:r w:rsidRPr="009A1FEF">
        <w:rPr>
          <w:rFonts w:hint="cs"/>
          <w:rtl/>
        </w:rPr>
        <w:t xml:space="preserve"> מקדשת את האיש בטבעת על אצבעו</w:t>
      </w:r>
      <w:r w:rsidRPr="005316B5">
        <w:rPr>
          <w:rStyle w:val="ab"/>
          <w:rtl/>
        </w:rPr>
        <w:endnoteReference w:id="13"/>
      </w:r>
      <w:r w:rsidRPr="009A1FEF">
        <w:rPr>
          <w:rFonts w:hint="cs"/>
          <w:rtl/>
        </w:rPr>
        <w:t>, כביכול</w:t>
      </w:r>
      <w:r w:rsidRPr="005316B5">
        <w:rPr>
          <w:rStyle w:val="ab"/>
          <w:rtl/>
        </w:rPr>
        <w:endnoteReference w:id="14"/>
      </w:r>
      <w:r w:rsidRPr="009A1FEF">
        <w:rPr>
          <w:rFonts w:hint="cs"/>
          <w:rtl/>
        </w:rPr>
        <w:t>).</w:t>
      </w:r>
    </w:p>
    <w:p w:rsidR="00CC3D59" w:rsidRDefault="00CC3D59" w:rsidP="00CC3D59">
      <w:pPr>
        <w:rPr>
          <w:rFonts w:hint="cs"/>
          <w:rtl/>
        </w:rPr>
      </w:pPr>
      <w:r>
        <w:rPr>
          <w:rtl/>
        </w:rPr>
        <w:t>שינוי זה</w:t>
      </w:r>
      <w:r>
        <w:rPr>
          <w:rFonts w:hint="cs"/>
          <w:rtl/>
        </w:rPr>
        <w:t xml:space="preserve">, המתחיל במעבר מהקידושין לנישואין, </w:t>
      </w:r>
      <w:r>
        <w:rPr>
          <w:rtl/>
        </w:rPr>
        <w:t>הולך ומתעצם במשך שנות חיי הנישואין</w:t>
      </w:r>
      <w:r>
        <w:rPr>
          <w:rFonts w:hint="cs"/>
          <w:rtl/>
        </w:rPr>
        <w:t>. במהלך הנישואין מתגלה</w:t>
      </w:r>
      <w:r>
        <w:rPr>
          <w:rtl/>
        </w:rPr>
        <w:t xml:space="preserve"> יותר ויותר כי בחיצוניות הקידושין נדמה היה שהאיש הוא המעניק דברי ערך לאשתו – ו'תמורת' זה היא נאותה </w:t>
      </w:r>
      <w:proofErr w:type="spellStart"/>
      <w:r>
        <w:rPr>
          <w:rtl/>
        </w:rPr>
        <w:t>להנשא</w:t>
      </w:r>
      <w:proofErr w:type="spellEnd"/>
      <w:r>
        <w:rPr>
          <w:rtl/>
        </w:rPr>
        <w:t xml:space="preserve"> לו –</w:t>
      </w:r>
      <w:r>
        <w:rPr>
          <w:rFonts w:hint="cs"/>
          <w:rtl/>
        </w:rPr>
        <w:t xml:space="preserve">אך </w:t>
      </w:r>
      <w:r>
        <w:rPr>
          <w:rtl/>
        </w:rPr>
        <w:t xml:space="preserve">בפנימיות </w:t>
      </w:r>
      <w:proofErr w:type="spellStart"/>
      <w:r>
        <w:rPr>
          <w:rtl/>
        </w:rPr>
        <w:t>האשה</w:t>
      </w:r>
      <w:proofErr w:type="spellEnd"/>
      <w:r>
        <w:rPr>
          <w:rtl/>
        </w:rPr>
        <w:t xml:space="preserve"> היא המעניקה שפע רב וטוב לבעלה</w:t>
      </w:r>
      <w:r>
        <w:rPr>
          <w:rFonts w:hint="cs"/>
          <w:rtl/>
        </w:rPr>
        <w:t xml:space="preserve">. דבר זה מתבטא בתקנות חז"ל שחייבו את </w:t>
      </w:r>
      <w:proofErr w:type="spellStart"/>
      <w:r>
        <w:rPr>
          <w:rFonts w:hint="cs"/>
          <w:rtl/>
        </w:rPr>
        <w:t>האשה</w:t>
      </w:r>
      <w:proofErr w:type="spellEnd"/>
      <w:r>
        <w:rPr>
          <w:rFonts w:hint="cs"/>
          <w:rtl/>
        </w:rPr>
        <w:t xml:space="preserve"> ב'תמורה' מסוימת כנגד כל אחד משעבודי בעלה כלפיה, אך בהיות שאת רוב הדברים האמורים שם מעניקה </w:t>
      </w:r>
      <w:proofErr w:type="spellStart"/>
      <w:r>
        <w:rPr>
          <w:rFonts w:hint="cs"/>
          <w:rtl/>
        </w:rPr>
        <w:t>האשה</w:t>
      </w:r>
      <w:proofErr w:type="spellEnd"/>
      <w:r>
        <w:rPr>
          <w:rFonts w:hint="cs"/>
          <w:rtl/>
        </w:rPr>
        <w:t xml:space="preserve"> לבעלה ממילא, בכל קשר נישואין תקין, התקנות הן בעיקר המחשה לכך שהאיש (שלכאורה רק הוא המשועבד לצרכי אשתו, ה'מוטבת' של חיי הנישואין) נהנה רבות ומקבל רב טוב מהקשר אל אשתו. </w:t>
      </w:r>
    </w:p>
    <w:p w:rsidR="00CC3D59" w:rsidRPr="009A1FEF" w:rsidRDefault="00CC3D59" w:rsidP="00CC3D59">
      <w:pPr>
        <w:rPr>
          <w:rFonts w:hint="cs"/>
          <w:rtl/>
        </w:rPr>
      </w:pPr>
      <w:r>
        <w:rPr>
          <w:rFonts w:hint="cs"/>
          <w:rtl/>
        </w:rPr>
        <w:lastRenderedPageBreak/>
        <w:t xml:space="preserve">אם כן, בעצם הענקת הטובה של </w:t>
      </w:r>
      <w:proofErr w:type="spellStart"/>
      <w:r>
        <w:rPr>
          <w:rFonts w:hint="cs"/>
          <w:rtl/>
        </w:rPr>
        <w:t>האשה</w:t>
      </w:r>
      <w:proofErr w:type="spellEnd"/>
      <w:r>
        <w:rPr>
          <w:rFonts w:hint="cs"/>
          <w:rtl/>
        </w:rPr>
        <w:t xml:space="preserve"> לבעלה באים </w:t>
      </w:r>
      <w:r>
        <w:rPr>
          <w:rFonts w:hint="eastAsia"/>
          <w:rtl/>
        </w:rPr>
        <w:t xml:space="preserve">– </w:t>
      </w:r>
      <w:r>
        <w:rPr>
          <w:rtl/>
        </w:rPr>
        <w:t xml:space="preserve">ממנה </w:t>
      </w:r>
      <w:r>
        <w:rPr>
          <w:rFonts w:hint="cs"/>
          <w:rtl/>
        </w:rPr>
        <w:t xml:space="preserve">דווקא </w:t>
      </w:r>
      <w:r>
        <w:rPr>
          <w:rFonts w:hint="eastAsia"/>
          <w:rtl/>
        </w:rPr>
        <w:t xml:space="preserve">– </w:t>
      </w:r>
      <w:proofErr w:type="spellStart"/>
      <w:r>
        <w:rPr>
          <w:rtl/>
        </w:rPr>
        <w:t>הכח</w:t>
      </w:r>
      <w:proofErr w:type="spellEnd"/>
      <w:r>
        <w:rPr>
          <w:rtl/>
        </w:rPr>
        <w:t xml:space="preserve"> והיוזמה לחידוש וקידוש תמידיים בקשר הנישואין</w:t>
      </w:r>
      <w:r w:rsidRPr="005316B5">
        <w:rPr>
          <w:rStyle w:val="ab"/>
          <w:rtl/>
        </w:rPr>
        <w:endnoteReference w:id="15"/>
      </w:r>
      <w:r>
        <w:rPr>
          <w:rtl/>
        </w:rPr>
        <w:t>.</w:t>
      </w:r>
      <w:r>
        <w:rPr>
          <w:rFonts w:hint="cs"/>
          <w:rtl/>
        </w:rPr>
        <w:t xml:space="preserve"> וליתר דיוק, עצם תחושת ה</w:t>
      </w:r>
      <w:r w:rsidRPr="00E84990">
        <w:rPr>
          <w:rStyle w:val="a8"/>
          <w:rFonts w:hint="cs"/>
          <w:rtl/>
        </w:rPr>
        <w:t>חידוש</w:t>
      </w:r>
      <w:r>
        <w:rPr>
          <w:rFonts w:hint="cs"/>
          <w:rtl/>
        </w:rPr>
        <w:t xml:space="preserve"> באה מפעולה נמשכת של ה</w:t>
      </w:r>
      <w:r w:rsidRPr="00E84990">
        <w:rPr>
          <w:rStyle w:val="a8"/>
          <w:rFonts w:hint="cs"/>
          <w:rtl/>
        </w:rPr>
        <w:t>קידושין</w:t>
      </w:r>
      <w:r>
        <w:rPr>
          <w:rFonts w:hint="cs"/>
          <w:rtl/>
        </w:rPr>
        <w:t xml:space="preserve"> </w:t>
      </w:r>
      <w:r>
        <w:rPr>
          <w:rtl/>
        </w:rPr>
        <w:t>–</w:t>
      </w:r>
      <w:r>
        <w:rPr>
          <w:rFonts w:hint="cs"/>
          <w:rtl/>
        </w:rPr>
        <w:t xml:space="preserve"> מקיום של "</w:t>
      </w:r>
      <w:proofErr w:type="spellStart"/>
      <w:r>
        <w:rPr>
          <w:rFonts w:hint="cs"/>
          <w:rtl/>
        </w:rPr>
        <w:t>וארשתיך</w:t>
      </w:r>
      <w:proofErr w:type="spellEnd"/>
      <w:r>
        <w:rPr>
          <w:rFonts w:hint="cs"/>
          <w:rtl/>
        </w:rPr>
        <w:t xml:space="preserve"> לי לעולם"</w:t>
      </w:r>
      <w:r w:rsidRPr="005316B5">
        <w:rPr>
          <w:rStyle w:val="ab"/>
          <w:rtl/>
        </w:rPr>
        <w:endnoteReference w:id="16"/>
      </w:r>
      <w:r>
        <w:rPr>
          <w:rFonts w:hint="cs"/>
          <w:rtl/>
        </w:rPr>
        <w:t xml:space="preserve"> – כאשר </w:t>
      </w:r>
      <w:proofErr w:type="spellStart"/>
      <w:r>
        <w:rPr>
          <w:rFonts w:hint="cs"/>
          <w:rtl/>
        </w:rPr>
        <w:t>האשה</w:t>
      </w:r>
      <w:proofErr w:type="spellEnd"/>
      <w:r>
        <w:rPr>
          <w:rFonts w:hint="cs"/>
          <w:rtl/>
        </w:rPr>
        <w:t xml:space="preserve"> שוב ושוב ב"רצוא" אל בעלה ומתמסרת לו מחדש. אמנם, ככל שחולף הזמן מתברר כי הטובה </w:t>
      </w:r>
      <w:proofErr w:type="spellStart"/>
      <w:r>
        <w:rPr>
          <w:rFonts w:hint="cs"/>
          <w:rtl/>
        </w:rPr>
        <w:t>האמיתית</w:t>
      </w:r>
      <w:proofErr w:type="spellEnd"/>
      <w:r>
        <w:rPr>
          <w:rFonts w:hint="cs"/>
          <w:rtl/>
        </w:rPr>
        <w:t xml:space="preserve"> היא (לא מה שמעניק האיש לאשתו חלף התמסרותה, אלא) רוב הטובה </w:t>
      </w:r>
      <w:proofErr w:type="spellStart"/>
      <w:r>
        <w:rPr>
          <w:rFonts w:hint="cs"/>
          <w:rtl/>
        </w:rPr>
        <w:t>שהאשה</w:t>
      </w:r>
      <w:proofErr w:type="spellEnd"/>
      <w:r>
        <w:rPr>
          <w:rFonts w:hint="cs"/>
          <w:rtl/>
        </w:rPr>
        <w:t xml:space="preserve"> מעניקה לבעלה באהבה. ובאמת, לפי ההלכה קיימת אפשרות בה הקידושין יחולו בכך </w:t>
      </w:r>
      <w:proofErr w:type="spellStart"/>
      <w:r>
        <w:rPr>
          <w:rFonts w:hint="cs"/>
          <w:rtl/>
        </w:rPr>
        <w:t>שהאשה</w:t>
      </w:r>
      <w:proofErr w:type="spellEnd"/>
      <w:r>
        <w:rPr>
          <w:rFonts w:hint="cs"/>
          <w:rtl/>
        </w:rPr>
        <w:t xml:space="preserve"> תעניק </w:t>
      </w:r>
      <w:proofErr w:type="spellStart"/>
      <w:r>
        <w:rPr>
          <w:rFonts w:hint="cs"/>
          <w:rtl/>
        </w:rPr>
        <w:t>שוה</w:t>
      </w:r>
      <w:proofErr w:type="spellEnd"/>
      <w:r>
        <w:rPr>
          <w:rFonts w:hint="cs"/>
          <w:rtl/>
        </w:rPr>
        <w:t xml:space="preserve"> פרוטה לאיש – כאשר מדובר ב"אדם חשוב" שיש לאשה הנאה מנכונותו לקבל ממנה מתנה</w:t>
      </w:r>
      <w:r w:rsidRPr="005316B5">
        <w:rPr>
          <w:rStyle w:val="ab"/>
          <w:rtl/>
        </w:rPr>
        <w:endnoteReference w:id="17"/>
      </w:r>
      <w:r>
        <w:rPr>
          <w:rFonts w:hint="cs"/>
          <w:rtl/>
        </w:rPr>
        <w:t xml:space="preserve">. וכך במשך חיי הנישואין, ה"רצוא" של </w:t>
      </w:r>
      <w:proofErr w:type="spellStart"/>
      <w:r>
        <w:rPr>
          <w:rFonts w:hint="cs"/>
          <w:rtl/>
        </w:rPr>
        <w:t>האשה</w:t>
      </w:r>
      <w:proofErr w:type="spellEnd"/>
      <w:r>
        <w:rPr>
          <w:rFonts w:hint="cs"/>
          <w:rtl/>
        </w:rPr>
        <w:t xml:space="preserve"> אל בעלה מייקר אותו בעיניה ועושה אותו "אדם חשוב", ואזי בכל הטובות שהיא עושה לו היא מתקדשת לו מחד (בהנאת ההענקה שלה כלפיו) והוא נקנה לה מאידך (כשטובותיה המרובות לו עושות אותו 'שלה' יותר ויותר</w:t>
      </w:r>
      <w:r w:rsidRPr="005316B5">
        <w:rPr>
          <w:rStyle w:val="ab"/>
          <w:rtl/>
        </w:rPr>
        <w:endnoteReference w:id="18"/>
      </w:r>
      <w:r>
        <w:rPr>
          <w:rFonts w:hint="cs"/>
          <w:rtl/>
        </w:rPr>
        <w:t xml:space="preserve">) </w:t>
      </w:r>
      <w:r w:rsidRPr="009A1FEF">
        <w:rPr>
          <w:rtl/>
        </w:rPr>
        <w:t>–</w:t>
      </w:r>
      <w:r w:rsidRPr="009A1FEF">
        <w:rPr>
          <w:rFonts w:hint="cs"/>
          <w:rtl/>
        </w:rPr>
        <w:t xml:space="preserve"> היא מתקדשת לו על פי נגלה (בהנאת הנתינה ל"אדם חשוב") והוא מתקדש לה על פי נסתר (כשבנתינתה היא קונה אותו ממש).</w:t>
      </w:r>
    </w:p>
    <w:p w:rsidR="00CC3D59" w:rsidRDefault="00CC3D59" w:rsidP="00CC3D59">
      <w:pPr>
        <w:rPr>
          <w:rtl/>
        </w:rPr>
        <w:sectPr w:rsidR="00CC3D59" w:rsidSect="00CE4C65">
          <w:headerReference w:type="first" r:id="rId8"/>
          <w:footerReference w:type="first" r:id="rId9"/>
          <w:footnotePr>
            <w:numFmt w:val="hebrew1"/>
            <w:numRestart w:val="eachSect"/>
          </w:footnotePr>
          <w:endnotePr>
            <w:numFmt w:val="hebrew1"/>
            <w:numRestart w:val="eachSect"/>
          </w:endnotePr>
          <w:pgSz w:w="11906" w:h="16838" w:code="9"/>
          <w:pgMar w:top="3600" w:right="3005" w:bottom="3629" w:left="3232" w:header="2835" w:footer="709" w:gutter="0"/>
          <w:pgNumType w:fmt="hebrew1"/>
          <w:cols w:space="708"/>
          <w:bidi/>
          <w:rtlGutter/>
          <w:docGrid w:linePitch="360"/>
        </w:sectPr>
      </w:pPr>
    </w:p>
    <w:p w:rsidR="005F4A47" w:rsidRDefault="004C4E95">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E95" w:rsidRDefault="004C4E95" w:rsidP="00CC3D59">
      <w:pPr>
        <w:spacing w:after="0" w:line="240" w:lineRule="auto"/>
      </w:pPr>
      <w:r>
        <w:separator/>
      </w:r>
    </w:p>
  </w:endnote>
  <w:endnote w:type="continuationSeparator" w:id="0">
    <w:p w:rsidR="004C4E95" w:rsidRDefault="004C4E95" w:rsidP="00CC3D59">
      <w:pPr>
        <w:spacing w:after="0" w:line="240" w:lineRule="auto"/>
      </w:pPr>
      <w:r>
        <w:continuationSeparator/>
      </w:r>
    </w:p>
  </w:endnote>
  <w:endnote w:id="1">
    <w:p w:rsidR="00CC3D59" w:rsidRDefault="00CC3D59" w:rsidP="00CC3D59">
      <w:pPr>
        <w:pStyle w:val="a9"/>
        <w:rPr>
          <w:rFonts w:hint="cs"/>
          <w:rtl/>
        </w:rPr>
      </w:pPr>
      <w:r>
        <w:rPr>
          <w:rtl/>
        </w:rPr>
        <w:tab/>
      </w:r>
      <w:r w:rsidRPr="00E15672">
        <w:rPr>
          <w:rtl/>
        </w:rPr>
        <w:endnoteRef/>
      </w:r>
      <w:r>
        <w:rPr>
          <w:rtl/>
        </w:rPr>
        <w:t>.</w:t>
      </w:r>
      <w:r>
        <w:rPr>
          <w:rtl/>
        </w:rPr>
        <w:tab/>
      </w:r>
      <w:r>
        <w:rPr>
          <w:rFonts w:hint="cs"/>
          <w:rtl/>
        </w:rPr>
        <w:t>וכנ"ל בתורה הקודמת – "הפעולה ההדדית בקידושין".</w:t>
      </w:r>
    </w:p>
  </w:endnote>
  <w:endnote w:id="2">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רא"ש</w:t>
      </w:r>
      <w:proofErr w:type="spellEnd"/>
      <w:r>
        <w:rPr>
          <w:rFonts w:hint="cs"/>
          <w:rtl/>
        </w:rPr>
        <w:t xml:space="preserve"> כתובות פ"א סימן </w:t>
      </w:r>
      <w:proofErr w:type="spellStart"/>
      <w:r>
        <w:rPr>
          <w:rFonts w:hint="cs"/>
          <w:rtl/>
        </w:rPr>
        <w:t>יב</w:t>
      </w:r>
      <w:proofErr w:type="spellEnd"/>
      <w:r>
        <w:rPr>
          <w:rFonts w:hint="cs"/>
          <w:rtl/>
        </w:rPr>
        <w:t xml:space="preserve"> ובהגהות אשרי שם, ובכ"ד (ונידון גם בשיעורי מסכת כתובות, בשיעור הראשון).</w:t>
      </w:r>
    </w:p>
  </w:endnote>
  <w:endnote w:id="3">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משלי </w:t>
      </w:r>
      <w:proofErr w:type="spellStart"/>
      <w:r>
        <w:rPr>
          <w:rFonts w:hint="cs"/>
          <w:rtl/>
        </w:rPr>
        <w:t>יב</w:t>
      </w:r>
      <w:proofErr w:type="spellEnd"/>
      <w:r>
        <w:rPr>
          <w:rFonts w:hint="cs"/>
          <w:rtl/>
        </w:rPr>
        <w:t>, ד (וראה עוד לקמן בתורה "</w:t>
      </w:r>
      <w:proofErr w:type="spellStart"/>
      <w:r>
        <w:rPr>
          <w:rFonts w:hint="cs"/>
          <w:rtl/>
        </w:rPr>
        <w:t>מיינר</w:t>
      </w:r>
      <w:proofErr w:type="spellEnd"/>
      <w:r>
        <w:rPr>
          <w:rFonts w:hint="cs"/>
          <w:rtl/>
        </w:rPr>
        <w:t xml:space="preserve"> </w:t>
      </w:r>
      <w:proofErr w:type="spellStart"/>
      <w:r>
        <w:rPr>
          <w:rFonts w:hint="cs"/>
          <w:rtl/>
        </w:rPr>
        <w:t>זאגט</w:t>
      </w:r>
      <w:proofErr w:type="spellEnd"/>
      <w:r>
        <w:rPr>
          <w:rFonts w:hint="cs"/>
          <w:rtl/>
        </w:rPr>
        <w:t>").</w:t>
      </w:r>
    </w:p>
  </w:endnote>
  <w:endnote w:id="4">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קידושין </w:t>
      </w:r>
      <w:proofErr w:type="spellStart"/>
      <w:r>
        <w:rPr>
          <w:rFonts w:hint="cs"/>
          <w:rtl/>
        </w:rPr>
        <w:t>מא</w:t>
      </w:r>
      <w:proofErr w:type="spellEnd"/>
      <w:r>
        <w:rPr>
          <w:rFonts w:hint="cs"/>
          <w:rtl/>
        </w:rPr>
        <w:t>, א.</w:t>
      </w:r>
    </w:p>
  </w:endnote>
  <w:endnote w:id="5">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ודוק ברמב"ם הלכות אישות פ"א </w:t>
      </w:r>
      <w:proofErr w:type="spellStart"/>
      <w:r>
        <w:rPr>
          <w:rFonts w:hint="cs"/>
          <w:rtl/>
        </w:rPr>
        <w:t>ה"ד</w:t>
      </w:r>
      <w:proofErr w:type="spellEnd"/>
      <w:r>
        <w:rPr>
          <w:rFonts w:hint="cs"/>
          <w:rtl/>
        </w:rPr>
        <w:t>.</w:t>
      </w:r>
    </w:p>
  </w:endnote>
  <w:endnote w:id="6">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שם פ"א </w:t>
      </w:r>
      <w:proofErr w:type="spellStart"/>
      <w:r>
        <w:rPr>
          <w:rFonts w:hint="cs"/>
          <w:rtl/>
        </w:rPr>
        <w:t>ה"ב</w:t>
      </w:r>
      <w:proofErr w:type="spellEnd"/>
      <w:r>
        <w:rPr>
          <w:rFonts w:hint="cs"/>
          <w:rtl/>
        </w:rPr>
        <w:t>.</w:t>
      </w:r>
    </w:p>
  </w:endnote>
  <w:endnote w:id="7">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שם פ"ט </w:t>
      </w:r>
      <w:proofErr w:type="spellStart"/>
      <w:r>
        <w:rPr>
          <w:rFonts w:hint="cs"/>
          <w:rtl/>
        </w:rPr>
        <w:t>הכ"א</w:t>
      </w:r>
      <w:proofErr w:type="spellEnd"/>
      <w:r>
        <w:rPr>
          <w:rFonts w:hint="cs"/>
          <w:rtl/>
        </w:rPr>
        <w:t xml:space="preserve"> ופ"י </w:t>
      </w:r>
      <w:proofErr w:type="spellStart"/>
      <w:r>
        <w:rPr>
          <w:rFonts w:hint="cs"/>
          <w:rtl/>
        </w:rPr>
        <w:t>הי"א</w:t>
      </w:r>
      <w:proofErr w:type="spellEnd"/>
      <w:r>
        <w:rPr>
          <w:rFonts w:hint="cs"/>
          <w:rtl/>
        </w:rPr>
        <w:t xml:space="preserve"> (ובכ"ד). </w:t>
      </w:r>
      <w:proofErr w:type="spellStart"/>
      <w:r>
        <w:rPr>
          <w:rFonts w:hint="cs"/>
          <w:rtl/>
        </w:rPr>
        <w:t>שו"ע</w:t>
      </w:r>
      <w:proofErr w:type="spellEnd"/>
      <w:r>
        <w:rPr>
          <w:rFonts w:hint="cs"/>
          <w:rtl/>
        </w:rPr>
        <w:t xml:space="preserve"> </w:t>
      </w:r>
      <w:proofErr w:type="spellStart"/>
      <w:r>
        <w:rPr>
          <w:rFonts w:hint="cs"/>
          <w:rtl/>
        </w:rPr>
        <w:t>אבהע"ז</w:t>
      </w:r>
      <w:proofErr w:type="spellEnd"/>
      <w:r>
        <w:rPr>
          <w:rFonts w:hint="cs"/>
          <w:rtl/>
        </w:rPr>
        <w:t xml:space="preserve"> סימן </w:t>
      </w:r>
      <w:proofErr w:type="spellStart"/>
      <w:r>
        <w:rPr>
          <w:rFonts w:hint="cs"/>
          <w:rtl/>
        </w:rPr>
        <w:t>נה</w:t>
      </w:r>
      <w:proofErr w:type="spellEnd"/>
      <w:r>
        <w:rPr>
          <w:rFonts w:hint="cs"/>
          <w:rtl/>
        </w:rPr>
        <w:t xml:space="preserve"> סעיפים ד ו-ו.</w:t>
      </w:r>
    </w:p>
  </w:endnote>
  <w:endnote w:id="8">
    <w:p w:rsidR="00CC3D59" w:rsidRDefault="00CC3D59" w:rsidP="00CC3D59">
      <w:pPr>
        <w:pStyle w:val="a9"/>
        <w:rPr>
          <w:rFonts w:hint="cs"/>
          <w:rtl/>
        </w:rPr>
      </w:pPr>
      <w:r>
        <w:rPr>
          <w:rtl/>
        </w:rPr>
        <w:tab/>
      </w:r>
      <w:r w:rsidRPr="00E15672">
        <w:rPr>
          <w:rtl/>
        </w:rPr>
        <w:endnoteRef/>
      </w:r>
      <w:r>
        <w:rPr>
          <w:rtl/>
        </w:rPr>
        <w:t>.</w:t>
      </w:r>
      <w:r>
        <w:rPr>
          <w:rtl/>
        </w:rPr>
        <w:tab/>
      </w:r>
      <w:r>
        <w:rPr>
          <w:rFonts w:hint="cs"/>
          <w:rtl/>
        </w:rPr>
        <w:t>ראה מפענח צפונות פ"ה (ושם פ"י ס"ג).</w:t>
      </w:r>
    </w:p>
  </w:endnote>
  <w:endnote w:id="9">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רמב"ם הלכות אישות </w:t>
      </w:r>
      <w:proofErr w:type="spellStart"/>
      <w:r>
        <w:rPr>
          <w:rFonts w:hint="cs"/>
          <w:rtl/>
        </w:rPr>
        <w:t>פי"ב</w:t>
      </w:r>
      <w:proofErr w:type="spellEnd"/>
      <w:r>
        <w:rPr>
          <w:rFonts w:hint="cs"/>
          <w:rtl/>
        </w:rPr>
        <w:t xml:space="preserve"> ה"א.</w:t>
      </w:r>
    </w:p>
  </w:endnote>
  <w:endnote w:id="10">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וראה </w:t>
      </w:r>
      <w:proofErr w:type="spellStart"/>
      <w:r>
        <w:rPr>
          <w:rFonts w:hint="cs"/>
          <w:rtl/>
        </w:rPr>
        <w:t>שו"ע</w:t>
      </w:r>
      <w:proofErr w:type="spellEnd"/>
      <w:r>
        <w:rPr>
          <w:rFonts w:hint="cs"/>
          <w:rtl/>
        </w:rPr>
        <w:t xml:space="preserve"> </w:t>
      </w:r>
      <w:proofErr w:type="spellStart"/>
      <w:r>
        <w:rPr>
          <w:rFonts w:hint="cs"/>
          <w:rtl/>
        </w:rPr>
        <w:t>אדה"ז</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רפ</w:t>
      </w:r>
      <w:proofErr w:type="spellEnd"/>
      <w:r>
        <w:rPr>
          <w:rFonts w:hint="cs"/>
          <w:rtl/>
        </w:rPr>
        <w:t xml:space="preserve"> סעיף ג (ובלשון רש"י ד"ה "אם תמצי לומר" בכתובות ה, ב).</w:t>
      </w:r>
    </w:p>
  </w:endnote>
  <w:endnote w:id="11">
    <w:p w:rsidR="00CC3D59" w:rsidRDefault="00CC3D59" w:rsidP="00CC3D59">
      <w:pPr>
        <w:pStyle w:val="a9"/>
        <w:rPr>
          <w:rFonts w:hint="cs"/>
          <w:rtl/>
        </w:rPr>
      </w:pPr>
      <w:r>
        <w:rPr>
          <w:rtl/>
        </w:rPr>
        <w:tab/>
      </w:r>
      <w:r w:rsidRPr="00E15672">
        <w:rPr>
          <w:rtl/>
        </w:rPr>
        <w:endnoteRef/>
      </w:r>
      <w:r>
        <w:rPr>
          <w:rtl/>
        </w:rPr>
        <w:t>.</w:t>
      </w:r>
      <w:r>
        <w:rPr>
          <w:rtl/>
        </w:rPr>
        <w:tab/>
      </w:r>
      <w:r>
        <w:rPr>
          <w:rFonts w:hint="cs"/>
          <w:rtl/>
        </w:rPr>
        <w:t>וראה ישעיה סב, ד.</w:t>
      </w:r>
    </w:p>
  </w:endnote>
  <w:endnote w:id="12">
    <w:p w:rsidR="00CC3D59" w:rsidRDefault="00CC3D59" w:rsidP="00CC3D59">
      <w:pPr>
        <w:pStyle w:val="a9"/>
        <w:rPr>
          <w:rFonts w:hint="cs"/>
          <w:rtl/>
        </w:rPr>
      </w:pPr>
      <w:r>
        <w:rPr>
          <w:rtl/>
        </w:rPr>
        <w:tab/>
      </w:r>
      <w:r w:rsidRPr="00E15672">
        <w:rPr>
          <w:rtl/>
        </w:rPr>
        <w:endnoteRef/>
      </w:r>
      <w:r>
        <w:rPr>
          <w:rtl/>
        </w:rPr>
        <w:t>.</w:t>
      </w:r>
      <w:r>
        <w:rPr>
          <w:rtl/>
        </w:rPr>
        <w:tab/>
      </w:r>
      <w:r>
        <w:rPr>
          <w:rFonts w:hint="cs"/>
          <w:rtl/>
        </w:rPr>
        <w:t>והדבר נתבאר באריכות בשיעור השלישי למסכת כתובות.</w:t>
      </w:r>
    </w:p>
  </w:endnote>
  <w:endnote w:id="13">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כנודע שאצבע היא כינוי לאבר הברית </w:t>
      </w:r>
      <w:r>
        <w:rPr>
          <w:rtl/>
        </w:rPr>
        <w:t>–</w:t>
      </w:r>
      <w:r>
        <w:rPr>
          <w:rFonts w:hint="cs"/>
          <w:rtl/>
        </w:rPr>
        <w:t xml:space="preserve"> נדה </w:t>
      </w:r>
      <w:proofErr w:type="spellStart"/>
      <w:r>
        <w:rPr>
          <w:rFonts w:hint="cs"/>
          <w:rtl/>
        </w:rPr>
        <w:t>סו</w:t>
      </w:r>
      <w:proofErr w:type="spellEnd"/>
      <w:r>
        <w:rPr>
          <w:rFonts w:hint="cs"/>
          <w:rtl/>
        </w:rPr>
        <w:t>, א.</w:t>
      </w:r>
    </w:p>
  </w:endnote>
  <w:endnote w:id="14">
    <w:p w:rsidR="00CC3D59" w:rsidRDefault="00CC3D59" w:rsidP="00CC3D59">
      <w:pPr>
        <w:pStyle w:val="a9"/>
        <w:rPr>
          <w:rFonts w:hint="cs"/>
        </w:rPr>
      </w:pPr>
      <w:r>
        <w:rPr>
          <w:rtl/>
        </w:rPr>
        <w:tab/>
      </w:r>
      <w:r w:rsidRPr="00E15672">
        <w:rPr>
          <w:rtl/>
        </w:rPr>
        <w:endnoteRef/>
      </w:r>
      <w:r>
        <w:rPr>
          <w:rtl/>
        </w:rPr>
        <w:t>.</w:t>
      </w:r>
      <w:r>
        <w:rPr>
          <w:rtl/>
        </w:rPr>
        <w:tab/>
      </w:r>
      <w:r>
        <w:rPr>
          <w:rFonts w:hint="cs"/>
          <w:rtl/>
        </w:rPr>
        <w:t>וראה לעיל בתורה "הפעולה ההדדית בקידושין".</w:t>
      </w:r>
    </w:p>
  </w:endnote>
  <w:endnote w:id="15">
    <w:p w:rsidR="00CC3D59" w:rsidRDefault="00CC3D59" w:rsidP="00CC3D59">
      <w:pPr>
        <w:pStyle w:val="a9"/>
        <w:rPr>
          <w:rFonts w:hint="cs"/>
          <w:rtl/>
        </w:rPr>
      </w:pPr>
      <w:r>
        <w:rPr>
          <w:rtl/>
        </w:rPr>
        <w:tab/>
      </w:r>
      <w:r w:rsidRPr="00E15672">
        <w:rPr>
          <w:rtl/>
        </w:rPr>
        <w:endnoteRef/>
      </w:r>
      <w:r>
        <w:rPr>
          <w:rtl/>
        </w:rPr>
        <w:t>.</w:t>
      </w:r>
      <w:r>
        <w:rPr>
          <w:rtl/>
        </w:rPr>
        <w:tab/>
      </w:r>
      <w:r>
        <w:rPr>
          <w:rFonts w:hint="cs"/>
          <w:rtl/>
        </w:rPr>
        <w:t>וראה בכל זה בהקדמת הספר חתן עם הכלה.</w:t>
      </w:r>
    </w:p>
  </w:endnote>
  <w:endnote w:id="16">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הושע ב, </w:t>
      </w:r>
      <w:proofErr w:type="spellStart"/>
      <w:r>
        <w:rPr>
          <w:rFonts w:hint="cs"/>
          <w:rtl/>
        </w:rPr>
        <w:t>כא</w:t>
      </w:r>
      <w:proofErr w:type="spellEnd"/>
      <w:r>
        <w:rPr>
          <w:rFonts w:hint="cs"/>
          <w:rtl/>
        </w:rPr>
        <w:t xml:space="preserve">. וחשוב </w:t>
      </w:r>
      <w:proofErr w:type="spellStart"/>
      <w:r>
        <w:rPr>
          <w:rFonts w:hint="cs"/>
          <w:rtl/>
        </w:rPr>
        <w:t>לעניננו</w:t>
      </w:r>
      <w:proofErr w:type="spellEnd"/>
      <w:r>
        <w:rPr>
          <w:rFonts w:hint="cs"/>
          <w:rtl/>
        </w:rPr>
        <w:t xml:space="preserve"> המבואר ביין משמח </w:t>
      </w:r>
      <w:proofErr w:type="spellStart"/>
      <w:r>
        <w:rPr>
          <w:rFonts w:hint="cs"/>
          <w:rtl/>
        </w:rPr>
        <w:t>ח"ב</w:t>
      </w:r>
      <w:proofErr w:type="spellEnd"/>
      <w:r>
        <w:rPr>
          <w:rFonts w:hint="cs"/>
          <w:rtl/>
        </w:rPr>
        <w:t xml:space="preserve"> שער ד בתורה "</w:t>
      </w:r>
      <w:proofErr w:type="spellStart"/>
      <w:r>
        <w:rPr>
          <w:rFonts w:hint="cs"/>
          <w:rtl/>
        </w:rPr>
        <w:t>וארשתיך</w:t>
      </w:r>
      <w:proofErr w:type="spellEnd"/>
      <w:r>
        <w:rPr>
          <w:rFonts w:hint="cs"/>
          <w:rtl/>
        </w:rPr>
        <w:t xml:space="preserve"> לי לעולם".</w:t>
      </w:r>
    </w:p>
  </w:endnote>
  <w:endnote w:id="17">
    <w:p w:rsidR="00CC3D59" w:rsidRDefault="00CC3D59" w:rsidP="00CC3D59">
      <w:pPr>
        <w:pStyle w:val="a9"/>
        <w:rPr>
          <w:rFonts w:hint="cs"/>
          <w:rtl/>
        </w:rPr>
      </w:pPr>
      <w:r>
        <w:rPr>
          <w:rtl/>
        </w:rPr>
        <w:tab/>
      </w:r>
      <w:r w:rsidRPr="00E15672">
        <w:rPr>
          <w:rtl/>
        </w:rPr>
        <w:endnoteRef/>
      </w:r>
      <w:r>
        <w:rPr>
          <w:rtl/>
        </w:rPr>
        <w:t>.</w:t>
      </w:r>
      <w:r>
        <w:rPr>
          <w:rtl/>
        </w:rPr>
        <w:tab/>
      </w:r>
      <w:r>
        <w:rPr>
          <w:rFonts w:hint="cs"/>
          <w:rtl/>
        </w:rPr>
        <w:t>קידושין ז, א.</w:t>
      </w:r>
    </w:p>
  </w:endnote>
  <w:endnote w:id="18">
    <w:p w:rsidR="00CC3D59" w:rsidRDefault="00CC3D59" w:rsidP="00CC3D59">
      <w:pPr>
        <w:pStyle w:val="a9"/>
        <w:rPr>
          <w:rFonts w:hint="cs"/>
          <w:rtl/>
        </w:rPr>
      </w:pPr>
      <w:r>
        <w:rPr>
          <w:rtl/>
        </w:rPr>
        <w:tab/>
      </w:r>
      <w:r w:rsidRPr="00E15672">
        <w:rPr>
          <w:rtl/>
        </w:rPr>
        <w:endnoteRef/>
      </w:r>
      <w:r>
        <w:rPr>
          <w:rtl/>
        </w:rPr>
        <w:t>.</w:t>
      </w:r>
      <w:r>
        <w:rPr>
          <w:rtl/>
        </w:rPr>
        <w:tab/>
      </w:r>
      <w:r>
        <w:rPr>
          <w:rFonts w:hint="cs"/>
          <w:rtl/>
        </w:rPr>
        <w:t xml:space="preserve">וראה עוד בתורה הבאה </w:t>
      </w:r>
      <w:r>
        <w:rPr>
          <w:rtl/>
        </w:rPr>
        <w:t>–</w:t>
      </w:r>
      <w:r>
        <w:rPr>
          <w:rFonts w:hint="cs"/>
          <w:rtl/>
        </w:rPr>
        <w:t xml:space="preserve"> "</w:t>
      </w:r>
      <w:proofErr w:type="spellStart"/>
      <w:r>
        <w:rPr>
          <w:rFonts w:hint="cs"/>
          <w:rtl/>
        </w:rPr>
        <w:t>מיינר</w:t>
      </w:r>
      <w:proofErr w:type="spellEnd"/>
      <w:r>
        <w:rPr>
          <w:rFonts w:hint="cs"/>
          <w:rtl/>
        </w:rPr>
        <w:t xml:space="preserve"> </w:t>
      </w:r>
      <w:proofErr w:type="spellStart"/>
      <w:r>
        <w:rPr>
          <w:rFonts w:hint="cs"/>
          <w:rtl/>
        </w:rPr>
        <w:t>זאגט</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KorenMF">
    <w:charset w:val="B1"/>
    <w:family w:val="auto"/>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Vilna">
    <w:altName w:val="Times New Roman"/>
    <w:panose1 w:val="00000000000000000000"/>
    <w:charset w:val="00"/>
    <w:family w:val="roman"/>
    <w:notTrueType/>
    <w:pitch w:val="default"/>
  </w:font>
  <w:font w:name="Guttman-Soncino">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pPr>
      <w:pStyle w:val="a5"/>
      <w:rPr>
        <w:rFonts w:hint="cs"/>
        <w:rtl/>
      </w:rPr>
    </w:pPr>
    <w:r>
      <w:rPr>
        <w:noProof/>
        <w:lang w:eastAsia="en-US"/>
      </w:rPr>
      <w:drawing>
        <wp:anchor distT="0" distB="0" distL="114300" distR="114300" simplePos="0" relativeHeight="251660288" behindDoc="1" locked="0" layoutInCell="1" allowOverlap="1">
          <wp:simplePos x="0" y="0"/>
          <wp:positionH relativeFrom="page">
            <wp:posOffset>1461770</wp:posOffset>
          </wp:positionH>
          <wp:positionV relativeFrom="page">
            <wp:posOffset>8425180</wp:posOffset>
          </wp:positionV>
          <wp:extent cx="298450" cy="747395"/>
          <wp:effectExtent l="0" t="0" r="6350" b="0"/>
          <wp:wrapNone/>
          <wp:docPr id="3" name="תמונה 3" descr="צורה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1.jp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298450" cy="747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9264" behindDoc="0" locked="0" layoutInCell="1" allowOverlap="1">
              <wp:simplePos x="0" y="0"/>
              <wp:positionH relativeFrom="page">
                <wp:posOffset>1310640</wp:posOffset>
              </wp:positionH>
              <wp:positionV relativeFrom="page">
                <wp:posOffset>8317230</wp:posOffset>
              </wp:positionV>
              <wp:extent cx="601345" cy="342900"/>
              <wp:effectExtent l="0" t="1905" r="2540" b="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D59" w:rsidRPr="00B662E0" w:rsidRDefault="00CC3D59" w:rsidP="00770F85">
                          <w:pPr>
                            <w:jc w:val="center"/>
                            <w:rPr>
                              <w:rFonts w:cs="Guttman-Soncino" w:hint="cs"/>
                              <w:sz w:val="24"/>
                              <w:szCs w:val="25"/>
                              <w:rtl/>
                            </w:rPr>
                          </w:pPr>
                          <w:r w:rsidRPr="00374F31">
                            <w:rPr>
                              <w:rStyle w:val="a7"/>
                              <w:rFonts w:cs="Guttman Soncino"/>
                              <w:sz w:val="24"/>
                              <w:szCs w:val="25"/>
                            </w:rPr>
                            <w:fldChar w:fldCharType="begin"/>
                          </w:r>
                          <w:r w:rsidRPr="00374F31">
                            <w:rPr>
                              <w:rStyle w:val="a7"/>
                              <w:rFonts w:cs="Guttman Soncino"/>
                              <w:sz w:val="24"/>
                              <w:szCs w:val="25"/>
                            </w:rPr>
                            <w:instrText xml:space="preserve"> PAGE </w:instrText>
                          </w:r>
                          <w:r w:rsidRPr="00374F31">
                            <w:rPr>
                              <w:rStyle w:val="a7"/>
                              <w:rFonts w:cs="Guttman Soncino"/>
                              <w:sz w:val="24"/>
                              <w:szCs w:val="25"/>
                            </w:rPr>
                            <w:fldChar w:fldCharType="separate"/>
                          </w:r>
                          <w:r>
                            <w:rPr>
                              <w:rStyle w:val="a7"/>
                              <w:rFonts w:cs="Guttman Soncino" w:hint="eastAsia"/>
                              <w:sz w:val="24"/>
                              <w:szCs w:val="25"/>
                              <w:rtl/>
                            </w:rPr>
                            <w:t>א</w:t>
                          </w:r>
                          <w:r w:rsidRPr="00374F31">
                            <w:rPr>
                              <w:rStyle w:val="a7"/>
                              <w:rFonts w:cs="Guttman Soncino"/>
                              <w:sz w:val="24"/>
                              <w:szCs w:val="2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03.2pt;margin-top:654.9pt;width:47.35pt;height: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" filled="f" stroked="f">
              <v:textbox>
                <w:txbxContent>
                  <w:p w:rsidR="00CC3D59" w:rsidRPr="00B662E0" w:rsidRDefault="00CC3D59" w:rsidP="00770F85">
                    <w:pPr>
                      <w:jc w:val="center"/>
                      <w:rPr>
                        <w:rFonts w:cs="Guttman-Soncino" w:hint="cs"/>
                        <w:sz w:val="24"/>
                        <w:szCs w:val="25"/>
                        <w:rtl/>
                      </w:rPr>
                    </w:pPr>
                    <w:r w:rsidRPr="00374F31">
                      <w:rPr>
                        <w:rStyle w:val="a7"/>
                        <w:rFonts w:cs="Guttman Soncino"/>
                        <w:sz w:val="24"/>
                        <w:szCs w:val="25"/>
                      </w:rPr>
                      <w:fldChar w:fldCharType="begin"/>
                    </w:r>
                    <w:r w:rsidRPr="00374F31">
                      <w:rPr>
                        <w:rStyle w:val="a7"/>
                        <w:rFonts w:cs="Guttman Soncino"/>
                        <w:sz w:val="24"/>
                        <w:szCs w:val="25"/>
                      </w:rPr>
                      <w:instrText xml:space="preserve"> PAGE </w:instrText>
                    </w:r>
                    <w:r w:rsidRPr="00374F31">
                      <w:rPr>
                        <w:rStyle w:val="a7"/>
                        <w:rFonts w:cs="Guttman Soncino"/>
                        <w:sz w:val="24"/>
                        <w:szCs w:val="25"/>
                      </w:rPr>
                      <w:fldChar w:fldCharType="separate"/>
                    </w:r>
                    <w:r>
                      <w:rPr>
                        <w:rStyle w:val="a7"/>
                        <w:rFonts w:cs="Guttman Soncino" w:hint="eastAsia"/>
                        <w:sz w:val="24"/>
                        <w:szCs w:val="25"/>
                        <w:rtl/>
                      </w:rPr>
                      <w:t>א</w:t>
                    </w:r>
                    <w:r w:rsidRPr="00374F31">
                      <w:rPr>
                        <w:rStyle w:val="a7"/>
                        <w:rFonts w:cs="Guttman Soncino"/>
                        <w:sz w:val="24"/>
                        <w:szCs w:val="2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E95" w:rsidRDefault="004C4E95" w:rsidP="00CC3D59">
      <w:pPr>
        <w:spacing w:after="0" w:line="240" w:lineRule="auto"/>
      </w:pPr>
      <w:r>
        <w:separator/>
      </w:r>
    </w:p>
  </w:footnote>
  <w:footnote w:type="continuationSeparator" w:id="0">
    <w:p w:rsidR="004C4E95" w:rsidRDefault="004C4E95" w:rsidP="00CC3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D59" w:rsidRDefault="00CC3D59">
    <w:pPr>
      <w:pStyle w:val="a3"/>
      <w:framePr w:w="6984" w:wrap="around" w:vAnchor="page" w:hAnchor="page" w:x="2278" w:y="1261"/>
      <w:jc w:val="center"/>
      <w:rPr>
        <w:rFonts w:cs="Narkisim"/>
        <w:sz w:val="22"/>
        <w:szCs w:val="20"/>
        <w:rtl/>
        <w:lang w:eastAsia="en-US"/>
      </w:rPr>
    </w:pP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DATE \@ "dddd dd MMMM yyyy, H:mm.ss" \h</w:instrText>
    </w:r>
    <w:r>
      <w:rPr>
        <w:rFonts w:cs="Narkisim"/>
        <w:sz w:val="22"/>
        <w:szCs w:val="20"/>
        <w:rtl/>
        <w:lang w:eastAsia="en-US"/>
      </w:rPr>
      <w:instrText xml:space="preserve"> </w:instrText>
    </w:r>
    <w:r>
      <w:rPr>
        <w:rFonts w:cs="Narkisim"/>
        <w:sz w:val="22"/>
        <w:szCs w:val="20"/>
        <w:rtl/>
      </w:rPr>
      <w:fldChar w:fldCharType="separate"/>
    </w:r>
    <w:r>
      <w:rPr>
        <w:rFonts w:cs="Narkisim"/>
        <w:sz w:val="22"/>
        <w:szCs w:val="20"/>
        <w:rtl/>
        <w:lang w:eastAsia="en-US"/>
      </w:rPr>
      <w:t>‏יום שלישי כ"ג אב תשע"ז, 1:31.08</w:t>
    </w:r>
    <w:r>
      <w:rPr>
        <w:rFonts w:cs="Narkisim"/>
        <w:sz w:val="22"/>
        <w:szCs w:val="20"/>
        <w:rtl/>
      </w:rPr>
      <w:fldChar w:fldCharType="end"/>
    </w:r>
    <w:r>
      <w:rPr>
        <w:rFonts w:cs="Narkisim" w:hint="cs"/>
        <w:sz w:val="22"/>
        <w:szCs w:val="20"/>
        <w:rtl/>
        <w:lang w:eastAsia="en-US"/>
      </w:rPr>
      <w:t xml:space="preserve"> </w:t>
    </w:r>
    <w:r>
      <w:rPr>
        <w:rFonts w:cs="Narkisim"/>
        <w:sz w:val="22"/>
        <w:szCs w:val="20"/>
        <w:rtl/>
        <w:lang w:eastAsia="en-US"/>
      </w:rPr>
      <w:t xml:space="preserve">קובץ: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separate"/>
    </w:r>
    <w:r w:rsidRPr="0042722E">
      <w:rPr>
        <w:rFonts w:cs="Times New Roman"/>
        <w:sz w:val="22"/>
        <w:szCs w:val="20"/>
        <w:rtl/>
        <w:lang w:eastAsia="en-US"/>
      </w:rPr>
      <w:t>יין משמח</w:t>
    </w:r>
    <w:r>
      <w:rPr>
        <w:rFonts w:cs="Narkisim"/>
        <w:sz w:val="22"/>
        <w:szCs w:val="20"/>
        <w:rtl/>
        <w:lang w:eastAsia="en-US"/>
      </w:rPr>
      <w:t xml:space="preserve"> כרך ג 1.</w:t>
    </w:r>
    <w:r>
      <w:rPr>
        <w:rFonts w:cs="Narkisim"/>
        <w:sz w:val="22"/>
        <w:szCs w:val="20"/>
        <w:lang w:eastAsia="en-US"/>
      </w:rPr>
      <w:t>doc</w:t>
    </w:r>
    <w:r>
      <w:rPr>
        <w:rFonts w:cs="Narkisim"/>
        <w:sz w:val="22"/>
        <w:szCs w:val="20"/>
        <w:rtl/>
      </w:rPr>
      <w:fldChar w:fldCharType="end"/>
    </w:r>
    <w:r>
      <w:rPr>
        <w:rFonts w:cs="Narkisim" w:hint="cs"/>
        <w:sz w:val="22"/>
        <w:szCs w:val="20"/>
        <w:rtl/>
        <w:lang w:eastAsia="en-US"/>
      </w:rPr>
      <w:t xml:space="preserve"> </w:t>
    </w:r>
    <w:r>
      <w:rPr>
        <w:rFonts w:cs="Narkisim"/>
        <w:sz w:val="22"/>
        <w:szCs w:val="20"/>
        <w:rtl/>
      </w:rPr>
      <w:fldChar w:fldCharType="begin"/>
    </w:r>
    <w:r>
      <w:rPr>
        <w:rFonts w:cs="Narkisim"/>
        <w:sz w:val="22"/>
        <w:szCs w:val="20"/>
        <w:rtl/>
        <w:lang w:eastAsia="en-US"/>
      </w:rPr>
      <w:instrText xml:space="preserve"> </w:instrText>
    </w:r>
    <w:r>
      <w:rPr>
        <w:rFonts w:cs="Narkisim"/>
        <w:sz w:val="12"/>
        <w:szCs w:val="12"/>
        <w:lang w:eastAsia="en-US"/>
      </w:rPr>
      <w:instrText>:FILENAME  \* MERGEFORMAT</w:instrText>
    </w:r>
    <w:r>
      <w:rPr>
        <w:rFonts w:cs="Narkisim"/>
        <w:sz w:val="22"/>
        <w:szCs w:val="20"/>
        <w:rtl/>
        <w:lang w:eastAsia="en-US"/>
      </w:rPr>
      <w:instrText xml:space="preserve"> </w:instrText>
    </w:r>
    <w:r>
      <w:rPr>
        <w:rFonts w:cs="Narkisim"/>
        <w:sz w:val="22"/>
        <w:szCs w:val="20"/>
        <w:rtl/>
      </w:rPr>
      <w:fldChar w:fldCharType="end"/>
    </w:r>
    <w:r>
      <w:rPr>
        <w:rFonts w:cs="Narkisim"/>
        <w:sz w:val="22"/>
        <w:szCs w:val="20"/>
        <w:rtl/>
        <w:lang w:eastAsia="en-US"/>
      </w:rPr>
      <w:t xml:space="preserve"> עמוד </w: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270 ער</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272 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275 ערה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298 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304 דש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344 שדמ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670 עתר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672 תערב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698 תרחצ </w:instrText>
    </w:r>
    <w:r>
      <w:rPr>
        <w:rFonts w:cs="Narkisim"/>
        <w:sz w:val="20"/>
        <w:szCs w:val="20"/>
        <w:rtl/>
      </w:rPr>
      <w:fldChar w:fldCharType="begin"/>
    </w:r>
    <w:r>
      <w:rPr>
        <w:rFonts w:cs="Narkisim"/>
        <w:sz w:val="20"/>
        <w:szCs w:val="20"/>
        <w:rtl/>
        <w:lang w:eastAsia="en-US"/>
      </w:rPr>
      <w:instrText xml:space="preserve">IF </w:instrText>
    </w:r>
    <w:r>
      <w:rPr>
        <w:rFonts w:cs="Narkisim"/>
        <w:sz w:val="20"/>
        <w:szCs w:val="20"/>
        <w:rtl/>
      </w:rPr>
      <w:fldChar w:fldCharType="begin"/>
    </w:r>
    <w:r>
      <w:rPr>
        <w:rFonts w:cs="Narkisim"/>
        <w:sz w:val="20"/>
        <w:szCs w:val="20"/>
        <w:rtl/>
        <w:lang w:eastAsia="en-US"/>
      </w:rPr>
      <w:instrText xml:space="preserve">pAGE \* Arabic </w:instrText>
    </w:r>
    <w:r>
      <w:rPr>
        <w:rFonts w:cs="Narkisim"/>
        <w:sz w:val="20"/>
        <w:szCs w:val="20"/>
        <w:rtl/>
      </w:rPr>
      <w:fldChar w:fldCharType="separate"/>
    </w:r>
    <w:r>
      <w:rPr>
        <w:rFonts w:cs="Narkisim"/>
        <w:sz w:val="20"/>
        <w:szCs w:val="20"/>
        <w:rtl/>
      </w:rPr>
      <w:instrText>1</w:instrText>
    </w:r>
    <w:r>
      <w:rPr>
        <w:rFonts w:cs="Narkisim"/>
        <w:sz w:val="20"/>
        <w:szCs w:val="20"/>
        <w:rtl/>
      </w:rPr>
      <w:fldChar w:fldCharType="end"/>
    </w:r>
    <w:r>
      <w:rPr>
        <w:rFonts w:cs="Narkisim"/>
        <w:sz w:val="20"/>
        <w:szCs w:val="20"/>
        <w:rtl/>
        <w:lang w:eastAsia="en-US"/>
      </w:rPr>
      <w:instrText xml:space="preserve"> = 744 תשדמ </w:instrText>
    </w:r>
    <w:r>
      <w:rPr>
        <w:rFonts w:cs="Narkisim"/>
        <w:sz w:val="20"/>
        <w:szCs w:val="20"/>
        <w:rtl/>
      </w:rPr>
      <w:fldChar w:fldCharType="begin"/>
    </w:r>
    <w:r>
      <w:rPr>
        <w:rFonts w:cs="Narkisim"/>
        <w:sz w:val="20"/>
        <w:szCs w:val="20"/>
        <w:rtl/>
        <w:lang w:eastAsia="en-US"/>
      </w:rPr>
      <w:instrText xml:space="preserve">pAGE \* Hebrew1 </w:instrText>
    </w:r>
    <w:r>
      <w:rPr>
        <w:rFonts w:cs="Narkisim"/>
        <w:sz w:val="20"/>
        <w:szCs w:val="20"/>
        <w:rtl/>
      </w:rPr>
      <w:fldChar w:fldCharType="separate"/>
    </w:r>
    <w:r>
      <w:rPr>
        <w:rFonts w:cs="Narkisim"/>
        <w:sz w:val="20"/>
        <w:szCs w:val="20"/>
        <w:rtl/>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instrText>א</w:instrText>
    </w:r>
    <w:r>
      <w:rPr>
        <w:rFonts w:cs="Narkisim"/>
        <w:sz w:val="20"/>
        <w:szCs w:val="20"/>
        <w:rtl/>
      </w:rPr>
      <w:fldChar w:fldCharType="end"/>
    </w:r>
    <w:r>
      <w:rPr>
        <w:rFonts w:cs="Narkisim"/>
        <w:sz w:val="20"/>
        <w:szCs w:val="20"/>
        <w:rtl/>
        <w:lang w:eastAsia="en-US"/>
      </w:rPr>
      <w:instrText xml:space="preserve"> \* MERGEFORMAT </w:instrText>
    </w:r>
    <w:r>
      <w:rPr>
        <w:rFonts w:cs="Narkisim"/>
        <w:sz w:val="20"/>
        <w:szCs w:val="20"/>
        <w:rtl/>
      </w:rPr>
      <w:fldChar w:fldCharType="separate"/>
    </w:r>
    <w:r w:rsidRPr="0042722E">
      <w:rPr>
        <w:rFonts w:cs="Times New Roman"/>
        <w:sz w:val="20"/>
        <w:szCs w:val="20"/>
        <w:rtl/>
        <w:lang w:eastAsia="en-US"/>
      </w:rPr>
      <w:t>א</w:t>
    </w:r>
    <w:r>
      <w:rPr>
        <w:rFonts w:cs="Narkisim"/>
        <w:sz w:val="20"/>
        <w:szCs w:val="20"/>
        <w:rtl/>
      </w:rPr>
      <w:fldChar w:fldCharType="end"/>
    </w:r>
    <w:r>
      <w:rPr>
        <w:rStyle w:val="a7"/>
        <w:rFonts w:cs="Narkisim"/>
        <w:sz w:val="22"/>
        <w:szCs w:val="20"/>
        <w:rtl/>
        <w:lang w:eastAsia="en-US"/>
      </w:rPr>
      <w:t xml:space="preserve"> מתוך </w:t>
    </w:r>
    <w:r>
      <w:rPr>
        <w:rStyle w:val="a7"/>
        <w:rFonts w:cs="Narkisim"/>
        <w:sz w:val="22"/>
        <w:szCs w:val="20"/>
        <w:rtl/>
      </w:rPr>
      <w:fldChar w:fldCharType="begin"/>
    </w:r>
    <w:r>
      <w:rPr>
        <w:rStyle w:val="a7"/>
        <w:rFonts w:cs="Narkisim"/>
        <w:sz w:val="22"/>
        <w:szCs w:val="20"/>
        <w:rtl/>
        <w:lang w:eastAsia="en-US"/>
      </w:rPr>
      <w:instrText xml:space="preserve"> </w:instrText>
    </w:r>
    <w:r>
      <w:rPr>
        <w:rStyle w:val="a7"/>
        <w:rFonts w:cs="Narkisim"/>
        <w:sz w:val="12"/>
        <w:szCs w:val="12"/>
        <w:lang w:eastAsia="en-US"/>
      </w:rPr>
      <w:instrText>NUMPAGES  \* MERGEFORMAT</w:instrText>
    </w:r>
    <w:r>
      <w:rPr>
        <w:rStyle w:val="a7"/>
        <w:rFonts w:cs="Narkisim"/>
        <w:sz w:val="22"/>
        <w:szCs w:val="20"/>
        <w:rtl/>
        <w:lang w:eastAsia="en-US"/>
      </w:rPr>
      <w:instrText xml:space="preserve"> </w:instrText>
    </w:r>
    <w:r>
      <w:rPr>
        <w:rStyle w:val="a7"/>
        <w:rFonts w:cs="Narkisim"/>
        <w:sz w:val="22"/>
        <w:szCs w:val="20"/>
        <w:rtl/>
      </w:rPr>
      <w:fldChar w:fldCharType="separate"/>
    </w:r>
    <w:r w:rsidRPr="0042722E">
      <w:rPr>
        <w:rStyle w:val="a7"/>
        <w:rFonts w:cs="Vilna"/>
        <w:spacing w:val="60"/>
        <w:w w:val="85"/>
        <w:sz w:val="16"/>
        <w:szCs w:val="14"/>
        <w:rtl/>
      </w:rPr>
      <w:t>168</w:t>
    </w:r>
    <w:r>
      <w:rPr>
        <w:rStyle w:val="a7"/>
        <w:rFonts w:cs="Narkisim"/>
        <w:sz w:val="22"/>
        <w:szCs w:val="20"/>
        <w:rtl/>
      </w:rPr>
      <w:fldChar w:fldCharType="end"/>
    </w:r>
  </w:p>
  <w:p w:rsidR="00CC3D59" w:rsidRDefault="00CC3D59">
    <w:pPr>
      <w:pStyle w:val="a3"/>
      <w:rPr>
        <w:rtl/>
        <w:lang w:eastAsia="en-US"/>
      </w:rPr>
    </w:pPr>
    <w:r>
      <w:rPr>
        <w:sz w:val="20"/>
        <w:rtl/>
        <w:lang w:eastAsia="en-US"/>
      </w:rPr>
      <w:drawing>
        <wp:anchor distT="0" distB="0" distL="114300" distR="114300" simplePos="0" relativeHeight="251661312" behindDoc="1" locked="0" layoutInCell="0" allowOverlap="1">
          <wp:simplePos x="0" y="0"/>
          <wp:positionH relativeFrom="page">
            <wp:align>center</wp:align>
          </wp:positionH>
          <wp:positionV relativeFrom="page">
            <wp:align>center</wp:align>
          </wp:positionV>
          <wp:extent cx="6518275" cy="9145905"/>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8275" cy="9145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3D59" w:rsidRDefault="00CC3D59">
    <w:pPr>
      <w:pStyle w:val="a3"/>
      <w:rPr>
        <w:rFonts w:hint="cs"/>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B19"/>
    <w:rsid w:val="00061E65"/>
    <w:rsid w:val="004C4E95"/>
    <w:rsid w:val="007C6B19"/>
    <w:rsid w:val="00AC2310"/>
    <w:rsid w:val="00CC3D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C3D5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C3D5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C3D59"/>
    <w:rPr>
      <w:rFonts w:ascii="DF Calligraphic Ornaments LET" w:eastAsia="Times New Roman" w:hAnsi="DF Calligraphic Ornaments LET" w:cs="Guttman Soncino"/>
      <w:noProof/>
      <w:spacing w:val="20"/>
      <w:w w:val="90"/>
      <w:kern w:val="28"/>
      <w:sz w:val="44"/>
      <w:szCs w:val="46"/>
    </w:rPr>
  </w:style>
  <w:style w:type="paragraph" w:styleId="a3">
    <w:name w:val="header"/>
    <w:aliases w:val="Header"/>
    <w:basedOn w:val="a"/>
    <w:link w:val="a4"/>
    <w:rsid w:val="00CC3D59"/>
    <w:pPr>
      <w:tabs>
        <w:tab w:val="center" w:pos="4153"/>
        <w:tab w:val="right" w:pos="8306"/>
      </w:tabs>
      <w:spacing w:line="300" w:lineRule="exact"/>
    </w:pPr>
    <w:rPr>
      <w:rFonts w:cs="KorenMF"/>
      <w:noProof/>
      <w:szCs w:val="24"/>
    </w:rPr>
  </w:style>
  <w:style w:type="character" w:customStyle="1" w:styleId="a4">
    <w:name w:val="כותרת עליונה תו"/>
    <w:basedOn w:val="a0"/>
    <w:link w:val="a3"/>
    <w:rsid w:val="00CC3D59"/>
    <w:rPr>
      <w:rFonts w:ascii="Times New Roman" w:eastAsia="Times New Roman" w:hAnsi="Times New Roman" w:cs="KorenMF"/>
      <w:noProof/>
      <w:sz w:val="26"/>
      <w:szCs w:val="24"/>
      <w:lang w:eastAsia="he-IL"/>
    </w:rPr>
  </w:style>
  <w:style w:type="paragraph" w:styleId="a5">
    <w:name w:val="footer"/>
    <w:aliases w:val="Footer"/>
    <w:basedOn w:val="a"/>
    <w:link w:val="a6"/>
    <w:rsid w:val="00CC3D59"/>
    <w:pPr>
      <w:tabs>
        <w:tab w:val="center" w:pos="4153"/>
        <w:tab w:val="right" w:pos="8306"/>
      </w:tabs>
      <w:jc w:val="left"/>
    </w:pPr>
  </w:style>
  <w:style w:type="character" w:customStyle="1" w:styleId="a6">
    <w:name w:val="כותרת תחתונה תו"/>
    <w:basedOn w:val="a0"/>
    <w:link w:val="a5"/>
    <w:rsid w:val="00CC3D59"/>
    <w:rPr>
      <w:rFonts w:ascii="Times New Roman" w:eastAsia="Times New Roman" w:hAnsi="Times New Roman" w:cs="FrankRuehl"/>
      <w:sz w:val="26"/>
      <w:szCs w:val="27"/>
      <w:lang w:eastAsia="he-IL"/>
    </w:rPr>
  </w:style>
  <w:style w:type="character" w:styleId="a7">
    <w:name w:val="page number"/>
    <w:aliases w:val="Page Number"/>
    <w:basedOn w:val="a0"/>
    <w:rsid w:val="00CC3D59"/>
  </w:style>
  <w:style w:type="character" w:customStyle="1" w:styleId="a8">
    <w:name w:val="מרים"/>
    <w:basedOn w:val="a0"/>
    <w:rsid w:val="00CC3D59"/>
    <w:rPr>
      <w:rFonts w:cs="Miriam"/>
      <w:w w:val="100"/>
      <w:sz w:val="21"/>
      <w:szCs w:val="23"/>
    </w:rPr>
  </w:style>
  <w:style w:type="paragraph" w:styleId="a9">
    <w:name w:val="endnote text"/>
    <w:aliases w:val="Endnote Text"/>
    <w:basedOn w:val="a"/>
    <w:link w:val="aa"/>
    <w:autoRedefine/>
    <w:semiHidden/>
    <w:rsid w:val="00CC3D59"/>
    <w:pPr>
      <w:tabs>
        <w:tab w:val="right" w:pos="266"/>
        <w:tab w:val="left" w:pos="340"/>
      </w:tabs>
      <w:spacing w:after="20" w:line="260" w:lineRule="exact"/>
      <w:ind w:left="340" w:hanging="340"/>
    </w:pPr>
    <w:rPr>
      <w:sz w:val="20"/>
      <w:szCs w:val="23"/>
    </w:rPr>
  </w:style>
  <w:style w:type="character" w:customStyle="1" w:styleId="aa">
    <w:name w:val="טקסט הערת סיום תו"/>
    <w:basedOn w:val="a0"/>
    <w:link w:val="a9"/>
    <w:semiHidden/>
    <w:rsid w:val="00CC3D59"/>
    <w:rPr>
      <w:rFonts w:ascii="Times New Roman" w:eastAsia="Times New Roman" w:hAnsi="Times New Roman" w:cs="FrankRuehl"/>
      <w:sz w:val="20"/>
      <w:szCs w:val="23"/>
      <w:lang w:eastAsia="he-IL"/>
    </w:rPr>
  </w:style>
  <w:style w:type="character" w:styleId="ab">
    <w:name w:val="endnote reference"/>
    <w:aliases w:val="Endnote Reference"/>
    <w:basedOn w:val="ac"/>
    <w:semiHidden/>
    <w:rsid w:val="00CC3D59"/>
    <w:rPr>
      <w:noProof/>
      <w:position w:val="-4"/>
      <w:szCs w:val="27"/>
      <w:vertAlign w:val="superscript"/>
    </w:rPr>
  </w:style>
  <w:style w:type="paragraph" w:customStyle="1" w:styleId="ad">
    <w:name w:val="פתיח תו"/>
    <w:basedOn w:val="a"/>
    <w:link w:val="ae"/>
    <w:rsid w:val="00CC3D5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e">
    <w:name w:val="פתיח תו תו"/>
    <w:basedOn w:val="a0"/>
    <w:link w:val="ad"/>
    <w:rsid w:val="00CC3D59"/>
    <w:rPr>
      <w:rFonts w:ascii="Times New Roman" w:eastAsia="Times New Roman" w:hAnsi="Times New Roman" w:cs="Guttman Soncino"/>
      <w:b/>
      <w:bCs/>
      <w:color w:val="808080"/>
      <w:position w:val="-5"/>
      <w:sz w:val="85"/>
      <w:szCs w:val="85"/>
      <w:lang w:eastAsia="he-IL"/>
    </w:rPr>
  </w:style>
  <w:style w:type="character" w:styleId="ac">
    <w:name w:val="footnote reference"/>
    <w:basedOn w:val="a0"/>
    <w:uiPriority w:val="99"/>
    <w:semiHidden/>
    <w:unhideWhenUsed/>
    <w:rsid w:val="00CC3D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C3D5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C3D5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C3D59"/>
    <w:rPr>
      <w:rFonts w:ascii="DF Calligraphic Ornaments LET" w:eastAsia="Times New Roman" w:hAnsi="DF Calligraphic Ornaments LET" w:cs="Guttman Soncino"/>
      <w:noProof/>
      <w:spacing w:val="20"/>
      <w:w w:val="90"/>
      <w:kern w:val="28"/>
      <w:sz w:val="44"/>
      <w:szCs w:val="46"/>
    </w:rPr>
  </w:style>
  <w:style w:type="paragraph" w:styleId="a3">
    <w:name w:val="header"/>
    <w:aliases w:val="Header"/>
    <w:basedOn w:val="a"/>
    <w:link w:val="a4"/>
    <w:rsid w:val="00CC3D59"/>
    <w:pPr>
      <w:tabs>
        <w:tab w:val="center" w:pos="4153"/>
        <w:tab w:val="right" w:pos="8306"/>
      </w:tabs>
      <w:spacing w:line="300" w:lineRule="exact"/>
    </w:pPr>
    <w:rPr>
      <w:rFonts w:cs="KorenMF"/>
      <w:noProof/>
      <w:szCs w:val="24"/>
    </w:rPr>
  </w:style>
  <w:style w:type="character" w:customStyle="1" w:styleId="a4">
    <w:name w:val="כותרת עליונה תו"/>
    <w:basedOn w:val="a0"/>
    <w:link w:val="a3"/>
    <w:rsid w:val="00CC3D59"/>
    <w:rPr>
      <w:rFonts w:ascii="Times New Roman" w:eastAsia="Times New Roman" w:hAnsi="Times New Roman" w:cs="KorenMF"/>
      <w:noProof/>
      <w:sz w:val="26"/>
      <w:szCs w:val="24"/>
      <w:lang w:eastAsia="he-IL"/>
    </w:rPr>
  </w:style>
  <w:style w:type="paragraph" w:styleId="a5">
    <w:name w:val="footer"/>
    <w:aliases w:val="Footer"/>
    <w:basedOn w:val="a"/>
    <w:link w:val="a6"/>
    <w:rsid w:val="00CC3D59"/>
    <w:pPr>
      <w:tabs>
        <w:tab w:val="center" w:pos="4153"/>
        <w:tab w:val="right" w:pos="8306"/>
      </w:tabs>
      <w:jc w:val="left"/>
    </w:pPr>
  </w:style>
  <w:style w:type="character" w:customStyle="1" w:styleId="a6">
    <w:name w:val="כותרת תחתונה תו"/>
    <w:basedOn w:val="a0"/>
    <w:link w:val="a5"/>
    <w:rsid w:val="00CC3D59"/>
    <w:rPr>
      <w:rFonts w:ascii="Times New Roman" w:eastAsia="Times New Roman" w:hAnsi="Times New Roman" w:cs="FrankRuehl"/>
      <w:sz w:val="26"/>
      <w:szCs w:val="27"/>
      <w:lang w:eastAsia="he-IL"/>
    </w:rPr>
  </w:style>
  <w:style w:type="character" w:styleId="a7">
    <w:name w:val="page number"/>
    <w:aliases w:val="Page Number"/>
    <w:basedOn w:val="a0"/>
    <w:rsid w:val="00CC3D59"/>
  </w:style>
  <w:style w:type="character" w:customStyle="1" w:styleId="a8">
    <w:name w:val="מרים"/>
    <w:basedOn w:val="a0"/>
    <w:rsid w:val="00CC3D59"/>
    <w:rPr>
      <w:rFonts w:cs="Miriam"/>
      <w:w w:val="100"/>
      <w:sz w:val="21"/>
      <w:szCs w:val="23"/>
    </w:rPr>
  </w:style>
  <w:style w:type="paragraph" w:styleId="a9">
    <w:name w:val="endnote text"/>
    <w:aliases w:val="Endnote Text"/>
    <w:basedOn w:val="a"/>
    <w:link w:val="aa"/>
    <w:autoRedefine/>
    <w:semiHidden/>
    <w:rsid w:val="00CC3D59"/>
    <w:pPr>
      <w:tabs>
        <w:tab w:val="right" w:pos="266"/>
        <w:tab w:val="left" w:pos="340"/>
      </w:tabs>
      <w:spacing w:after="20" w:line="260" w:lineRule="exact"/>
      <w:ind w:left="340" w:hanging="340"/>
    </w:pPr>
    <w:rPr>
      <w:sz w:val="20"/>
      <w:szCs w:val="23"/>
    </w:rPr>
  </w:style>
  <w:style w:type="character" w:customStyle="1" w:styleId="aa">
    <w:name w:val="טקסט הערת סיום תו"/>
    <w:basedOn w:val="a0"/>
    <w:link w:val="a9"/>
    <w:semiHidden/>
    <w:rsid w:val="00CC3D59"/>
    <w:rPr>
      <w:rFonts w:ascii="Times New Roman" w:eastAsia="Times New Roman" w:hAnsi="Times New Roman" w:cs="FrankRuehl"/>
      <w:sz w:val="20"/>
      <w:szCs w:val="23"/>
      <w:lang w:eastAsia="he-IL"/>
    </w:rPr>
  </w:style>
  <w:style w:type="character" w:styleId="ab">
    <w:name w:val="endnote reference"/>
    <w:aliases w:val="Endnote Reference"/>
    <w:basedOn w:val="ac"/>
    <w:semiHidden/>
    <w:rsid w:val="00CC3D59"/>
    <w:rPr>
      <w:noProof/>
      <w:position w:val="-4"/>
      <w:szCs w:val="27"/>
      <w:vertAlign w:val="superscript"/>
    </w:rPr>
  </w:style>
  <w:style w:type="paragraph" w:customStyle="1" w:styleId="ad">
    <w:name w:val="פתיח תו"/>
    <w:basedOn w:val="a"/>
    <w:link w:val="ae"/>
    <w:rsid w:val="00CC3D5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e">
    <w:name w:val="פתיח תו תו"/>
    <w:basedOn w:val="a0"/>
    <w:link w:val="ad"/>
    <w:rsid w:val="00CC3D59"/>
    <w:rPr>
      <w:rFonts w:ascii="Times New Roman" w:eastAsia="Times New Roman" w:hAnsi="Times New Roman" w:cs="Guttman Soncino"/>
      <w:b/>
      <w:bCs/>
      <w:color w:val="808080"/>
      <w:position w:val="-5"/>
      <w:sz w:val="85"/>
      <w:szCs w:val="85"/>
      <w:lang w:eastAsia="he-IL"/>
    </w:rPr>
  </w:style>
  <w:style w:type="character" w:styleId="ac">
    <w:name w:val="footnote reference"/>
    <w:basedOn w:val="a0"/>
    <w:uiPriority w:val="99"/>
    <w:semiHidden/>
    <w:unhideWhenUsed/>
    <w:rsid w:val="00CC3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2;&#1488;&#1513;&#1493;&#1503;%20&#1511;&#1491;&#1513;%20&#1492;&#1511;&#1497;&#1491;&#1493;&#1513;&#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file:///C:\Users\user\Documents\&#1502;&#1513;&#1512;&#1491;\&#1488;&#1514;&#1512;\&#1505;&#1508;&#1512;&#1497;&#1501;%20&#1502;&#1495;&#1493;&#1500;&#1511;&#1497;&#1501;%20&#1488;\&#1497;&#1497;&#1503;%20&#1502;&#1513;&#1502;&#1495;%20&#1490;\&#1513;&#1506;&#1512;%20&#1512;&#1488;&#1513;&#1493;&#1503;%20&#1511;&#1491;&#1513;%20&#1492;&#1511;&#1497;&#1491;&#1493;&#1513;&#1497;&#1503;\&#1510;&#1493;&#1512;&#1492;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514</Words>
  <Characters>2570</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2017-08-14T22:36:00Z</dcterms:created>
  <dcterms:modified xsi:type="dcterms:W3CDTF">2017-08-14T22:36:00Z</dcterms:modified>
</cp:coreProperties>
</file>