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1F" w:rsidRPr="000A2158" w:rsidRDefault="00F6211F" w:rsidP="00F6211F">
      <w:pPr>
        <w:pStyle w:val="2"/>
        <w:rPr>
          <w:rFonts w:hint="cs"/>
          <w:rtl/>
        </w:rPr>
      </w:pPr>
      <w:bookmarkStart w:id="0" w:name="_Toc145068669"/>
      <w:bookmarkStart w:id="1" w:name="_Ref145068930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666750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58">
        <w:rPr>
          <w:rFonts w:hint="cs"/>
          <w:rtl/>
        </w:rPr>
        <w:t>"מיינר זאגט"</w:t>
      </w:r>
      <w:bookmarkEnd w:id="0"/>
      <w:bookmarkEnd w:id="1"/>
    </w:p>
    <w:p w:rsidR="00F6211F" w:rsidRPr="00E06956" w:rsidRDefault="00F6211F" w:rsidP="00F6211F">
      <w:pPr>
        <w:spacing w:after="0" w:line="240" w:lineRule="auto"/>
        <w:rPr>
          <w:rFonts w:hint="cs"/>
          <w:rtl/>
        </w:rPr>
      </w:pPr>
      <w:r w:rsidRPr="00C26113">
        <w:rPr>
          <w:rStyle w:val="ab"/>
          <w:rFonts w:hint="cs"/>
          <w:rtl/>
        </w:rPr>
        <w:t>ב</w:t>
      </w:r>
      <w:r w:rsidRPr="00E06956">
        <w:rPr>
          <w:rFonts w:hint="cs"/>
          <w:rtl/>
        </w:rPr>
        <w:t>לוח "היום יום"</w:t>
      </w:r>
      <w:r w:rsidRPr="005316B5">
        <w:rPr>
          <w:rStyle w:val="a8"/>
          <w:rtl/>
        </w:rPr>
        <w:endnoteReference w:id="1"/>
      </w:r>
      <w:r w:rsidRPr="00E06956">
        <w:rPr>
          <w:rFonts w:hint="cs"/>
          <w:rtl/>
        </w:rPr>
        <w:t xml:space="preserve"> מסופר:</w:t>
      </w:r>
    </w:p>
    <w:p w:rsidR="00F6211F" w:rsidRDefault="00F6211F" w:rsidP="00F6211F">
      <w:pPr>
        <w:pStyle w:val="a3"/>
        <w:spacing w:before="0"/>
        <w:rPr>
          <w:rtl/>
        </w:rPr>
      </w:pPr>
      <w:r>
        <w:rPr>
          <w:rFonts w:hint="cs"/>
          <w:rtl/>
        </w:rPr>
        <w:t>פעם, תוך כדי יציאה מחדרו, נזדמן לאדמו"ר הזקן לשמוע איך שהרבנית אומר לכמה נשים</w:t>
      </w:r>
      <w:r>
        <w:rPr>
          <w:rFonts w:cs="Guttman Vilna"/>
          <w:rtl/>
        </w:rPr>
        <w:t>:</w:t>
      </w:r>
      <w:r>
        <w:rPr>
          <w:rtl/>
        </w:rPr>
        <w:t xml:space="preserve"> "</w:t>
      </w:r>
      <w:r>
        <w:rPr>
          <w:rFonts w:hint="cs"/>
          <w:rtl/>
        </w:rPr>
        <w:t xml:space="preserve">מיינר זאגט </w:t>
      </w:r>
      <w:r w:rsidRPr="00B078FA">
        <w:rPr>
          <w:rFonts w:cs="FrankRuehl" w:hint="cs"/>
          <w:noProof w:val="0"/>
          <w:snapToGrid/>
          <w:sz w:val="26"/>
          <w:szCs w:val="27"/>
          <w:rtl/>
          <w:lang w:eastAsia="he-IL"/>
        </w:rPr>
        <w:t>[</w:t>
      </w:r>
      <w:r w:rsidRPr="00B078FA">
        <w:rPr>
          <w:rFonts w:cs="FrankRuehl"/>
          <w:noProof w:val="0"/>
          <w:snapToGrid/>
          <w:sz w:val="26"/>
          <w:szCs w:val="27"/>
          <w:rtl/>
          <w:lang w:eastAsia="he-IL"/>
        </w:rPr>
        <w:t>שלי</w:t>
      </w:r>
      <w:r w:rsidRPr="00B078FA">
        <w:rPr>
          <w:rFonts w:cs="FrankRuehl" w:hint="cs"/>
          <w:noProof w:val="0"/>
          <w:snapToGrid/>
          <w:sz w:val="26"/>
          <w:szCs w:val="27"/>
          <w:rtl/>
          <w:lang w:eastAsia="he-IL"/>
        </w:rPr>
        <w:t>, דהיינו בעלי, אומר</w:t>
      </w:r>
      <w:r w:rsidRPr="00B078FA">
        <w:rPr>
          <w:rFonts w:cs="FrankRuehl"/>
          <w:noProof w:val="0"/>
          <w:snapToGrid/>
          <w:sz w:val="26"/>
          <w:szCs w:val="27"/>
          <w:rtl/>
          <w:lang w:eastAsia="he-IL"/>
        </w:rPr>
        <w:t>]</w:t>
      </w:r>
      <w:r>
        <w:rPr>
          <w:rtl/>
        </w:rPr>
        <w:t>".</w:t>
      </w:r>
    </w:p>
    <w:p w:rsidR="00F6211F" w:rsidRDefault="00F6211F" w:rsidP="00F6211F">
      <w:pPr>
        <w:pStyle w:val="a3"/>
        <w:spacing w:after="180"/>
        <w:rPr>
          <w:rtl/>
        </w:rPr>
      </w:pPr>
      <w:r>
        <w:rPr>
          <w:rFonts w:hint="cs"/>
          <w:rtl/>
        </w:rPr>
        <w:t>– אמר הרבי</w:t>
      </w:r>
      <w:r>
        <w:rPr>
          <w:rFonts w:cs="Guttman Vilna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בגלל מצוה אחת נעשה אני שלך; במצוות כה רבות נעשה אני</w:t>
      </w:r>
      <w:r>
        <w:rPr>
          <w:rtl/>
        </w:rPr>
        <w:t xml:space="preserve"> </w:t>
      </w:r>
      <w:r>
        <w:rPr>
          <w:rFonts w:hint="cs"/>
          <w:rtl/>
        </w:rPr>
        <w:t>של הקב"ה! ונשתרע על הרצפה בדבקות. בהתעוררו מהדבקות אמר</w:t>
      </w:r>
      <w:r>
        <w:rPr>
          <w:rFonts w:cs="Guttman Vilna"/>
          <w:rtl/>
        </w:rPr>
        <w:t>:</w:t>
      </w:r>
      <w:r>
        <w:rPr>
          <w:rtl/>
        </w:rPr>
        <w:t xml:space="preserve"> "</w:t>
      </w:r>
      <w:r>
        <w:rPr>
          <w:rFonts w:hint="cs"/>
          <w:rtl/>
        </w:rPr>
        <w:t>צאינה</w:t>
      </w:r>
      <w:r>
        <w:rPr>
          <w:rtl/>
        </w:rPr>
        <w:t xml:space="preserve"> </w:t>
      </w:r>
      <w:r>
        <w:rPr>
          <w:rFonts w:hint="cs"/>
          <w:rtl/>
        </w:rPr>
        <w:t>וראינה</w:t>
      </w:r>
      <w:r>
        <w:rPr>
          <w:rtl/>
        </w:rPr>
        <w:t>"</w:t>
      </w:r>
      <w:r w:rsidRPr="005316B5">
        <w:rPr>
          <w:rStyle w:val="a8"/>
          <w:rtl/>
        </w:rPr>
        <w:endnoteReference w:id="2"/>
      </w:r>
      <w:r>
        <w:rPr>
          <w:rtl/>
        </w:rPr>
        <w:t xml:space="preserve"> </w:t>
      </w:r>
      <w:r>
        <w:rPr>
          <w:rFonts w:hint="cs"/>
          <w:rtl/>
        </w:rPr>
        <w:t>– כדי לצאת מעצמו ולראות אלקות, זהו על ידי</w:t>
      </w:r>
      <w:r>
        <w:rPr>
          <w:rFonts w:cs="Guttman Vilna"/>
          <w:rtl/>
        </w:rPr>
        <w:t>:</w:t>
      </w:r>
      <w:r>
        <w:rPr>
          <w:rtl/>
        </w:rPr>
        <w:t xml:space="preserve"> "</w:t>
      </w:r>
      <w:r>
        <w:rPr>
          <w:rFonts w:hint="cs"/>
          <w:rtl/>
        </w:rPr>
        <w:t>בנות ציון" – מלכות מעוררת ז"א, לעתיד לבא יתקיים הכתוב</w:t>
      </w:r>
      <w:r>
        <w:rPr>
          <w:rFonts w:cs="Guttman Vilna"/>
          <w:rtl/>
        </w:rPr>
        <w:t>:</w:t>
      </w:r>
      <w:r>
        <w:rPr>
          <w:rtl/>
        </w:rPr>
        <w:t xml:space="preserve"> "</w:t>
      </w:r>
      <w:r>
        <w:rPr>
          <w:rFonts w:hint="cs"/>
          <w:rtl/>
        </w:rPr>
        <w:t>אשת חיל עטרת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>"</w:t>
      </w:r>
      <w:r w:rsidRPr="005316B5">
        <w:rPr>
          <w:rStyle w:val="a8"/>
          <w:rtl/>
        </w:rPr>
        <w:endnoteReference w:id="3"/>
      </w:r>
      <w:r>
        <w:rPr>
          <w:rtl/>
        </w:rPr>
        <w:t>.</w:t>
      </w:r>
    </w:p>
    <w:p w:rsidR="00F6211F" w:rsidRPr="00E06956" w:rsidRDefault="00F6211F" w:rsidP="00F6211F">
      <w:pPr>
        <w:rPr>
          <w:rFonts w:hint="cs"/>
          <w:rtl/>
        </w:rPr>
      </w:pPr>
      <w:r w:rsidRPr="00E06956">
        <w:rPr>
          <w:rFonts w:hint="cs"/>
          <w:rtl/>
        </w:rPr>
        <w:t xml:space="preserve">סיפור זה ממחיש היטב כיצד לכל </w:t>
      </w:r>
      <w:proofErr w:type="spellStart"/>
      <w:r w:rsidRPr="00E06956">
        <w:rPr>
          <w:rFonts w:hint="cs"/>
          <w:rtl/>
        </w:rPr>
        <w:t>אשה</w:t>
      </w:r>
      <w:proofErr w:type="spellEnd"/>
      <w:r w:rsidRPr="00E06956">
        <w:rPr>
          <w:rFonts w:hint="cs"/>
          <w:rtl/>
        </w:rPr>
        <w:t xml:space="preserve"> יש תחושה פנימית כי אישה הוא שלה, עד שהיא קוראת לו "</w:t>
      </w:r>
      <w:proofErr w:type="spellStart"/>
      <w:r w:rsidRPr="00E06956">
        <w:rPr>
          <w:rFonts w:hint="cs"/>
          <w:rtl/>
        </w:rPr>
        <w:t>מיינר</w:t>
      </w:r>
      <w:proofErr w:type="spellEnd"/>
      <w:r w:rsidRPr="00E06956">
        <w:rPr>
          <w:rFonts w:hint="cs"/>
          <w:rtl/>
        </w:rPr>
        <w:t>" (ובכך מתהדרת בבעלותה עליו, כמובן). בפשטות, ה"מצוה אחת" בגללה נעשה האיש של אשתו היא מצות "שארה כסותה ועֹנתה לא יגרע"</w:t>
      </w:r>
      <w:r w:rsidRPr="005316B5">
        <w:rPr>
          <w:rStyle w:val="a8"/>
          <w:rtl/>
        </w:rPr>
        <w:endnoteReference w:id="4"/>
      </w:r>
      <w:r w:rsidRPr="00E06956">
        <w:rPr>
          <w:rFonts w:hint="cs"/>
          <w:rtl/>
        </w:rPr>
        <w:t xml:space="preserve">, המוטלת עליו מן </w:t>
      </w:r>
      <w:proofErr w:type="spellStart"/>
      <w:r w:rsidRPr="00E06956">
        <w:rPr>
          <w:rFonts w:hint="cs"/>
          <w:rtl/>
        </w:rPr>
        <w:t>הנשואין</w:t>
      </w:r>
      <w:bookmarkStart w:id="2" w:name="_Ref144821342"/>
      <w:proofErr w:type="spellEnd"/>
      <w:r w:rsidRPr="005316B5">
        <w:rPr>
          <w:rStyle w:val="a8"/>
          <w:rtl/>
        </w:rPr>
        <w:endnoteReference w:id="5"/>
      </w:r>
      <w:bookmarkEnd w:id="2"/>
      <w:r w:rsidRPr="00E06956">
        <w:rPr>
          <w:rFonts w:hint="cs"/>
          <w:rtl/>
        </w:rPr>
        <w:t xml:space="preserve"> וגורמת לכך שבשעבודיו כלפיה הוא נעשה 'שלה'</w:t>
      </w:r>
      <w:r w:rsidRPr="008529A0">
        <w:rPr>
          <w:rStyle w:val="a8"/>
        </w:rPr>
        <w:fldChar w:fldCharType="begin"/>
      </w:r>
      <w:r w:rsidRPr="008529A0">
        <w:rPr>
          <w:rStyle w:val="a8"/>
          <w:rtl/>
        </w:rPr>
        <w:instrText xml:space="preserve"> </w:instrText>
      </w:r>
      <w:r w:rsidRPr="008529A0">
        <w:rPr>
          <w:rStyle w:val="a8"/>
          <w:rFonts w:hint="cs"/>
        </w:rPr>
        <w:instrText>NOTEREF</w:instrText>
      </w:r>
      <w:r w:rsidRPr="008529A0">
        <w:rPr>
          <w:rStyle w:val="a8"/>
          <w:rFonts w:hint="cs"/>
          <w:rtl/>
        </w:rPr>
        <w:instrText xml:space="preserve"> _</w:instrText>
      </w:r>
      <w:r w:rsidRPr="008529A0">
        <w:rPr>
          <w:rStyle w:val="a8"/>
          <w:rFonts w:hint="cs"/>
        </w:rPr>
        <w:instrText>Ref144821342 \h</w:instrText>
      </w:r>
      <w:r w:rsidRPr="008529A0">
        <w:rPr>
          <w:rStyle w:val="a8"/>
          <w:rtl/>
        </w:rPr>
        <w:instrText xml:space="preserve"> </w:instrText>
      </w:r>
      <w:r w:rsidRPr="008529A0">
        <w:rPr>
          <w:rStyle w:val="a8"/>
        </w:rPr>
      </w:r>
      <w:r w:rsidRPr="008529A0">
        <w:rPr>
          <w:rStyle w:val="a8"/>
        </w:rPr>
        <w:instrText xml:space="preserve"> \* MERGEFORMAT </w:instrText>
      </w:r>
      <w:r w:rsidRPr="008529A0">
        <w:rPr>
          <w:rStyle w:val="a8"/>
        </w:rPr>
        <w:fldChar w:fldCharType="separate"/>
      </w:r>
      <w:r>
        <w:rPr>
          <w:rStyle w:val="a8"/>
          <w:rtl/>
        </w:rPr>
        <w:t>ה</w:t>
      </w:r>
      <w:r w:rsidRPr="008529A0">
        <w:rPr>
          <w:rStyle w:val="a8"/>
        </w:rPr>
        <w:fldChar w:fldCharType="end"/>
      </w:r>
      <w:r w:rsidRPr="00E06956">
        <w:rPr>
          <w:rFonts w:hint="cs"/>
          <w:rtl/>
        </w:rPr>
        <w:t xml:space="preserve"> (ובכך הדבר דומה ל"מצוות כה רבות" בהן נעשה האדם של הקב"ה, בהיותו מחויב כלפיו, כפי </w:t>
      </w:r>
      <w:proofErr w:type="spellStart"/>
      <w:r w:rsidRPr="00E06956">
        <w:rPr>
          <w:rFonts w:hint="cs"/>
          <w:rtl/>
        </w:rPr>
        <w:t>שתאר</w:t>
      </w:r>
      <w:proofErr w:type="spellEnd"/>
      <w:r w:rsidRPr="00E06956">
        <w:rPr>
          <w:rFonts w:hint="cs"/>
          <w:rtl/>
        </w:rPr>
        <w:t xml:space="preserve"> אדמו"ר הזקן).</w:t>
      </w:r>
    </w:p>
    <w:p w:rsidR="00F6211F" w:rsidRDefault="00F6211F" w:rsidP="00F6211F">
      <w:pPr>
        <w:rPr>
          <w:rFonts w:hint="cs"/>
          <w:rtl/>
        </w:rPr>
      </w:pPr>
      <w:r>
        <w:rPr>
          <w:rFonts w:hint="cs"/>
          <w:rtl/>
        </w:rPr>
        <w:t xml:space="preserve">בסיפור זה נראה ברור כי הבעלות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על אישה היא חיובית, ואדמו"ר הזקן איננו כופר בכך שהוא </w:t>
      </w:r>
      <w:proofErr w:type="spellStart"/>
      <w:r>
        <w:rPr>
          <w:rFonts w:hint="cs"/>
          <w:rtl/>
        </w:rPr>
        <w:t>ה"מיינר</w:t>
      </w:r>
      <w:proofErr w:type="spellEnd"/>
      <w:r>
        <w:rPr>
          <w:rFonts w:hint="cs"/>
          <w:rtl/>
        </w:rPr>
        <w:t xml:space="preserve">" של אשתו. ההיפך הוא הנכון – אדמו"ר הזקן מתפעל מכך, ומסיק מכך כלפי שמיא, ואף רואה בעצם העובדה שזכה להתעוררות של דבקות בזכות אשתו ענין משיחי (ומובן בפשטות כי גם התפיסה שהוא </w:t>
      </w:r>
      <w:proofErr w:type="spellStart"/>
      <w:r>
        <w:rPr>
          <w:rFonts w:hint="cs"/>
          <w:rtl/>
        </w:rPr>
        <w:t>ה"מיינר</w:t>
      </w:r>
      <w:proofErr w:type="spellEnd"/>
      <w:r>
        <w:rPr>
          <w:rFonts w:hint="cs"/>
          <w:rtl/>
        </w:rPr>
        <w:t xml:space="preserve">" של אשתו היא ענין משיחי, הכלול ב"אשת חיל עטרת בעלה"). אמנם, לכאורה אנו מכירים גם בעלות שלילית של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על בעלה – כך ידועים דברי הרבי </w:t>
      </w:r>
      <w:proofErr w:type="spellStart"/>
      <w:r>
        <w:rPr>
          <w:rFonts w:hint="cs"/>
          <w:rtl/>
        </w:rPr>
        <w:t>מקוצק</w:t>
      </w:r>
      <w:proofErr w:type="spellEnd"/>
      <w:r w:rsidRPr="005316B5">
        <w:rPr>
          <w:rStyle w:val="a8"/>
          <w:rtl/>
        </w:rPr>
        <w:endnoteReference w:id="6"/>
      </w:r>
      <w:r>
        <w:rPr>
          <w:rFonts w:hint="cs"/>
          <w:rtl/>
        </w:rPr>
        <w:t xml:space="preserve"> כי כאשר "ואל אישך תשוקתך" אז "והוא </w:t>
      </w:r>
      <w:proofErr w:type="spellStart"/>
      <w:r>
        <w:rPr>
          <w:rFonts w:hint="cs"/>
          <w:rtl/>
        </w:rPr>
        <w:t>ימשֹל</w:t>
      </w:r>
      <w:proofErr w:type="spellEnd"/>
      <w:r>
        <w:rPr>
          <w:rFonts w:hint="cs"/>
          <w:rtl/>
        </w:rPr>
        <w:t xml:space="preserve"> בך"</w:t>
      </w:r>
      <w:r w:rsidRPr="005316B5">
        <w:rPr>
          <w:rStyle w:val="a8"/>
          <w:rtl/>
        </w:rPr>
        <w:endnoteReference w:id="7"/>
      </w:r>
      <w:r>
        <w:rPr>
          <w:rFonts w:hint="cs"/>
          <w:rtl/>
        </w:rPr>
        <w:t xml:space="preserve">, אך אם האיש הוא עיקר המשתוקק ומתאווה לאשתו אזי היא מושלת בו. כאשר האיש הוא 'שפוט' של אשתו בשל </w:t>
      </w:r>
      <w:proofErr w:type="spellStart"/>
      <w:r>
        <w:rPr>
          <w:rFonts w:hint="cs"/>
          <w:rtl/>
        </w:rPr>
        <w:t>תאות</w:t>
      </w:r>
      <w:proofErr w:type="spellEnd"/>
      <w:r>
        <w:rPr>
          <w:rFonts w:hint="cs"/>
          <w:rtl/>
        </w:rPr>
        <w:t xml:space="preserve"> המשגל שלו (וכפי שהתבטא עוד הרבי </w:t>
      </w:r>
      <w:proofErr w:type="spellStart"/>
      <w:r>
        <w:rPr>
          <w:rFonts w:hint="cs"/>
          <w:rtl/>
        </w:rPr>
        <w:t>מקוצק</w:t>
      </w:r>
      <w:proofErr w:type="spellEnd"/>
      <w:r w:rsidRPr="005316B5">
        <w:rPr>
          <w:rStyle w:val="a8"/>
          <w:rtl/>
        </w:rPr>
        <w:endnoteReference w:id="8"/>
      </w:r>
      <w:r>
        <w:rPr>
          <w:rFonts w:hint="cs"/>
          <w:rtl/>
        </w:rPr>
        <w:t>, בחריפות רבה, כי "אין ניאוף אלא באשת איש"</w:t>
      </w:r>
      <w:r w:rsidRPr="005316B5">
        <w:rPr>
          <w:rStyle w:val="a8"/>
          <w:rtl/>
        </w:rPr>
        <w:endnoteReference w:id="9"/>
      </w:r>
      <w:r>
        <w:rPr>
          <w:rFonts w:hint="cs"/>
          <w:rtl/>
        </w:rPr>
        <w:t xml:space="preserve">, ואין המדובר דווקא באשתו של איש אחר…) </w:t>
      </w:r>
      <w:r>
        <w:rPr>
          <w:rFonts w:hint="eastAsia"/>
          <w:rtl/>
        </w:rPr>
        <w:t>– זהו כמובן מצב בלתי רצוי.</w:t>
      </w:r>
    </w:p>
    <w:p w:rsidR="00F6211F" w:rsidRPr="009A1FEF" w:rsidRDefault="00F6211F" w:rsidP="00F6211F">
      <w:pPr>
        <w:rPr>
          <w:rFonts w:hint="cs"/>
          <w:rtl/>
        </w:rPr>
      </w:pPr>
      <w:r w:rsidRPr="009A1FEF">
        <w:rPr>
          <w:rFonts w:hint="cs"/>
          <w:rtl/>
        </w:rPr>
        <w:t xml:space="preserve">אכן, יש לחלק ולומר כי קנין </w:t>
      </w:r>
      <w:proofErr w:type="spellStart"/>
      <w:r w:rsidRPr="009A1FEF">
        <w:rPr>
          <w:rFonts w:hint="cs"/>
          <w:rtl/>
        </w:rPr>
        <w:t>האשה</w:t>
      </w:r>
      <w:proofErr w:type="spellEnd"/>
      <w:r w:rsidRPr="009A1FEF">
        <w:rPr>
          <w:rFonts w:hint="cs"/>
          <w:rtl/>
        </w:rPr>
        <w:t xml:space="preserve"> את האיש בקדושה איננו דורש בטול של "ואל אישך תשוקתך" והיפוך יוצרות (וכפי שאדמו"ר הזקן בא בהתפעלותו להתפשטות הגשמיות, ההפוכה לחלוטין מכל </w:t>
      </w:r>
      <w:proofErr w:type="spellStart"/>
      <w:r w:rsidRPr="009A1FEF">
        <w:rPr>
          <w:rFonts w:hint="cs"/>
          <w:rtl/>
        </w:rPr>
        <w:t>תאוה</w:t>
      </w:r>
      <w:proofErr w:type="spellEnd"/>
      <w:r w:rsidRPr="009A1FEF">
        <w:rPr>
          <w:rFonts w:hint="cs"/>
          <w:rtl/>
        </w:rPr>
        <w:t xml:space="preserve"> גשמית). ההיפך הוא הנכון, קנין </w:t>
      </w:r>
      <w:proofErr w:type="spellStart"/>
      <w:r w:rsidRPr="009A1FEF">
        <w:rPr>
          <w:rFonts w:hint="cs"/>
          <w:rtl/>
        </w:rPr>
        <w:t>האשה</w:t>
      </w:r>
      <w:proofErr w:type="spellEnd"/>
      <w:r w:rsidRPr="009A1FEF">
        <w:rPr>
          <w:rFonts w:hint="cs"/>
          <w:rtl/>
        </w:rPr>
        <w:t xml:space="preserve"> את אישה בא מתוך "</w:t>
      </w:r>
      <w:proofErr w:type="spellStart"/>
      <w:r w:rsidRPr="009A1FEF">
        <w:rPr>
          <w:rFonts w:hint="cs"/>
          <w:rtl/>
        </w:rPr>
        <w:t>אתערותא</w:t>
      </w:r>
      <w:proofErr w:type="spellEnd"/>
      <w:r w:rsidRPr="009A1FEF">
        <w:rPr>
          <w:rFonts w:hint="cs"/>
          <w:rtl/>
        </w:rPr>
        <w:t xml:space="preserve"> </w:t>
      </w:r>
      <w:proofErr w:type="spellStart"/>
      <w:r w:rsidRPr="009A1FEF">
        <w:rPr>
          <w:rFonts w:hint="cs"/>
          <w:rtl/>
        </w:rPr>
        <w:t>דלתתא</w:t>
      </w:r>
      <w:proofErr w:type="spellEnd"/>
      <w:r w:rsidRPr="009A1FEF">
        <w:rPr>
          <w:rFonts w:hint="cs"/>
          <w:rtl/>
        </w:rPr>
        <w:t xml:space="preserve">" מתמדת, הבאה לעורר את תשוקתה לבעלה בחיי הנישואין, ובכך לשמור בהם על טריות ורעננות – כדי </w:t>
      </w:r>
      <w:proofErr w:type="spellStart"/>
      <w:r w:rsidRPr="009A1FEF">
        <w:rPr>
          <w:rFonts w:hint="cs"/>
          <w:rtl/>
        </w:rPr>
        <w:t>שהאשה</w:t>
      </w:r>
      <w:proofErr w:type="spellEnd"/>
      <w:r w:rsidRPr="009A1FEF">
        <w:rPr>
          <w:rFonts w:hint="cs"/>
          <w:rtl/>
        </w:rPr>
        <w:t xml:space="preserve"> תשתבח בבעלה </w:t>
      </w:r>
      <w:proofErr w:type="spellStart"/>
      <w:r w:rsidRPr="009A1FEF">
        <w:rPr>
          <w:rFonts w:hint="cs"/>
          <w:rtl/>
        </w:rPr>
        <w:t>כ"מיינר</w:t>
      </w:r>
      <w:proofErr w:type="spellEnd"/>
      <w:r w:rsidRPr="009A1FEF">
        <w:rPr>
          <w:rFonts w:hint="cs"/>
          <w:rtl/>
        </w:rPr>
        <w:t>" היא מעוררת בעצמה (בטבעיות גמורה) אהבה אליו, וככל שהיא מרוממת אותו להיות "אדם חשוב" כך מתקדשים ומתחדשים חיי הנישואין</w:t>
      </w:r>
      <w:r w:rsidRPr="009A1FEF">
        <w:rPr>
          <w:rStyle w:val="a8"/>
        </w:rPr>
        <w:fldChar w:fldCharType="begin"/>
      </w:r>
      <w:r w:rsidRPr="009A1FEF">
        <w:rPr>
          <w:rStyle w:val="a8"/>
          <w:rtl/>
        </w:rPr>
        <w:instrText xml:space="preserve"> </w:instrText>
      </w:r>
      <w:r w:rsidRPr="009A1FEF">
        <w:rPr>
          <w:rStyle w:val="a8"/>
          <w:rFonts w:hint="cs"/>
        </w:rPr>
        <w:instrText>NOTEREF</w:instrText>
      </w:r>
      <w:r w:rsidRPr="009A1FEF">
        <w:rPr>
          <w:rStyle w:val="a8"/>
          <w:rFonts w:hint="cs"/>
          <w:rtl/>
        </w:rPr>
        <w:instrText xml:space="preserve"> _</w:instrText>
      </w:r>
      <w:r w:rsidRPr="009A1FEF">
        <w:rPr>
          <w:rStyle w:val="a8"/>
          <w:rFonts w:hint="cs"/>
        </w:rPr>
        <w:instrText>Ref144821342 \h</w:instrText>
      </w:r>
      <w:r w:rsidRPr="009A1FEF">
        <w:rPr>
          <w:rStyle w:val="a8"/>
          <w:rtl/>
        </w:rPr>
        <w:instrText xml:space="preserve"> </w:instrText>
      </w:r>
      <w:r w:rsidRPr="009A1FEF">
        <w:rPr>
          <w:rStyle w:val="a8"/>
        </w:rPr>
      </w:r>
      <w:r w:rsidRPr="009A1FEF">
        <w:rPr>
          <w:rStyle w:val="a8"/>
        </w:rPr>
        <w:instrText xml:space="preserve"> \* MERGEFORMAT </w:instrText>
      </w:r>
      <w:r w:rsidRPr="009A1FEF">
        <w:rPr>
          <w:rStyle w:val="a8"/>
        </w:rPr>
        <w:fldChar w:fldCharType="separate"/>
      </w:r>
      <w:r>
        <w:rPr>
          <w:rStyle w:val="a8"/>
          <w:rtl/>
        </w:rPr>
        <w:t>ה</w:t>
      </w:r>
      <w:r w:rsidRPr="009A1FEF">
        <w:rPr>
          <w:rStyle w:val="a8"/>
        </w:rPr>
        <w:fldChar w:fldCharType="end"/>
      </w:r>
      <w:r w:rsidRPr="009A1FEF">
        <w:rPr>
          <w:rFonts w:hint="cs"/>
          <w:rtl/>
        </w:rPr>
        <w:t xml:space="preserve">. בצורת </w:t>
      </w:r>
      <w:proofErr w:type="spellStart"/>
      <w:r w:rsidRPr="009A1FEF">
        <w:rPr>
          <w:rFonts w:hint="cs"/>
          <w:rtl/>
        </w:rPr>
        <w:t>הקנין</w:t>
      </w:r>
      <w:proofErr w:type="spellEnd"/>
      <w:r w:rsidRPr="009A1FEF">
        <w:rPr>
          <w:rFonts w:hint="cs"/>
          <w:rtl/>
        </w:rPr>
        <w:t xml:space="preserve"> הזו </w:t>
      </w:r>
      <w:proofErr w:type="spellStart"/>
      <w:r w:rsidRPr="009A1FEF">
        <w:rPr>
          <w:rFonts w:hint="cs"/>
          <w:rtl/>
        </w:rPr>
        <w:lastRenderedPageBreak/>
        <w:t>האשה</w:t>
      </w:r>
      <w:proofErr w:type="spellEnd"/>
      <w:r w:rsidRPr="009A1FEF">
        <w:rPr>
          <w:rFonts w:hint="cs"/>
          <w:rtl/>
        </w:rPr>
        <w:t xml:space="preserve"> איננה מעודדת את האיש ליפול ברשת </w:t>
      </w:r>
      <w:proofErr w:type="spellStart"/>
      <w:r w:rsidRPr="009A1FEF">
        <w:rPr>
          <w:rFonts w:hint="cs"/>
          <w:rtl/>
        </w:rPr>
        <w:t>התאוה</w:t>
      </w:r>
      <w:proofErr w:type="spellEnd"/>
      <w:r w:rsidRPr="009A1FEF">
        <w:rPr>
          <w:rFonts w:hint="cs"/>
          <w:rtl/>
        </w:rPr>
        <w:t xml:space="preserve"> אליה, ח"ו, אלא היא מרוממת ומיקרת אותו להיות "</w:t>
      </w:r>
      <w:r w:rsidRPr="003D0B62">
        <w:rPr>
          <w:rFonts w:hint="cs"/>
          <w:b/>
          <w:bCs/>
          <w:szCs w:val="28"/>
          <w:rtl/>
        </w:rPr>
        <w:t>אדם חשוב</w:t>
      </w:r>
      <w:r w:rsidRPr="009A1FEF">
        <w:rPr>
          <w:rFonts w:hint="cs"/>
          <w:rtl/>
        </w:rPr>
        <w:t xml:space="preserve">" (העולה </w:t>
      </w:r>
      <w:r w:rsidRPr="009A1FEF">
        <w:rPr>
          <w:rFonts w:hint="cs"/>
          <w:b/>
          <w:bCs/>
          <w:szCs w:val="28"/>
          <w:rtl/>
        </w:rPr>
        <w:t>חוה</w:t>
      </w:r>
      <w:r w:rsidRPr="009A1FEF">
        <w:rPr>
          <w:rFonts w:hint="cs"/>
          <w:rtl/>
        </w:rPr>
        <w:t xml:space="preserve"> בריבוע, לרמז כי חשיבותו של אדם באה דווקא בזכות אשתו). </w:t>
      </w:r>
      <w:proofErr w:type="spellStart"/>
      <w:r w:rsidRPr="009A1FEF">
        <w:rPr>
          <w:rFonts w:hint="cs"/>
          <w:rtl/>
        </w:rPr>
        <w:t>הקנין</w:t>
      </w:r>
      <w:proofErr w:type="spellEnd"/>
      <w:r w:rsidRPr="009A1FEF">
        <w:rPr>
          <w:rFonts w:hint="cs"/>
          <w:rtl/>
        </w:rPr>
        <w:t xml:space="preserve"> בקדושה גורם בכל פעם לאיש הנקנה להתפשט ממציאותו ולהשתחרר מתאוותיו (שהרי </w:t>
      </w:r>
      <w:r w:rsidRPr="009A1FEF">
        <w:rPr>
          <w:rFonts w:hint="cs"/>
          <w:b/>
          <w:bCs/>
          <w:szCs w:val="28"/>
          <w:rtl/>
        </w:rPr>
        <w:t>אדם</w:t>
      </w:r>
      <w:r w:rsidRPr="009A1FEF">
        <w:rPr>
          <w:rFonts w:hint="cs"/>
          <w:rtl/>
        </w:rPr>
        <w:t xml:space="preserve"> </w:t>
      </w:r>
      <w:r w:rsidRPr="009A1FEF">
        <w:rPr>
          <w:rFonts w:hint="cs"/>
          <w:b/>
          <w:bCs/>
          <w:szCs w:val="28"/>
          <w:rtl/>
        </w:rPr>
        <w:t>חשוב</w:t>
      </w:r>
      <w:r w:rsidRPr="009A1FEF">
        <w:rPr>
          <w:rFonts w:hint="cs"/>
          <w:rtl/>
        </w:rPr>
        <w:t xml:space="preserve"> הוא </w:t>
      </w:r>
      <w:r w:rsidRPr="009A1FEF">
        <w:rPr>
          <w:rFonts w:hint="cs"/>
          <w:b/>
          <w:bCs/>
          <w:szCs w:val="28"/>
          <w:rtl/>
        </w:rPr>
        <w:t>נשיא</w:t>
      </w:r>
      <w:r w:rsidRPr="009A1FEF">
        <w:rPr>
          <w:rFonts w:hint="cs"/>
          <w:rtl/>
        </w:rPr>
        <w:t xml:space="preserve">, בו נאמר "אדם חשוב </w:t>
      </w:r>
      <w:r w:rsidRPr="009A1FEF">
        <w:rPr>
          <w:rFonts w:hint="cs"/>
          <w:b/>
          <w:bCs/>
          <w:szCs w:val="28"/>
          <w:rtl/>
        </w:rPr>
        <w:t>שאני</w:t>
      </w:r>
      <w:r w:rsidRPr="009A1FEF">
        <w:rPr>
          <w:rFonts w:hint="cs"/>
          <w:rtl/>
        </w:rPr>
        <w:t>"</w:t>
      </w:r>
      <w:r w:rsidRPr="005316B5">
        <w:rPr>
          <w:rStyle w:val="a8"/>
          <w:rtl/>
        </w:rPr>
        <w:endnoteReference w:id="10"/>
      </w:r>
      <w:r w:rsidRPr="009A1FEF">
        <w:rPr>
          <w:rFonts w:hint="cs"/>
          <w:rtl/>
        </w:rPr>
        <w:t xml:space="preserve"> – ה</w:t>
      </w:r>
      <w:r w:rsidRPr="00E84990">
        <w:rPr>
          <w:rStyle w:val="a5"/>
          <w:rFonts w:hint="cs"/>
          <w:rtl/>
        </w:rPr>
        <w:t>נשיא</w:t>
      </w:r>
      <w:r w:rsidRPr="009A1FEF">
        <w:rPr>
          <w:rFonts w:hint="cs"/>
          <w:rtl/>
        </w:rPr>
        <w:t xml:space="preserve"> שונה מאנשי העולם המכורים לתאוות זרות, הוא רם ו</w:t>
      </w:r>
      <w:r w:rsidRPr="00E84990">
        <w:rPr>
          <w:rStyle w:val="a5"/>
          <w:rFonts w:hint="cs"/>
          <w:rtl/>
        </w:rPr>
        <w:t>מתנשא</w:t>
      </w:r>
      <w:r w:rsidRPr="009A1FEF">
        <w:rPr>
          <w:rFonts w:hint="cs"/>
          <w:rtl/>
        </w:rPr>
        <w:t xml:space="preserve"> מהבלי העולם הזה ותענוגות בני האדם בכל </w:t>
      </w:r>
      <w:proofErr w:type="spellStart"/>
      <w:r w:rsidRPr="009A1FEF">
        <w:rPr>
          <w:rFonts w:hint="cs"/>
          <w:rtl/>
        </w:rPr>
        <w:t>עניניו</w:t>
      </w:r>
      <w:proofErr w:type="spellEnd"/>
      <w:r w:rsidRPr="009A1FEF">
        <w:rPr>
          <w:rFonts w:hint="cs"/>
          <w:rtl/>
        </w:rPr>
        <w:t>, ובפרט בחיי ה</w:t>
      </w:r>
      <w:r w:rsidRPr="00E84990">
        <w:rPr>
          <w:rStyle w:val="a5"/>
          <w:rFonts w:hint="cs"/>
          <w:rtl/>
        </w:rPr>
        <w:t>נישואין</w:t>
      </w:r>
      <w:r w:rsidRPr="009A1FEF">
        <w:rPr>
          <w:rFonts w:hint="cs"/>
          <w:rtl/>
        </w:rPr>
        <w:t xml:space="preserve"> שלו). </w:t>
      </w:r>
    </w:p>
    <w:p w:rsidR="00F6211F" w:rsidRDefault="00F6211F" w:rsidP="00F6211F">
      <w:pPr>
        <w:rPr>
          <w:rtl/>
        </w:rPr>
      </w:pPr>
      <w:r>
        <w:rPr>
          <w:rFonts w:hint="cs"/>
          <w:rtl/>
        </w:rPr>
        <w:t xml:space="preserve">ככל שתהליך זה נמשך משתחררת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מקללת "והוא </w:t>
      </w:r>
      <w:proofErr w:type="spellStart"/>
      <w:r>
        <w:rPr>
          <w:rFonts w:hint="cs"/>
          <w:rtl/>
        </w:rPr>
        <w:t>ימש</w:t>
      </w:r>
      <w:r w:rsidRPr="005964F5">
        <w:rPr>
          <w:rFonts w:hint="cs"/>
          <w:spacing w:val="-10"/>
          <w:rtl/>
        </w:rPr>
        <w:t>ֹ</w:t>
      </w:r>
      <w:r>
        <w:rPr>
          <w:rFonts w:hint="cs"/>
          <w:rtl/>
        </w:rPr>
        <w:t>ל</w:t>
      </w:r>
      <w:proofErr w:type="spellEnd"/>
      <w:r>
        <w:rPr>
          <w:rFonts w:hint="cs"/>
          <w:rtl/>
        </w:rPr>
        <w:t xml:space="preserve"> בך" </w:t>
      </w:r>
      <w:proofErr w:type="spellStart"/>
      <w:r>
        <w:rPr>
          <w:rFonts w:hint="cs"/>
          <w:rtl/>
        </w:rPr>
        <w:t>לגריעותא</w:t>
      </w:r>
      <w:proofErr w:type="spellEnd"/>
      <w:r>
        <w:rPr>
          <w:rFonts w:hint="cs"/>
          <w:rtl/>
        </w:rPr>
        <w:t xml:space="preserve"> (ללא שתאבד את שמחת "ואל אישך תשוקתך"), וממשלתו של האיש המופשט היא בכך שהוא מושל משלים ודורש דרשות </w:t>
      </w:r>
      <w:proofErr w:type="spellStart"/>
      <w:r>
        <w:rPr>
          <w:rFonts w:hint="cs"/>
          <w:rtl/>
        </w:rPr>
        <w:t>אלקיות</w:t>
      </w:r>
      <w:proofErr w:type="spellEnd"/>
      <w:r>
        <w:rPr>
          <w:rFonts w:hint="cs"/>
          <w:rtl/>
        </w:rPr>
        <w:t xml:space="preserve"> מתוך התבוננות באשתו</w:t>
      </w:r>
      <w:r w:rsidRPr="005316B5">
        <w:rPr>
          <w:rStyle w:val="a8"/>
          <w:rtl/>
        </w:rPr>
        <w:endnoteReference w:id="11"/>
      </w:r>
      <w:r>
        <w:rPr>
          <w:rFonts w:hint="cs"/>
          <w:rtl/>
        </w:rPr>
        <w:t xml:space="preserve"> (וכמובן, הן ההפשטה והן לקיחת המשל </w:t>
      </w:r>
      <w:proofErr w:type="spellStart"/>
      <w:r>
        <w:rPr>
          <w:rFonts w:hint="cs"/>
          <w:rtl/>
        </w:rPr>
        <w:t>מהאשה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לעניני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האלקות</w:t>
      </w:r>
      <w:proofErr w:type="spellEnd"/>
      <w:r>
        <w:rPr>
          <w:rFonts w:hint="cs"/>
          <w:rtl/>
        </w:rPr>
        <w:t xml:space="preserve"> מופיעות בפירוש בסיפור המבואר כאן אודות אדמו"ר הזקן). כמובן, ככל שממשלתו של האיש נעשית רוחנית ומופשטת יותר, כך ממשלתה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מוחשית יותר </w:t>
      </w:r>
      <w:r>
        <w:rPr>
          <w:rtl/>
        </w:rPr>
        <w:t>–</w:t>
      </w:r>
      <w:r>
        <w:rPr>
          <w:rFonts w:hint="eastAsia"/>
          <w:rtl/>
        </w:rPr>
        <w:t xml:space="preserve"> היא מרוממת את בעלה, ותוך כך היא לוקחת אחריות על האחיזה במציאות, ומטה לכיוונה יותר ויותר את כף המאזניים של </w:t>
      </w:r>
      <w:r>
        <w:rPr>
          <w:rFonts w:hint="cs"/>
          <w:rtl/>
        </w:rPr>
        <w:t xml:space="preserve">"וישלטו בנכסיהם </w:t>
      </w:r>
      <w:proofErr w:type="spellStart"/>
      <w:r>
        <w:rPr>
          <w:rFonts w:hint="cs"/>
          <w:rtl/>
        </w:rPr>
        <w:t>שוה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בשוה</w:t>
      </w:r>
      <w:proofErr w:type="spellEnd"/>
      <w:r>
        <w:rPr>
          <w:rFonts w:hint="cs"/>
          <w:rtl/>
        </w:rPr>
        <w:t>"</w:t>
      </w:r>
      <w:r w:rsidRPr="005316B5">
        <w:rPr>
          <w:rStyle w:val="a8"/>
          <w:rtl/>
        </w:rPr>
        <w:endnoteReference w:id="12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 שבעלה נעשה "שלה" בשלמות, גם </w:t>
      </w:r>
      <w:proofErr w:type="spellStart"/>
      <w:r>
        <w:rPr>
          <w:rFonts w:hint="cs"/>
          <w:rtl/>
        </w:rPr>
        <w:t>בקניני</w:t>
      </w:r>
      <w:proofErr w:type="spellEnd"/>
      <w:r>
        <w:rPr>
          <w:rFonts w:hint="cs"/>
          <w:rtl/>
        </w:rPr>
        <w:t xml:space="preserve"> העולם (ובכך באה השלמה מלאה לקידושין, בהם חשוב היה כי קנין האיש את אשתו יחדור גם למציאות המוחשית של קניני העולם</w:t>
      </w:r>
      <w:r w:rsidRPr="00B40AAD">
        <w:rPr>
          <w:rStyle w:val="a8"/>
        </w:rPr>
        <w:fldChar w:fldCharType="begin"/>
      </w:r>
      <w:r w:rsidRPr="00B40AAD">
        <w:rPr>
          <w:rStyle w:val="a8"/>
          <w:rtl/>
        </w:rPr>
        <w:instrText xml:space="preserve"> </w:instrText>
      </w:r>
      <w:r w:rsidRPr="00B40AAD">
        <w:rPr>
          <w:rStyle w:val="a8"/>
          <w:rFonts w:hint="cs"/>
        </w:rPr>
        <w:instrText>NOTEREF</w:instrText>
      </w:r>
      <w:r w:rsidRPr="00B40AAD">
        <w:rPr>
          <w:rStyle w:val="a8"/>
          <w:rFonts w:hint="cs"/>
          <w:rtl/>
        </w:rPr>
        <w:instrText xml:space="preserve"> _</w:instrText>
      </w:r>
      <w:r w:rsidRPr="00B40AAD">
        <w:rPr>
          <w:rStyle w:val="a8"/>
          <w:rFonts w:hint="cs"/>
        </w:rPr>
        <w:instrText>Ref144821342 \h</w:instrText>
      </w:r>
      <w:r w:rsidRPr="00B40AAD">
        <w:rPr>
          <w:rStyle w:val="a8"/>
          <w:rtl/>
        </w:rPr>
        <w:instrText xml:space="preserve"> </w:instrText>
      </w:r>
      <w:r w:rsidRPr="00B40AAD">
        <w:rPr>
          <w:rStyle w:val="a8"/>
        </w:rPr>
      </w:r>
      <w:r>
        <w:rPr>
          <w:rStyle w:val="a8"/>
        </w:rPr>
        <w:instrText xml:space="preserve"> \* MERGEFORMAT </w:instrText>
      </w:r>
      <w:r w:rsidRPr="00B40AAD">
        <w:rPr>
          <w:rStyle w:val="a8"/>
        </w:rPr>
        <w:fldChar w:fldCharType="separate"/>
      </w:r>
      <w:r>
        <w:rPr>
          <w:rStyle w:val="a8"/>
          <w:rtl/>
        </w:rPr>
        <w:t>ה</w:t>
      </w:r>
      <w:r w:rsidRPr="00B40AAD">
        <w:rPr>
          <w:rStyle w:val="a8"/>
        </w:rPr>
        <w:fldChar w:fldCharType="end"/>
      </w:r>
      <w:r>
        <w:rPr>
          <w:rFonts w:hint="cs"/>
          <w:rtl/>
        </w:rPr>
        <w:t>).</w:t>
      </w:r>
    </w:p>
    <w:p w:rsidR="005F4A47" w:rsidRDefault="005F723A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3A" w:rsidRDefault="005F723A" w:rsidP="00F6211F">
      <w:pPr>
        <w:spacing w:after="0" w:line="240" w:lineRule="auto"/>
      </w:pPr>
      <w:r>
        <w:separator/>
      </w:r>
    </w:p>
  </w:endnote>
  <w:endnote w:type="continuationSeparator" w:id="0">
    <w:p w:rsidR="005F723A" w:rsidRDefault="005F723A" w:rsidP="00F6211F">
      <w:pPr>
        <w:spacing w:after="0" w:line="240" w:lineRule="auto"/>
      </w:pPr>
      <w:r>
        <w:continuationSeparator/>
      </w:r>
    </w:p>
  </w:endnote>
  <w:endnote w:id="1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 שבט.</w:t>
      </w:r>
    </w:p>
  </w:endnote>
  <w:endnote w:id="2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ג, יא.</w:t>
      </w:r>
    </w:p>
  </w:endnote>
  <w:endnote w:id="3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ד.</w:t>
      </w:r>
    </w:p>
  </w:endnote>
  <w:endnote w:id="4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י.</w:t>
      </w:r>
    </w:p>
  </w:endnote>
  <w:endnote w:id="5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בתורה הקודמת </w:t>
      </w:r>
      <w:r>
        <w:rPr>
          <w:rtl/>
        </w:rPr>
        <w:t>–</w:t>
      </w:r>
      <w:r>
        <w:rPr>
          <w:rFonts w:hint="cs"/>
          <w:rtl/>
        </w:rPr>
        <w:t xml:space="preserve"> "מקידושין לנישואין".</w:t>
      </w:r>
    </w:p>
  </w:endnote>
  <w:endnote w:id="6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אמת ואמונה אות צו.</w:t>
      </w:r>
    </w:p>
  </w:endnote>
  <w:endnote w:id="7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ג,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8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אמת ואמונה אות תריב (וראה בהקדמת שכינה ביניהם הערה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).</w:t>
      </w:r>
    </w:p>
  </w:endnote>
  <w:endnote w:id="9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רש"י לשמות כ,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 (וכן דברים ה,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).</w:t>
      </w:r>
    </w:p>
  </w:endnote>
  <w:endnote w:id="10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א ובריבוי מקומות.</w:t>
      </w:r>
    </w:p>
  </w:endnote>
  <w:endnote w:id="11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הקדמת שכינה ביניהם (עמ' לח, ושם בהערה יד).</w:t>
      </w:r>
    </w:p>
  </w:endnote>
  <w:endnote w:id="12">
    <w:p w:rsidR="00F6211F" w:rsidRDefault="00F6211F" w:rsidP="00F6211F">
      <w:pPr>
        <w:pStyle w:val="a6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מתוך נוסח הכתובה.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3A" w:rsidRDefault="005F723A" w:rsidP="00F6211F">
      <w:pPr>
        <w:spacing w:after="0" w:line="240" w:lineRule="auto"/>
      </w:pPr>
      <w:r>
        <w:separator/>
      </w:r>
    </w:p>
  </w:footnote>
  <w:footnote w:type="continuationSeparator" w:id="0">
    <w:p w:rsidR="005F723A" w:rsidRDefault="005F723A" w:rsidP="00F62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6D"/>
    <w:rsid w:val="00061E65"/>
    <w:rsid w:val="005F723A"/>
    <w:rsid w:val="00AC2310"/>
    <w:rsid w:val="00CE156D"/>
    <w:rsid w:val="00F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6211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6211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6211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Quote"/>
    <w:basedOn w:val="a"/>
    <w:link w:val="a4"/>
    <w:qFormat/>
    <w:rsid w:val="00F6211F"/>
    <w:pPr>
      <w:spacing w:before="120" w:line="340" w:lineRule="exact"/>
      <w:ind w:left="907"/>
      <w:contextualSpacing/>
    </w:pPr>
    <w:rPr>
      <w:rFonts w:cs="Guttman Soncino"/>
      <w:noProof/>
      <w:snapToGrid w:val="0"/>
      <w:sz w:val="23"/>
      <w:szCs w:val="22"/>
      <w:lang w:eastAsia="en-US"/>
    </w:rPr>
  </w:style>
  <w:style w:type="character" w:customStyle="1" w:styleId="a4">
    <w:name w:val="ציטוט תו"/>
    <w:basedOn w:val="a0"/>
    <w:link w:val="a3"/>
    <w:rsid w:val="00F6211F"/>
    <w:rPr>
      <w:rFonts w:ascii="Times New Roman" w:eastAsia="Times New Roman" w:hAnsi="Times New Roman" w:cs="Guttman Soncino"/>
      <w:noProof/>
      <w:snapToGrid w:val="0"/>
      <w:sz w:val="23"/>
    </w:rPr>
  </w:style>
  <w:style w:type="character" w:customStyle="1" w:styleId="a5">
    <w:name w:val="מרים"/>
    <w:basedOn w:val="a0"/>
    <w:rsid w:val="00F6211F"/>
    <w:rPr>
      <w:rFonts w:cs="Miriam"/>
      <w:w w:val="100"/>
      <w:sz w:val="21"/>
      <w:szCs w:val="23"/>
    </w:rPr>
  </w:style>
  <w:style w:type="paragraph" w:styleId="a6">
    <w:name w:val="endnote text"/>
    <w:aliases w:val="Endnote Text"/>
    <w:basedOn w:val="a"/>
    <w:link w:val="a7"/>
    <w:autoRedefine/>
    <w:semiHidden/>
    <w:rsid w:val="00F6211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7">
    <w:name w:val="טקסט הערת סיום תו"/>
    <w:basedOn w:val="a0"/>
    <w:link w:val="a6"/>
    <w:semiHidden/>
    <w:rsid w:val="00F6211F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8">
    <w:name w:val="endnote reference"/>
    <w:aliases w:val="Endnote Reference"/>
    <w:basedOn w:val="a9"/>
    <w:semiHidden/>
    <w:rsid w:val="00F6211F"/>
    <w:rPr>
      <w:noProof/>
      <w:position w:val="-4"/>
      <w:szCs w:val="27"/>
      <w:vertAlign w:val="superscript"/>
    </w:rPr>
  </w:style>
  <w:style w:type="paragraph" w:customStyle="1" w:styleId="aa">
    <w:name w:val="פתיח תו"/>
    <w:basedOn w:val="a"/>
    <w:link w:val="ab"/>
    <w:rsid w:val="00F6211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b">
    <w:name w:val="פתיח תו תו"/>
    <w:basedOn w:val="a0"/>
    <w:link w:val="aa"/>
    <w:rsid w:val="00F6211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9">
    <w:name w:val="footnote reference"/>
    <w:basedOn w:val="a0"/>
    <w:uiPriority w:val="99"/>
    <w:semiHidden/>
    <w:unhideWhenUsed/>
    <w:rsid w:val="00F621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6211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6211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6211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Quote"/>
    <w:basedOn w:val="a"/>
    <w:link w:val="a4"/>
    <w:qFormat/>
    <w:rsid w:val="00F6211F"/>
    <w:pPr>
      <w:spacing w:before="120" w:line="340" w:lineRule="exact"/>
      <w:ind w:left="907"/>
      <w:contextualSpacing/>
    </w:pPr>
    <w:rPr>
      <w:rFonts w:cs="Guttman Soncino"/>
      <w:noProof/>
      <w:snapToGrid w:val="0"/>
      <w:sz w:val="23"/>
      <w:szCs w:val="22"/>
      <w:lang w:eastAsia="en-US"/>
    </w:rPr>
  </w:style>
  <w:style w:type="character" w:customStyle="1" w:styleId="a4">
    <w:name w:val="ציטוט תו"/>
    <w:basedOn w:val="a0"/>
    <w:link w:val="a3"/>
    <w:rsid w:val="00F6211F"/>
    <w:rPr>
      <w:rFonts w:ascii="Times New Roman" w:eastAsia="Times New Roman" w:hAnsi="Times New Roman" w:cs="Guttman Soncino"/>
      <w:noProof/>
      <w:snapToGrid w:val="0"/>
      <w:sz w:val="23"/>
    </w:rPr>
  </w:style>
  <w:style w:type="character" w:customStyle="1" w:styleId="a5">
    <w:name w:val="מרים"/>
    <w:basedOn w:val="a0"/>
    <w:rsid w:val="00F6211F"/>
    <w:rPr>
      <w:rFonts w:cs="Miriam"/>
      <w:w w:val="100"/>
      <w:sz w:val="21"/>
      <w:szCs w:val="23"/>
    </w:rPr>
  </w:style>
  <w:style w:type="paragraph" w:styleId="a6">
    <w:name w:val="endnote text"/>
    <w:aliases w:val="Endnote Text"/>
    <w:basedOn w:val="a"/>
    <w:link w:val="a7"/>
    <w:autoRedefine/>
    <w:semiHidden/>
    <w:rsid w:val="00F6211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7">
    <w:name w:val="טקסט הערת סיום תו"/>
    <w:basedOn w:val="a0"/>
    <w:link w:val="a6"/>
    <w:semiHidden/>
    <w:rsid w:val="00F6211F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8">
    <w:name w:val="endnote reference"/>
    <w:aliases w:val="Endnote Reference"/>
    <w:basedOn w:val="a9"/>
    <w:semiHidden/>
    <w:rsid w:val="00F6211F"/>
    <w:rPr>
      <w:noProof/>
      <w:position w:val="-4"/>
      <w:szCs w:val="27"/>
      <w:vertAlign w:val="superscript"/>
    </w:rPr>
  </w:style>
  <w:style w:type="paragraph" w:customStyle="1" w:styleId="aa">
    <w:name w:val="פתיח תו"/>
    <w:basedOn w:val="a"/>
    <w:link w:val="ab"/>
    <w:rsid w:val="00F6211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b">
    <w:name w:val="פתיח תו תו"/>
    <w:basedOn w:val="a0"/>
    <w:link w:val="aa"/>
    <w:rsid w:val="00F6211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9">
    <w:name w:val="footnote reference"/>
    <w:basedOn w:val="a0"/>
    <w:uiPriority w:val="99"/>
    <w:semiHidden/>
    <w:unhideWhenUsed/>
    <w:rsid w:val="00F621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2;&#1488;&#1513;&#1493;&#1503;%20&#1511;&#1491;&#1513;%20&#1492;&#1511;&#1497;&#1491;&#1493;&#1513;&#1497;&#1503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2017-08-14T22:36:00Z</dcterms:created>
  <dcterms:modified xsi:type="dcterms:W3CDTF">2017-08-14T22:37:00Z</dcterms:modified>
</cp:coreProperties>
</file>