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55F" w:rsidRPr="000A2158" w:rsidRDefault="00EA655F" w:rsidP="00EA655F">
      <w:pPr>
        <w:pStyle w:val="2"/>
        <w:rPr>
          <w:rFonts w:hint="cs"/>
          <w:rtl/>
        </w:rPr>
      </w:pPr>
      <w:bookmarkStart w:id="0" w:name="_Toc145068670"/>
      <w:bookmarkStart w:id="1" w:name="_Ref145068931"/>
      <w:r>
        <w:rPr>
          <w:w w:val="100"/>
          <w:rtl/>
        </w:rPr>
        <w:drawing>
          <wp:anchor distT="0" distB="0" distL="114300" distR="114300" simplePos="0" relativeHeight="251659264" behindDoc="1" locked="0" layoutInCell="1" allowOverlap="1">
            <wp:simplePos x="0" y="0"/>
            <wp:positionH relativeFrom="column">
              <wp:posOffset>3204210</wp:posOffset>
            </wp:positionH>
            <wp:positionV relativeFrom="paragraph">
              <wp:posOffset>696595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קידושין במחשבה ד</w:t>
      </w:r>
      <w:r w:rsidRPr="000A2158">
        <w:rPr>
          <w:rFonts w:hint="cs"/>
          <w:rtl/>
        </w:rPr>
        <w:t>בור</w:t>
      </w:r>
      <w:r>
        <w:rPr>
          <w:rFonts w:hint="eastAsia"/>
          <w:rtl/>
        </w:rPr>
        <w:t> </w:t>
      </w:r>
      <w:r w:rsidRPr="000A2158">
        <w:rPr>
          <w:rFonts w:hint="cs"/>
          <w:rtl/>
        </w:rPr>
        <w:t>ומעשה</w:t>
      </w:r>
      <w:bookmarkEnd w:id="0"/>
      <w:bookmarkEnd w:id="1"/>
    </w:p>
    <w:p w:rsidR="00EA655F" w:rsidRPr="00EA66B1" w:rsidRDefault="00EA655F" w:rsidP="00EA655F">
      <w:pPr>
        <w:keepNext/>
        <w:framePr w:dropCap="drop" w:lines="2" w:hSpace="57" w:wrap="around" w:vAnchor="text" w:hAnchor="text" w:xAlign="right"/>
        <w:spacing w:after="0" w:line="760" w:lineRule="exact"/>
        <w:textAlignment w:val="baseline"/>
        <w:rPr>
          <w:rStyle w:val="aa"/>
          <w:rtl/>
        </w:rPr>
      </w:pPr>
      <w:r w:rsidRPr="00EA66B1">
        <w:rPr>
          <w:rStyle w:val="aa"/>
          <w:rtl/>
        </w:rPr>
        <w:t>ה</w:t>
      </w:r>
    </w:p>
    <w:p w:rsidR="00EA655F" w:rsidRDefault="00EA655F" w:rsidP="00EA655F">
      <w:pPr>
        <w:rPr>
          <w:rFonts w:hint="cs"/>
          <w:rtl/>
        </w:rPr>
      </w:pPr>
      <w:r>
        <w:rPr>
          <w:rtl/>
        </w:rPr>
        <w:t xml:space="preserve">זיקה העמוקה בין האיש לאשתו נוצרת בקידושין, </w:t>
      </w:r>
      <w:proofErr w:type="spellStart"/>
      <w:r>
        <w:rPr>
          <w:rtl/>
        </w:rPr>
        <w:t>כשהאשה</w:t>
      </w:r>
      <w:proofErr w:type="spellEnd"/>
      <w:r>
        <w:rPr>
          <w:rtl/>
        </w:rPr>
        <w:t xml:space="preserve"> מתקדשת </w:t>
      </w:r>
      <w:proofErr w:type="spellStart"/>
      <w:r>
        <w:rPr>
          <w:rtl/>
        </w:rPr>
        <w:t>ומתיחדת</w:t>
      </w:r>
      <w:proofErr w:type="spellEnd"/>
      <w:r>
        <w:rPr>
          <w:rtl/>
        </w:rPr>
        <w:t xml:space="preserve"> לאיש. אכן, באחרונים</w:t>
      </w:r>
      <w:r w:rsidRPr="005316B5">
        <w:rPr>
          <w:rStyle w:val="a7"/>
          <w:rtl/>
        </w:rPr>
        <w:endnoteReference w:id="1"/>
      </w:r>
      <w:r>
        <w:rPr>
          <w:rtl/>
        </w:rPr>
        <w:t xml:space="preserve"> מובאת </w:t>
      </w:r>
      <w:proofErr w:type="spellStart"/>
      <w:r>
        <w:rPr>
          <w:rtl/>
        </w:rPr>
        <w:t>הסברא</w:t>
      </w:r>
      <w:proofErr w:type="spellEnd"/>
      <w:r>
        <w:rPr>
          <w:rtl/>
        </w:rPr>
        <w:t xml:space="preserve"> שהקידושין הם "פעולה נמשכת" – שאין מדובר במעשה חד-פעמי אלא בזיקה המתחדשת בכל רגע. לפי </w:t>
      </w:r>
      <w:r>
        <w:rPr>
          <w:rFonts w:hint="cs"/>
          <w:rtl/>
        </w:rPr>
        <w:t xml:space="preserve">תורת </w:t>
      </w:r>
      <w:r>
        <w:rPr>
          <w:rtl/>
        </w:rPr>
        <w:t>הקבלה וודאי שכך הם פני הדברים</w:t>
      </w:r>
      <w:r>
        <w:rPr>
          <w:rFonts w:hint="cs"/>
          <w:rtl/>
        </w:rPr>
        <w:t xml:space="preserve"> –</w:t>
      </w:r>
      <w:r>
        <w:rPr>
          <w:rtl/>
        </w:rPr>
        <w:t xml:space="preserve"> כשם </w:t>
      </w:r>
      <w:r>
        <w:rPr>
          <w:rFonts w:hint="cs"/>
          <w:rtl/>
        </w:rPr>
        <w:t>ש</w:t>
      </w:r>
      <w:r w:rsidRPr="00E84990">
        <w:rPr>
          <w:rStyle w:val="a3"/>
          <w:rFonts w:hint="cs"/>
          <w:rtl/>
        </w:rPr>
        <w:t>הוי</w:t>
      </w:r>
      <w:r>
        <w:rPr>
          <w:rFonts w:hint="cs"/>
          <w:rtl/>
        </w:rPr>
        <w:t>' ב"ה</w:t>
      </w:r>
      <w:r>
        <w:rPr>
          <w:rtl/>
        </w:rPr>
        <w:t xml:space="preserve"> "קונה </w:t>
      </w:r>
      <w:proofErr w:type="spellStart"/>
      <w:r>
        <w:rPr>
          <w:rtl/>
        </w:rPr>
        <w:t>הכל</w:t>
      </w:r>
      <w:proofErr w:type="spellEnd"/>
      <w:r>
        <w:rPr>
          <w:rtl/>
        </w:rPr>
        <w:t>"</w:t>
      </w:r>
      <w:r w:rsidRPr="005316B5">
        <w:rPr>
          <w:rStyle w:val="a7"/>
          <w:rtl/>
        </w:rPr>
        <w:endnoteReference w:id="2"/>
      </w:r>
      <w:r>
        <w:rPr>
          <w:rtl/>
        </w:rPr>
        <w:t xml:space="preserve"> בכך שהוא </w:t>
      </w:r>
      <w:r w:rsidRPr="00E84990">
        <w:rPr>
          <w:rStyle w:val="a3"/>
          <w:rFonts w:hint="cs"/>
          <w:rtl/>
        </w:rPr>
        <w:t>מהוה</w:t>
      </w:r>
      <w:r>
        <w:rPr>
          <w:rFonts w:hint="cs"/>
          <w:rtl/>
        </w:rPr>
        <w:t xml:space="preserve"> את העולם באופן תמידי, בכל רגע ורגע ("המחדש בטובו בכל יום תמיד מעשה בראשית"</w:t>
      </w:r>
      <w:r w:rsidRPr="005316B5">
        <w:rPr>
          <w:rStyle w:val="a7"/>
          <w:rtl/>
        </w:rPr>
        <w:endnoteReference w:id="3"/>
      </w:r>
      <w:r>
        <w:rPr>
          <w:rFonts w:hint="cs"/>
          <w:rtl/>
        </w:rPr>
        <w:t>)</w:t>
      </w:r>
      <w:r>
        <w:rPr>
          <w:rtl/>
        </w:rPr>
        <w:t xml:space="preserve">, כך קנין הקידושין חל בשל חידוש תמידי </w:t>
      </w:r>
      <w:proofErr w:type="spellStart"/>
      <w:r>
        <w:rPr>
          <w:rtl/>
        </w:rPr>
        <w:t>בהויתו</w:t>
      </w:r>
      <w:proofErr w:type="spellEnd"/>
      <w:r>
        <w:rPr>
          <w:rtl/>
        </w:rPr>
        <w:t xml:space="preserve"> (וכן נקראו הקידושין </w:t>
      </w:r>
      <w:r>
        <w:rPr>
          <w:rFonts w:hint="cs"/>
          <w:rtl/>
        </w:rPr>
        <w:t>עצמם</w:t>
      </w:r>
      <w:r>
        <w:rPr>
          <w:rtl/>
        </w:rPr>
        <w:t xml:space="preserve"> </w:t>
      </w:r>
      <w:r>
        <w:rPr>
          <w:rFonts w:hint="cs"/>
          <w:rtl/>
        </w:rPr>
        <w:t>"</w:t>
      </w:r>
      <w:r w:rsidRPr="00E84990">
        <w:rPr>
          <w:rStyle w:val="a3"/>
          <w:rtl/>
        </w:rPr>
        <w:t>הויה</w:t>
      </w:r>
      <w:r>
        <w:rPr>
          <w:rFonts w:hint="cs"/>
          <w:rtl/>
        </w:rPr>
        <w:t>"</w:t>
      </w:r>
      <w:r w:rsidRPr="005316B5">
        <w:rPr>
          <w:rStyle w:val="a7"/>
          <w:rtl/>
        </w:rPr>
        <w:endnoteReference w:id="4"/>
      </w:r>
      <w:r>
        <w:rPr>
          <w:rtl/>
        </w:rPr>
        <w:t>). לפיכך, יש למצוא מהי הדרך לחדש תמיד את קשר הקידושין, בבחינת "</w:t>
      </w:r>
      <w:proofErr w:type="spellStart"/>
      <w:r>
        <w:rPr>
          <w:rtl/>
        </w:rPr>
        <w:t>וארשתיך</w:t>
      </w:r>
      <w:proofErr w:type="spellEnd"/>
      <w:r>
        <w:rPr>
          <w:rtl/>
        </w:rPr>
        <w:t xml:space="preserve"> לי לעולם"</w:t>
      </w:r>
      <w:r w:rsidRPr="005316B5">
        <w:rPr>
          <w:rStyle w:val="a7"/>
          <w:rtl/>
        </w:rPr>
        <w:endnoteReference w:id="5"/>
      </w:r>
      <w:r>
        <w:rPr>
          <w:rtl/>
        </w:rPr>
        <w:t xml:space="preserve">. </w:t>
      </w:r>
    </w:p>
    <w:p w:rsidR="00EA655F" w:rsidRPr="009A1FEF" w:rsidRDefault="00EA655F" w:rsidP="00EA655F">
      <w:pPr>
        <w:rPr>
          <w:rFonts w:hint="cs"/>
          <w:rtl/>
        </w:rPr>
      </w:pPr>
      <w:r>
        <w:rPr>
          <w:rtl/>
        </w:rPr>
        <w:t>לגבי עצם מעשה הקידושין נאמר: "</w:t>
      </w:r>
      <w:proofErr w:type="spellStart"/>
      <w:r>
        <w:rPr>
          <w:rtl/>
        </w:rPr>
        <w:t>האשה</w:t>
      </w:r>
      <w:proofErr w:type="spellEnd"/>
      <w:r>
        <w:rPr>
          <w:rtl/>
        </w:rPr>
        <w:t xml:space="preserve"> נקנית בשלש דרכים… בכסף בשטר ובביאה"</w:t>
      </w:r>
      <w:r w:rsidRPr="005316B5">
        <w:rPr>
          <w:rStyle w:val="a7"/>
          <w:rtl/>
        </w:rPr>
        <w:endnoteReference w:id="6"/>
      </w:r>
      <w:r>
        <w:rPr>
          <w:rtl/>
        </w:rPr>
        <w:t>. שלש דרכים אלו רומזות לשלשת לבושי הנפש – מחשבה, דבור ומעשה – כפי ששלשתם מתגלים בלבוש המעשה. ה</w:t>
      </w:r>
      <w:r w:rsidRPr="00E84990">
        <w:rPr>
          <w:rStyle w:val="a3"/>
          <w:rtl/>
        </w:rPr>
        <w:t>כסף</w:t>
      </w:r>
      <w:r>
        <w:rPr>
          <w:rtl/>
        </w:rPr>
        <w:t xml:space="preserve"> רומז ל</w:t>
      </w:r>
      <w:r w:rsidRPr="00E84990">
        <w:rPr>
          <w:rStyle w:val="a3"/>
          <w:rtl/>
        </w:rPr>
        <w:t>כיסופי</w:t>
      </w:r>
      <w:r>
        <w:rPr>
          <w:rtl/>
        </w:rPr>
        <w:t xml:space="preserve"> הלב שבמחשבה (וכן כסף הוא הפשטה וחישוב של ערך כל דבר גשמי); השטר, שכל </w:t>
      </w:r>
      <w:r w:rsidRPr="009A1FEF">
        <w:rPr>
          <w:rtl/>
        </w:rPr>
        <w:t>משמעותו היא המלה הכתובה (כ</w:t>
      </w:r>
      <w:r>
        <w:rPr>
          <w:rtl/>
        </w:rPr>
        <w:t>שלגוף השטר אין כל ערך), רומז לד</w:t>
      </w:r>
      <w:r w:rsidRPr="009A1FEF">
        <w:rPr>
          <w:rtl/>
        </w:rPr>
        <w:t>בור</w:t>
      </w:r>
      <w:r w:rsidRPr="009A1FEF">
        <w:rPr>
          <w:rFonts w:hint="cs"/>
          <w:rtl/>
        </w:rPr>
        <w:t xml:space="preserve"> (כשהוא אף בא כתחל</w:t>
      </w:r>
      <w:r>
        <w:rPr>
          <w:rFonts w:hint="cs"/>
          <w:rtl/>
        </w:rPr>
        <w:t>יף לד</w:t>
      </w:r>
      <w:r w:rsidRPr="009A1FEF">
        <w:rPr>
          <w:rFonts w:hint="cs"/>
          <w:rtl/>
        </w:rPr>
        <w:t xml:space="preserve">בור, שהרי </w:t>
      </w:r>
      <w:r w:rsidRPr="009A1FEF">
        <w:rPr>
          <w:rFonts w:hint="eastAsia"/>
          <w:rtl/>
        </w:rPr>
        <w:t xml:space="preserve">– </w:t>
      </w:r>
      <w:r w:rsidRPr="009A1FEF">
        <w:rPr>
          <w:rFonts w:hint="cs"/>
          <w:rtl/>
        </w:rPr>
        <w:t xml:space="preserve">שלא כמו בקידושי כסף או ביאה </w:t>
      </w:r>
      <w:r w:rsidRPr="009A1FEF">
        <w:rPr>
          <w:rFonts w:hint="eastAsia"/>
          <w:rtl/>
        </w:rPr>
        <w:t xml:space="preserve">– </w:t>
      </w:r>
      <w:r w:rsidRPr="009A1FEF">
        <w:rPr>
          <w:rFonts w:hint="cs"/>
          <w:rtl/>
        </w:rPr>
        <w:t>די במסירת השטר ואין צורך גם לומר "הרי את מקודשת לי")</w:t>
      </w:r>
      <w:r w:rsidRPr="009A1FEF">
        <w:rPr>
          <w:rtl/>
        </w:rPr>
        <w:t xml:space="preserve">; הביאה היא עצם המעשה שבקידושין – עליו נאמר "אין </w:t>
      </w:r>
      <w:proofErr w:type="spellStart"/>
      <w:r w:rsidRPr="009A1FEF">
        <w:rPr>
          <w:rtl/>
        </w:rPr>
        <w:t>האשה</w:t>
      </w:r>
      <w:proofErr w:type="spellEnd"/>
      <w:r w:rsidRPr="009A1FEF">
        <w:rPr>
          <w:rtl/>
        </w:rPr>
        <w:t xml:space="preserve"> כורתת ברית אלא למי </w:t>
      </w:r>
      <w:proofErr w:type="spellStart"/>
      <w:r w:rsidRPr="009A1FEF">
        <w:rPr>
          <w:rtl/>
        </w:rPr>
        <w:t>ש</w:t>
      </w:r>
      <w:r w:rsidRPr="00E84990">
        <w:rPr>
          <w:rStyle w:val="a3"/>
          <w:rtl/>
        </w:rPr>
        <w:t>עשאה</w:t>
      </w:r>
      <w:proofErr w:type="spellEnd"/>
      <w:r w:rsidRPr="009A1FEF">
        <w:rPr>
          <w:rtl/>
        </w:rPr>
        <w:t xml:space="preserve"> כלי</w:t>
      </w:r>
      <w:r w:rsidRPr="009A1FEF">
        <w:rPr>
          <w:rFonts w:hint="cs"/>
          <w:rtl/>
        </w:rPr>
        <w:t>, שנאמר 'כי ב</w:t>
      </w:r>
      <w:r w:rsidRPr="005964F5">
        <w:rPr>
          <w:rFonts w:hint="cs"/>
          <w:spacing w:val="-10"/>
          <w:rtl/>
        </w:rPr>
        <w:t>ֹ</w:t>
      </w:r>
      <w:r w:rsidRPr="009A1FEF">
        <w:rPr>
          <w:rFonts w:hint="cs"/>
          <w:rtl/>
        </w:rPr>
        <w:t xml:space="preserve">עליך </w:t>
      </w:r>
      <w:r w:rsidRPr="00E84990">
        <w:rPr>
          <w:rStyle w:val="a3"/>
          <w:rFonts w:hint="cs"/>
          <w:rtl/>
        </w:rPr>
        <w:t>עֹשיך</w:t>
      </w:r>
      <w:r w:rsidRPr="009A1FEF">
        <w:rPr>
          <w:rFonts w:hint="cs"/>
          <w:rtl/>
        </w:rPr>
        <w:t xml:space="preserve"> הוי' צבאות שמו'</w:t>
      </w:r>
      <w:r w:rsidRPr="005316B5">
        <w:rPr>
          <w:rStyle w:val="a7"/>
          <w:rtl/>
        </w:rPr>
        <w:endnoteReference w:id="7"/>
      </w:r>
      <w:r w:rsidRPr="009A1FEF">
        <w:rPr>
          <w:rtl/>
        </w:rPr>
        <w:t>"</w:t>
      </w:r>
      <w:r w:rsidRPr="005316B5">
        <w:rPr>
          <w:rStyle w:val="a7"/>
          <w:rtl/>
        </w:rPr>
        <w:endnoteReference w:id="8"/>
      </w:r>
      <w:r w:rsidRPr="009A1FEF">
        <w:rPr>
          <w:rtl/>
        </w:rPr>
        <w:t>.</w:t>
      </w:r>
    </w:p>
    <w:p w:rsidR="00EA655F" w:rsidRDefault="00EA655F" w:rsidP="00EA655F">
      <w:pPr>
        <w:rPr>
          <w:rtl/>
        </w:rPr>
      </w:pPr>
      <w:r>
        <w:rPr>
          <w:rFonts w:hint="cs"/>
          <w:rtl/>
        </w:rPr>
        <w:t xml:space="preserve">ברגע הקידושין מופיעים שלשת הלבושים כפי שהם בבחינת מעשה (דהיינו שהכסף הוא המחשבה שבמעשה, השטר הוא הדבור שבמעשה והביאה היא המעשה שבמעשה, כנ"ל), אך בהמשך החיים מתרוממים הלבושים וכל בחינה חוזרת למקומה (כשבפרט היא חוזרת לבחינת המעשה שבמדרגתה, היינו </w:t>
      </w:r>
      <w:proofErr w:type="spellStart"/>
      <w:r>
        <w:rPr>
          <w:rFonts w:hint="cs"/>
          <w:rtl/>
        </w:rPr>
        <w:t>שה"מחשבה</w:t>
      </w:r>
      <w:proofErr w:type="spellEnd"/>
      <w:r>
        <w:rPr>
          <w:rFonts w:hint="cs"/>
          <w:rtl/>
        </w:rPr>
        <w:t xml:space="preserve"> שבמעשה" עולה ל"מעשה שבמחשבה" ו"הדבור שבמעשה" עולה ל"מעשה שבדבור"</w:t>
      </w:r>
      <w:r w:rsidRPr="005316B5">
        <w:rPr>
          <w:rStyle w:val="a7"/>
          <w:rtl/>
        </w:rPr>
        <w:endnoteReference w:id="9"/>
      </w:r>
      <w:r>
        <w:rPr>
          <w:rFonts w:hint="cs"/>
          <w:rtl/>
        </w:rPr>
        <w:t xml:space="preserve">). לכן, </w:t>
      </w:r>
      <w:r>
        <w:rPr>
          <w:rtl/>
        </w:rPr>
        <w:t>בכל חיי הנישואין על הבעל לפעול (מתוך כוונה) לקדש לו את אשתו באמצעות לבושי המחשבה, הדבור והמעשה הרמוזים בקידושין:</w:t>
      </w:r>
    </w:p>
    <w:p w:rsidR="00EA655F" w:rsidRDefault="00EA655F" w:rsidP="00EA655F">
      <w:pPr>
        <w:rPr>
          <w:rFonts w:hint="cs"/>
          <w:rtl/>
        </w:rPr>
      </w:pPr>
      <w:r>
        <w:rPr>
          <w:rtl/>
        </w:rPr>
        <w:t>הביטוי המעשי לכיסופי הלב הוא</w:t>
      </w:r>
      <w:r>
        <w:t xml:space="preserve"> </w:t>
      </w:r>
      <w:r>
        <w:rPr>
          <w:rtl/>
        </w:rPr>
        <w:t>"מחשבה מועלת"</w:t>
      </w:r>
      <w:r w:rsidRPr="005316B5">
        <w:rPr>
          <w:rStyle w:val="a7"/>
          <w:rtl/>
        </w:rPr>
        <w:endnoteReference w:id="10"/>
      </w:r>
      <w:r>
        <w:rPr>
          <w:rtl/>
        </w:rPr>
        <w:t xml:space="preserve"> – מחשבות אוהבות על בן הזוג, הפועלות לעורר גם בו אהבה וכיסופים "כמים הפנים לפנים"</w:t>
      </w:r>
      <w:r w:rsidRPr="005316B5">
        <w:rPr>
          <w:rStyle w:val="a7"/>
          <w:rtl/>
        </w:rPr>
        <w:endnoteReference w:id="11"/>
      </w:r>
      <w:r>
        <w:rPr>
          <w:rFonts w:hint="cs"/>
          <w:rtl/>
        </w:rPr>
        <w:t>. מתכת הכסף שייכת לספירת החסד</w:t>
      </w:r>
      <w:r w:rsidRPr="005316B5">
        <w:rPr>
          <w:rStyle w:val="a7"/>
          <w:rtl/>
        </w:rPr>
        <w:endnoteReference w:id="12"/>
      </w:r>
      <w:r>
        <w:rPr>
          <w:rFonts w:hint="cs"/>
          <w:rtl/>
        </w:rPr>
        <w:t>, וכך הביטוי הצרוף של (בחינת "כסף צרוף"</w:t>
      </w:r>
      <w:r w:rsidRPr="005316B5">
        <w:rPr>
          <w:rStyle w:val="a7"/>
          <w:rtl/>
        </w:rPr>
        <w:endnoteReference w:id="13"/>
      </w:r>
      <w:r>
        <w:rPr>
          <w:rFonts w:hint="cs"/>
          <w:rtl/>
        </w:rPr>
        <w:t xml:space="preserve">) האהבה </w:t>
      </w:r>
      <w:r>
        <w:rPr>
          <w:rtl/>
        </w:rPr>
        <w:t>–</w:t>
      </w:r>
      <w:r>
        <w:rPr>
          <w:rFonts w:hint="cs"/>
          <w:rtl/>
        </w:rPr>
        <w:t xml:space="preserve"> פנימיות ספירת החסד </w:t>
      </w:r>
      <w:r>
        <w:rPr>
          <w:rFonts w:hint="eastAsia"/>
          <w:rtl/>
        </w:rPr>
        <w:t>–</w:t>
      </w:r>
      <w:r>
        <w:rPr>
          <w:rFonts w:hint="cs"/>
          <w:rtl/>
        </w:rPr>
        <w:t xml:space="preserve"> היא מחשבות אוהבות ומעוררות אהבה. בממד המחשבה אין כל מניעה ועיכוב, אין התמודדות עם דינים וקשיים, ושם ניתן לעורר בקלות אהבה אין סופית. החסד הוא "יומא </w:t>
      </w:r>
      <w:proofErr w:type="spellStart"/>
      <w:r>
        <w:rPr>
          <w:rFonts w:hint="cs"/>
          <w:rtl/>
        </w:rPr>
        <w:t>דאזיל</w:t>
      </w:r>
      <w:proofErr w:type="spellEnd"/>
      <w:r>
        <w:rPr>
          <w:rFonts w:hint="cs"/>
          <w:rtl/>
        </w:rPr>
        <w:t xml:space="preserve"> עם </w:t>
      </w:r>
      <w:proofErr w:type="spellStart"/>
      <w:r>
        <w:rPr>
          <w:rFonts w:hint="cs"/>
          <w:rtl/>
        </w:rPr>
        <w:t>כולהו</w:t>
      </w:r>
      <w:proofErr w:type="spellEnd"/>
      <w:r>
        <w:rPr>
          <w:rFonts w:hint="cs"/>
          <w:rtl/>
        </w:rPr>
        <w:t xml:space="preserve"> יומין"</w:t>
      </w:r>
      <w:r w:rsidRPr="005316B5">
        <w:rPr>
          <w:rStyle w:val="a7"/>
          <w:rtl/>
        </w:rPr>
        <w:endnoteReference w:id="14"/>
      </w:r>
      <w:r>
        <w:rPr>
          <w:rFonts w:hint="cs"/>
          <w:rtl/>
        </w:rPr>
        <w:t xml:space="preserve"> – </w:t>
      </w:r>
      <w:proofErr w:type="spellStart"/>
      <w:r>
        <w:rPr>
          <w:rFonts w:hint="cs"/>
          <w:rtl/>
        </w:rPr>
        <w:t>המדה</w:t>
      </w:r>
      <w:proofErr w:type="spellEnd"/>
      <w:r>
        <w:rPr>
          <w:rFonts w:hint="cs"/>
          <w:rtl/>
        </w:rPr>
        <w:t xml:space="preserve"> </w:t>
      </w:r>
      <w:proofErr w:type="spellStart"/>
      <w:r>
        <w:rPr>
          <w:rFonts w:hint="cs"/>
          <w:rtl/>
        </w:rPr>
        <w:t>המלוה</w:t>
      </w:r>
      <w:proofErr w:type="spellEnd"/>
      <w:r>
        <w:rPr>
          <w:rFonts w:hint="cs"/>
          <w:rtl/>
        </w:rPr>
        <w:t xml:space="preserve"> את כל מדות הלב </w:t>
      </w:r>
      <w:r>
        <w:rPr>
          <w:rtl/>
        </w:rPr>
        <w:t>–</w:t>
      </w:r>
      <w:r>
        <w:rPr>
          <w:rFonts w:hint="cs"/>
          <w:rtl/>
        </w:rPr>
        <w:t xml:space="preserve"> ובכל מדה ומדרגה יש התבוננות מיוחדת המעוררת את רגש האהבה</w:t>
      </w:r>
      <w:r w:rsidRPr="005316B5">
        <w:rPr>
          <w:rStyle w:val="a7"/>
          <w:rtl/>
        </w:rPr>
        <w:endnoteReference w:id="15"/>
      </w:r>
      <w:r>
        <w:rPr>
          <w:rFonts w:hint="cs"/>
          <w:rtl/>
        </w:rPr>
        <w:t>.</w:t>
      </w:r>
    </w:p>
    <w:p w:rsidR="00EA655F" w:rsidRPr="009A1FEF" w:rsidRDefault="00EA655F" w:rsidP="00EA655F">
      <w:pPr>
        <w:rPr>
          <w:rFonts w:hint="cs"/>
          <w:rtl/>
        </w:rPr>
      </w:pPr>
      <w:r w:rsidRPr="009A1FEF">
        <w:rPr>
          <w:rFonts w:hint="cs"/>
          <w:rtl/>
        </w:rPr>
        <w:t xml:space="preserve">קידושי </w:t>
      </w:r>
      <w:r w:rsidRPr="009A1FEF">
        <w:rPr>
          <w:rtl/>
        </w:rPr>
        <w:t>השטר מתבטא</w:t>
      </w:r>
      <w:r w:rsidRPr="009A1FEF">
        <w:rPr>
          <w:rFonts w:hint="cs"/>
          <w:rtl/>
        </w:rPr>
        <w:t>ים</w:t>
      </w:r>
      <w:r w:rsidRPr="009A1FEF">
        <w:rPr>
          <w:rtl/>
        </w:rPr>
        <w:t xml:space="preserve"> בכל חיי הנישואין בתיקון ה</w:t>
      </w:r>
      <w:r>
        <w:rPr>
          <w:rtl/>
        </w:rPr>
        <w:t>דבור</w:t>
      </w:r>
      <w:r w:rsidRPr="009A1FEF">
        <w:rPr>
          <w:rtl/>
        </w:rPr>
        <w:t xml:space="preserve"> בין בני הזוג, </w:t>
      </w:r>
      <w:r w:rsidRPr="009A1FEF">
        <w:rPr>
          <w:rFonts w:hint="cs"/>
          <w:rtl/>
        </w:rPr>
        <w:t>בסוד "לשוני עט סופר מהיר"</w:t>
      </w:r>
      <w:r w:rsidRPr="005316B5">
        <w:rPr>
          <w:rStyle w:val="a7"/>
          <w:rtl/>
        </w:rPr>
        <w:endnoteReference w:id="16"/>
      </w:r>
      <w:r w:rsidRPr="009A1FEF">
        <w:rPr>
          <w:rFonts w:hint="cs"/>
          <w:rtl/>
        </w:rPr>
        <w:t>. תיקון ה</w:t>
      </w:r>
      <w:r>
        <w:rPr>
          <w:rFonts w:hint="cs"/>
          <w:rtl/>
        </w:rPr>
        <w:t>דבור</w:t>
      </w:r>
      <w:r w:rsidRPr="009A1FEF">
        <w:rPr>
          <w:rFonts w:hint="cs"/>
          <w:rtl/>
        </w:rPr>
        <w:t xml:space="preserve"> בקידושי השטר הוא ב</w:t>
      </w:r>
      <w:r>
        <w:rPr>
          <w:rtl/>
        </w:rPr>
        <w:t>דבור</w:t>
      </w:r>
      <w:r w:rsidRPr="009A1FEF">
        <w:rPr>
          <w:rtl/>
        </w:rPr>
        <w:t xml:space="preserve">י אהבה </w:t>
      </w:r>
      <w:r w:rsidRPr="009A1FEF">
        <w:rPr>
          <w:rFonts w:hint="cs"/>
          <w:rtl/>
        </w:rPr>
        <w:t xml:space="preserve">וחסד </w:t>
      </w:r>
      <w:r w:rsidRPr="009A1FEF">
        <w:rPr>
          <w:rtl/>
        </w:rPr>
        <w:t>בין בני הזוג בפרט</w:t>
      </w:r>
      <w:r w:rsidRPr="005316B5">
        <w:rPr>
          <w:rStyle w:val="a7"/>
          <w:rtl/>
        </w:rPr>
        <w:endnoteReference w:id="17"/>
      </w:r>
      <w:r w:rsidRPr="009A1FEF">
        <w:rPr>
          <w:rFonts w:hint="cs"/>
          <w:rtl/>
        </w:rPr>
        <w:t>, וב</w:t>
      </w:r>
      <w:r>
        <w:rPr>
          <w:rFonts w:hint="cs"/>
          <w:rtl/>
        </w:rPr>
        <w:t>דבור</w:t>
      </w:r>
      <w:r w:rsidRPr="009A1FEF">
        <w:rPr>
          <w:rFonts w:hint="cs"/>
          <w:rtl/>
        </w:rPr>
        <w:t xml:space="preserve"> </w:t>
      </w:r>
      <w:r w:rsidRPr="009A1FEF">
        <w:rPr>
          <w:rtl/>
        </w:rPr>
        <w:t>נאות לגבי כל תחום בכלל</w:t>
      </w:r>
      <w:r w:rsidRPr="009A1FEF">
        <w:rPr>
          <w:rFonts w:hint="cs"/>
          <w:rtl/>
        </w:rPr>
        <w:t xml:space="preserve"> (כשבכלל זה גם השתיקה הנדרשת כדי </w:t>
      </w:r>
      <w:proofErr w:type="spellStart"/>
      <w:r w:rsidRPr="009A1FEF">
        <w:rPr>
          <w:rFonts w:hint="cs"/>
          <w:rtl/>
        </w:rPr>
        <w:t>להנצל</w:t>
      </w:r>
      <w:proofErr w:type="spellEnd"/>
      <w:r w:rsidRPr="009A1FEF">
        <w:rPr>
          <w:rFonts w:hint="cs"/>
          <w:rtl/>
        </w:rPr>
        <w:t xml:space="preserve"> ממריבות, שהרי "אין </w:t>
      </w:r>
      <w:r w:rsidRPr="009A1FEF">
        <w:rPr>
          <w:rFonts w:hint="cs"/>
          <w:rtl/>
        </w:rPr>
        <w:lastRenderedPageBreak/>
        <w:t>העולם מתקיים אלא בשביל מי שבולם את עצמו בשעת מריבה, שנאמר 'ת</w:t>
      </w:r>
      <w:r w:rsidRPr="005964F5">
        <w:rPr>
          <w:rFonts w:hint="cs"/>
          <w:spacing w:val="-10"/>
          <w:rtl/>
        </w:rPr>
        <w:t>ֹ</w:t>
      </w:r>
      <w:r w:rsidRPr="009A1FEF">
        <w:rPr>
          <w:rFonts w:hint="cs"/>
          <w:rtl/>
        </w:rPr>
        <w:t>לה ארץ על בלימה'</w:t>
      </w:r>
      <w:r w:rsidRPr="005316B5">
        <w:rPr>
          <w:rStyle w:val="a7"/>
          <w:rtl/>
        </w:rPr>
        <w:endnoteReference w:id="18"/>
      </w:r>
      <w:r w:rsidRPr="009A1FEF">
        <w:rPr>
          <w:rFonts w:hint="cs"/>
          <w:rtl/>
        </w:rPr>
        <w:t>"</w:t>
      </w:r>
      <w:r w:rsidRPr="005316B5">
        <w:rPr>
          <w:rStyle w:val="a7"/>
          <w:rtl/>
        </w:rPr>
        <w:endnoteReference w:id="19"/>
      </w:r>
      <w:r w:rsidRPr="009A1FEF">
        <w:rPr>
          <w:rFonts w:hint="cs"/>
          <w:rtl/>
        </w:rPr>
        <w:t>, והיינו שה</w:t>
      </w:r>
      <w:r>
        <w:rPr>
          <w:rFonts w:hint="cs"/>
          <w:rtl/>
        </w:rPr>
        <w:t>דבור</w:t>
      </w:r>
      <w:r w:rsidRPr="009A1FEF">
        <w:rPr>
          <w:rFonts w:hint="cs"/>
          <w:rtl/>
        </w:rPr>
        <w:t xml:space="preserve"> המתוקן הוא בסוד החשמל – "עתים חשות עתים ממללות"</w:t>
      </w:r>
      <w:r w:rsidRPr="005316B5">
        <w:rPr>
          <w:rStyle w:val="a7"/>
          <w:rtl/>
        </w:rPr>
        <w:endnoteReference w:id="20"/>
      </w:r>
      <w:r w:rsidRPr="009A1FEF">
        <w:rPr>
          <w:rFonts w:hint="cs"/>
          <w:rtl/>
        </w:rPr>
        <w:t>). ה</w:t>
      </w:r>
      <w:r w:rsidRPr="00E84990">
        <w:rPr>
          <w:rStyle w:val="a3"/>
          <w:rFonts w:hint="cs"/>
          <w:rtl/>
        </w:rPr>
        <w:t>שטר</w:t>
      </w:r>
      <w:r w:rsidRPr="009A1FEF">
        <w:rPr>
          <w:rFonts w:hint="cs"/>
          <w:rtl/>
        </w:rPr>
        <w:t xml:space="preserve"> מרמז ל</w:t>
      </w:r>
      <w:r w:rsidRPr="00E84990">
        <w:rPr>
          <w:rStyle w:val="a3"/>
          <w:rFonts w:hint="cs"/>
          <w:rtl/>
        </w:rPr>
        <w:t>משטר</w:t>
      </w:r>
      <w:r w:rsidRPr="009A1FEF">
        <w:rPr>
          <w:rFonts w:hint="cs"/>
          <w:rtl/>
        </w:rPr>
        <w:t xml:space="preserve"> של מדת הגבורה והדין, ועצם השימוש בשטר הוא דרך </w:t>
      </w:r>
      <w:proofErr w:type="spellStart"/>
      <w:r w:rsidRPr="009A1FEF">
        <w:rPr>
          <w:rFonts w:hint="cs"/>
          <w:rtl/>
        </w:rPr>
        <w:t>הקנין</w:t>
      </w:r>
      <w:proofErr w:type="spellEnd"/>
      <w:r w:rsidRPr="009A1FEF">
        <w:rPr>
          <w:rFonts w:hint="cs"/>
          <w:rtl/>
        </w:rPr>
        <w:t xml:space="preserve"> </w:t>
      </w:r>
      <w:proofErr w:type="spellStart"/>
      <w:r w:rsidRPr="009A1FEF">
        <w:rPr>
          <w:rFonts w:hint="cs"/>
          <w:rtl/>
        </w:rPr>
        <w:t>הדינית</w:t>
      </w:r>
      <w:proofErr w:type="spellEnd"/>
      <w:r w:rsidRPr="009A1FEF">
        <w:rPr>
          <w:rFonts w:hint="cs"/>
          <w:rtl/>
        </w:rPr>
        <w:t>, הלא-טבעית והמדודה ביותר. וכן, עצם דין קידושי שטר נלמד</w:t>
      </w:r>
      <w:r w:rsidRPr="005316B5">
        <w:rPr>
          <w:rStyle w:val="a7"/>
          <w:rtl/>
        </w:rPr>
        <w:endnoteReference w:id="21"/>
      </w:r>
      <w:r w:rsidRPr="009A1FEF">
        <w:rPr>
          <w:rFonts w:hint="cs"/>
          <w:rtl/>
        </w:rPr>
        <w:t xml:space="preserve"> מהמציאות </w:t>
      </w:r>
      <w:proofErr w:type="spellStart"/>
      <w:r w:rsidRPr="009A1FEF">
        <w:rPr>
          <w:rFonts w:hint="cs"/>
          <w:rtl/>
        </w:rPr>
        <w:t>ההפכית</w:t>
      </w:r>
      <w:proofErr w:type="spellEnd"/>
      <w:r w:rsidRPr="009A1FEF">
        <w:rPr>
          <w:rFonts w:hint="cs"/>
          <w:rtl/>
        </w:rPr>
        <w:t xml:space="preserve"> – בהיקש מ"וכתב לה ספר כריתֻת"</w:t>
      </w:r>
      <w:r w:rsidRPr="005316B5">
        <w:rPr>
          <w:rStyle w:val="a7"/>
          <w:rtl/>
        </w:rPr>
        <w:endnoteReference w:id="22"/>
      </w:r>
      <w:r w:rsidRPr="009A1FEF">
        <w:rPr>
          <w:rFonts w:hint="cs"/>
          <w:rtl/>
        </w:rPr>
        <w:t xml:space="preserve"> (ונראה שלכן "מנהג ישראל תורה"</w:t>
      </w:r>
      <w:r w:rsidRPr="005316B5">
        <w:rPr>
          <w:rStyle w:val="a7"/>
          <w:rtl/>
        </w:rPr>
        <w:endnoteReference w:id="23"/>
      </w:r>
      <w:r w:rsidRPr="009A1FEF">
        <w:rPr>
          <w:rFonts w:hint="cs"/>
          <w:rtl/>
        </w:rPr>
        <w:t xml:space="preserve"> לקדש בכסף, בקידושין המבטאים אהבה וכיסופים, ולא בשטר – אף שקידושי שטר לא נאסרו כקידושי ביאה – כדי לא להכניס את עצם הקידושין למסגרת של דין וגבורה, הרומזת גם לאפשרות של גירושין). שרש ה</w:t>
      </w:r>
      <w:r>
        <w:rPr>
          <w:rFonts w:hint="cs"/>
          <w:rtl/>
        </w:rPr>
        <w:t>דבור</w:t>
      </w:r>
      <w:r w:rsidRPr="009A1FEF">
        <w:rPr>
          <w:rFonts w:hint="cs"/>
          <w:rtl/>
        </w:rPr>
        <w:t xml:space="preserve"> (וכמובן גם השתיקה, כאשר יש צורך לבלום את הפה מלדבר) הוא בגבורות – הוא בא לגשר על פערים היוצרים דינים (שהרי באחדות ואהבה מלאות, כאשר 'משדרים על אותו גל', אין צורך כלל ב</w:t>
      </w:r>
      <w:r>
        <w:rPr>
          <w:rFonts w:hint="cs"/>
          <w:rtl/>
        </w:rPr>
        <w:t>דבור</w:t>
      </w:r>
      <w:r w:rsidRPr="009A1FEF">
        <w:rPr>
          <w:rFonts w:hint="cs"/>
          <w:rtl/>
        </w:rPr>
        <w:t xml:space="preserve">) ויש </w:t>
      </w:r>
      <w:proofErr w:type="spellStart"/>
      <w:r w:rsidRPr="009A1FEF">
        <w:rPr>
          <w:rFonts w:hint="cs"/>
          <w:rtl/>
        </w:rPr>
        <w:t>להזהר</w:t>
      </w:r>
      <w:proofErr w:type="spellEnd"/>
      <w:r w:rsidRPr="009A1FEF">
        <w:rPr>
          <w:rFonts w:hint="cs"/>
          <w:rtl/>
        </w:rPr>
        <w:t xml:space="preserve"> בו מאד מחיכוכים ומריבות (שהם כולם ממדים של "אונאת דברים", עליה מוזהר במיוחד כל איש ביחס לאשתו</w:t>
      </w:r>
      <w:r w:rsidRPr="005316B5">
        <w:rPr>
          <w:rStyle w:val="a7"/>
          <w:rtl/>
        </w:rPr>
        <w:endnoteReference w:id="24"/>
      </w:r>
      <w:r w:rsidRPr="009A1FEF">
        <w:rPr>
          <w:rFonts w:hint="cs"/>
          <w:rtl/>
        </w:rPr>
        <w:t>).</w:t>
      </w:r>
    </w:p>
    <w:p w:rsidR="00EA655F" w:rsidRDefault="00EA655F" w:rsidP="00EA655F">
      <w:pPr>
        <w:rPr>
          <w:rFonts w:hint="cs"/>
          <w:rtl/>
        </w:rPr>
      </w:pPr>
      <w:r>
        <w:rPr>
          <w:rtl/>
        </w:rPr>
        <w:t xml:space="preserve">קדושי הביאה </w:t>
      </w:r>
      <w:r>
        <w:rPr>
          <w:rFonts w:hint="cs"/>
          <w:rtl/>
        </w:rPr>
        <w:t xml:space="preserve">חוזרים, בפשטות, בכל זיווג של האיש </w:t>
      </w:r>
      <w:proofErr w:type="spellStart"/>
      <w:r>
        <w:rPr>
          <w:rFonts w:hint="cs"/>
          <w:rtl/>
        </w:rPr>
        <w:t>והאשה</w:t>
      </w:r>
      <w:proofErr w:type="spellEnd"/>
      <w:r>
        <w:rPr>
          <w:rFonts w:hint="cs"/>
          <w:rtl/>
        </w:rPr>
        <w:t xml:space="preserve">. אך בכללות, בהיותם לבוש המעשה, הם </w:t>
      </w:r>
      <w:r>
        <w:rPr>
          <w:rtl/>
        </w:rPr>
        <w:t>מתממשים ומתחדשים בכל פעולה מעשית שעושה הבעל מתוך רגשי אהבה כדי לסייע ולהיטיב לאשתו</w:t>
      </w:r>
      <w:r>
        <w:rPr>
          <w:rFonts w:hint="cs"/>
          <w:rtl/>
        </w:rPr>
        <w:t xml:space="preserve"> </w:t>
      </w:r>
      <w:r w:rsidRPr="009A1FEF">
        <w:rPr>
          <w:rFonts w:hint="cs"/>
          <w:rtl/>
        </w:rPr>
        <w:t xml:space="preserve">(ובפרט בכך שבכל פעם שהאיש </w:t>
      </w:r>
      <w:r w:rsidRPr="00E84990">
        <w:rPr>
          <w:rStyle w:val="a3"/>
          <w:rFonts w:hint="cs"/>
          <w:rtl/>
        </w:rPr>
        <w:t>בא</w:t>
      </w:r>
      <w:r w:rsidRPr="009A1FEF">
        <w:rPr>
          <w:rFonts w:hint="cs"/>
          <w:rtl/>
        </w:rPr>
        <w:t xml:space="preserve"> אל ביתו מן החוץ </w:t>
      </w:r>
      <w:r w:rsidRPr="009A1FEF">
        <w:rPr>
          <w:rtl/>
        </w:rPr>
        <w:t>–</w:t>
      </w:r>
      <w:r w:rsidRPr="009A1FEF">
        <w:rPr>
          <w:rFonts w:hint="cs"/>
          <w:rtl/>
        </w:rPr>
        <w:t xml:space="preserve"> וחש בכך טעם ביאה אל "'ביתו' זו אשתו"</w:t>
      </w:r>
      <w:r w:rsidRPr="005316B5">
        <w:rPr>
          <w:rStyle w:val="a7"/>
          <w:rtl/>
        </w:rPr>
        <w:endnoteReference w:id="25"/>
      </w:r>
      <w:r w:rsidRPr="009A1FEF">
        <w:rPr>
          <w:rFonts w:hint="cs"/>
          <w:rtl/>
        </w:rPr>
        <w:t xml:space="preserve"> </w:t>
      </w:r>
      <w:r w:rsidRPr="009A1FEF">
        <w:rPr>
          <w:rtl/>
        </w:rPr>
        <w:t>–</w:t>
      </w:r>
      <w:r w:rsidRPr="009A1FEF">
        <w:rPr>
          <w:rFonts w:hint="cs"/>
          <w:rtl/>
        </w:rPr>
        <w:t xml:space="preserve"> הוא דואג להביא עמו דבר טוב לאשתו</w:t>
      </w:r>
      <w:r w:rsidRPr="005316B5">
        <w:rPr>
          <w:rStyle w:val="a7"/>
          <w:rtl/>
        </w:rPr>
        <w:endnoteReference w:id="26"/>
      </w:r>
      <w:r w:rsidRPr="009A1FEF">
        <w:rPr>
          <w:rFonts w:hint="cs"/>
          <w:rtl/>
        </w:rPr>
        <w:t>)</w:t>
      </w:r>
      <w:r w:rsidRPr="009A1FEF">
        <w:rPr>
          <w:rtl/>
        </w:rPr>
        <w:t>.</w:t>
      </w:r>
      <w:r w:rsidRPr="009A1FEF">
        <w:rPr>
          <w:rFonts w:hint="cs"/>
          <w:rtl/>
        </w:rPr>
        <w:t xml:space="preserve"> הביאה המ</w:t>
      </w:r>
      <w:r>
        <w:rPr>
          <w:rFonts w:hint="cs"/>
          <w:rtl/>
        </w:rPr>
        <w:t xml:space="preserve">תוקנת שייכת לספירת התפארת </w:t>
      </w:r>
      <w:r>
        <w:rPr>
          <w:rtl/>
        </w:rPr>
        <w:t>–</w:t>
      </w:r>
      <w:r>
        <w:rPr>
          <w:rFonts w:hint="cs"/>
          <w:rtl/>
        </w:rPr>
        <w:t xml:space="preserve"> שפנימיותה רחמים </w:t>
      </w:r>
      <w:r>
        <w:rPr>
          <w:rtl/>
        </w:rPr>
        <w:t>–</w:t>
      </w:r>
      <w:r>
        <w:rPr>
          <w:rFonts w:hint="cs"/>
          <w:rtl/>
        </w:rPr>
        <w:t xml:space="preserve"> משום שלצד האהבה ורצון הנתינה מחויבת בביאה רגישות מלאה למקבל ולחוויותיו (כנודע החילוק בזה בין חסד לבין רחמים). וכך, כל סיוע והענקה של האיש לאשתו מתוך תחושת רחמים וזיהוי הצרכים האמתיים שלה הם שיחזור של קידושי הביאה. דבר זה גם נותן טעם לשבח בהרחקות מסוימות הנוהגות בזמן הנדה, הנוגעות לסיוע מעשי ולהענקה מיד-ליד בין האיש ואשתו, כאשר מבינים כי אין כאן רק חשש-נגיעה או קרבה-שעלולה-להביא-לידי-אישות, אלא שעצם הסיוע הקרוב והאוהב בין איש לאשתו יש בו מעין ביאה אוהבת (וכשם שיש דברים מסוימים שמבטאים אהבה עד שהם נאסרים בזמני הריחוק, כך בדברים אחרים – שלא נאסרו בזמן הריחוק, ובהם יכולים בני הזוג לסייע זה לזו – ניתן לשמר את ממד קידושי הביאה גם אז)</w:t>
      </w:r>
      <w:r w:rsidRPr="005316B5">
        <w:rPr>
          <w:rStyle w:val="a7"/>
          <w:rtl/>
        </w:rPr>
        <w:endnoteReference w:id="27"/>
      </w:r>
      <w:r>
        <w:rPr>
          <w:rFonts w:hint="cs"/>
          <w:rtl/>
        </w:rPr>
        <w:t>.</w:t>
      </w:r>
    </w:p>
    <w:p w:rsidR="00EA655F" w:rsidRDefault="00EA655F" w:rsidP="00EA655F">
      <w:pPr>
        <w:rPr>
          <w:rFonts w:hint="cs"/>
          <w:rtl/>
        </w:rPr>
      </w:pPr>
      <w:r>
        <w:rPr>
          <w:rFonts w:hint="cs"/>
          <w:rtl/>
        </w:rPr>
        <w:t xml:space="preserve">והנה, חשוב לשים לב כי בעוד שמעשה הקידושין הראשון </w:t>
      </w:r>
      <w:r>
        <w:rPr>
          <w:rtl/>
        </w:rPr>
        <w:t>–</w:t>
      </w:r>
      <w:r>
        <w:rPr>
          <w:rFonts w:hint="cs"/>
          <w:rtl/>
        </w:rPr>
        <w:t xml:space="preserve"> בכסף, בשטר או בביאה </w:t>
      </w:r>
      <w:r>
        <w:rPr>
          <w:rtl/>
        </w:rPr>
        <w:t>–</w:t>
      </w:r>
      <w:r>
        <w:rPr>
          <w:rFonts w:hint="cs"/>
          <w:rtl/>
        </w:rPr>
        <w:t xml:space="preserve"> נעשה על ידי האיש המקדש את אשתו, הרי שחידוש הקידושין בכל ימי חייהם יכול </w:t>
      </w:r>
      <w:proofErr w:type="spellStart"/>
      <w:r>
        <w:rPr>
          <w:rFonts w:hint="cs"/>
          <w:rtl/>
        </w:rPr>
        <w:t>להעשות</w:t>
      </w:r>
      <w:proofErr w:type="spellEnd"/>
      <w:r>
        <w:rPr>
          <w:rFonts w:hint="cs"/>
          <w:rtl/>
        </w:rPr>
        <w:t xml:space="preserve"> בצורה הדדית</w:t>
      </w:r>
      <w:r w:rsidRPr="005316B5">
        <w:rPr>
          <w:rStyle w:val="a7"/>
          <w:rtl/>
        </w:rPr>
        <w:endnoteReference w:id="28"/>
      </w:r>
      <w:r>
        <w:rPr>
          <w:rFonts w:hint="cs"/>
          <w:rtl/>
        </w:rPr>
        <w:t xml:space="preserve">: כשם שהאיש מצווה לחשוב מחשבות אהבה על אשתו ולעורר בה את אהבתה, כך גם היא יכולה וצריכה לחשוב מחשבות אהבה עליו ולעורר את אהבתו אליה; כשם שהאיש מדבר עם אשתו דברי אהבה וחסד, כך גם </w:t>
      </w:r>
      <w:proofErr w:type="spellStart"/>
      <w:r>
        <w:rPr>
          <w:rFonts w:hint="cs"/>
          <w:rtl/>
        </w:rPr>
        <w:t>האשה</w:t>
      </w:r>
      <w:proofErr w:type="spellEnd"/>
      <w:r>
        <w:rPr>
          <w:rFonts w:hint="cs"/>
          <w:rtl/>
        </w:rPr>
        <w:t xml:space="preserve"> מדברת דברי אהבה וחסד (ואף ביתר שאת, שהרי </w:t>
      </w:r>
      <w:r>
        <w:rPr>
          <w:rtl/>
        </w:rPr>
        <w:t>"עשרה קבי</w:t>
      </w:r>
      <w:r>
        <w:rPr>
          <w:rFonts w:hint="cs"/>
          <w:rtl/>
        </w:rPr>
        <w:t>ם</w:t>
      </w:r>
      <w:r>
        <w:rPr>
          <w:rtl/>
        </w:rPr>
        <w:t xml:space="preserve"> </w:t>
      </w:r>
      <w:r>
        <w:rPr>
          <w:rFonts w:hint="cs"/>
          <w:rtl/>
        </w:rPr>
        <w:t xml:space="preserve">שיחה </w:t>
      </w:r>
      <w:r>
        <w:rPr>
          <w:rtl/>
        </w:rPr>
        <w:t xml:space="preserve">ירדו לעולם </w:t>
      </w:r>
      <w:r>
        <w:rPr>
          <w:rFonts w:hint="cs"/>
          <w:rtl/>
        </w:rPr>
        <w:t>תשעה</w:t>
      </w:r>
      <w:r>
        <w:rPr>
          <w:rtl/>
        </w:rPr>
        <w:t xml:space="preserve"> נטלו נשים ואחד כל העולם כולו"</w:t>
      </w:r>
      <w:r w:rsidRPr="005316B5">
        <w:rPr>
          <w:rStyle w:val="a7"/>
          <w:rtl/>
        </w:rPr>
        <w:endnoteReference w:id="29"/>
      </w:r>
      <w:r>
        <w:rPr>
          <w:rFonts w:hint="cs"/>
          <w:rtl/>
        </w:rPr>
        <w:t xml:space="preserve">); וכשם שהאיש צריך לסייע לאשתו בכל דבר וענין, כך </w:t>
      </w:r>
      <w:r>
        <w:rPr>
          <w:rtl/>
        </w:rPr>
        <w:t>–</w:t>
      </w:r>
      <w:r>
        <w:rPr>
          <w:rFonts w:hint="cs"/>
          <w:rtl/>
        </w:rPr>
        <w:t xml:space="preserve"> ויותר מכך, כפי שרואים במציאות </w:t>
      </w:r>
      <w:r>
        <w:rPr>
          <w:rtl/>
        </w:rPr>
        <w:t>–</w:t>
      </w:r>
      <w:r>
        <w:rPr>
          <w:rFonts w:hint="cs"/>
          <w:rtl/>
        </w:rPr>
        <w:t xml:space="preserve"> גם היא מתפקדת בבחינת "עזר כנגדו"</w:t>
      </w:r>
      <w:r w:rsidRPr="005316B5">
        <w:rPr>
          <w:rStyle w:val="a7"/>
          <w:rtl/>
        </w:rPr>
        <w:endnoteReference w:id="30"/>
      </w:r>
      <w:r>
        <w:rPr>
          <w:rFonts w:hint="cs"/>
          <w:rtl/>
        </w:rPr>
        <w:t xml:space="preserve"> לעזור לו באהבה בכל דבר וענין (ועד שאצלה בולט עוד יותר ממד הביאה האוהב שיש בעזרה זו, כאשר היא מקדשת אותו כביכול ב"קידושי ביאה", כפי שרואים בדיני ההרחקות </w:t>
      </w:r>
      <w:r>
        <w:rPr>
          <w:rtl/>
        </w:rPr>
        <w:t>–</w:t>
      </w:r>
      <w:r>
        <w:rPr>
          <w:rFonts w:hint="cs"/>
          <w:rtl/>
        </w:rPr>
        <w:t xml:space="preserve"> האוסרים בעיקר את העזרה בדברים </w:t>
      </w:r>
      <w:proofErr w:type="spellStart"/>
      <w:r>
        <w:rPr>
          <w:rFonts w:hint="cs"/>
          <w:rtl/>
        </w:rPr>
        <w:t>שהאשה</w:t>
      </w:r>
      <w:proofErr w:type="spellEnd"/>
      <w:r>
        <w:rPr>
          <w:rFonts w:hint="cs"/>
          <w:rtl/>
        </w:rPr>
        <w:t xml:space="preserve"> עושה לבעלה</w:t>
      </w:r>
      <w:r w:rsidRPr="005316B5">
        <w:rPr>
          <w:rStyle w:val="a7"/>
          <w:rtl/>
        </w:rPr>
        <w:endnoteReference w:id="31"/>
      </w:r>
      <w:r>
        <w:rPr>
          <w:rFonts w:hint="cs"/>
          <w:rtl/>
        </w:rPr>
        <w:t>).</w:t>
      </w:r>
    </w:p>
    <w:p w:rsidR="005F4A47" w:rsidRDefault="00205518">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518" w:rsidRDefault="00205518" w:rsidP="00EA655F">
      <w:pPr>
        <w:spacing w:after="0" w:line="240" w:lineRule="auto"/>
      </w:pPr>
      <w:r>
        <w:separator/>
      </w:r>
    </w:p>
  </w:endnote>
  <w:endnote w:type="continuationSeparator" w:id="0">
    <w:p w:rsidR="00205518" w:rsidRDefault="00205518" w:rsidP="00EA655F">
      <w:pPr>
        <w:spacing w:after="0" w:line="240" w:lineRule="auto"/>
      </w:pPr>
      <w:r>
        <w:continuationSeparator/>
      </w:r>
    </w:p>
  </w:endnote>
  <w:endnote w:id="1">
    <w:p w:rsidR="00EA655F" w:rsidRDefault="00EA655F" w:rsidP="00EA655F">
      <w:pPr>
        <w:pStyle w:val="a5"/>
        <w:rPr>
          <w:rFonts w:hint="cs"/>
          <w:rtl/>
        </w:rPr>
      </w:pPr>
      <w:r>
        <w:rPr>
          <w:rtl/>
        </w:rPr>
        <w:tab/>
      </w:r>
      <w:r w:rsidRPr="00E15672">
        <w:rPr>
          <w:rtl/>
        </w:rPr>
        <w:endnoteRef/>
      </w:r>
      <w:r>
        <w:rPr>
          <w:rtl/>
        </w:rPr>
        <w:t>.</w:t>
      </w:r>
      <w:r>
        <w:rPr>
          <w:rtl/>
        </w:rPr>
        <w:tab/>
      </w:r>
      <w:r>
        <w:rPr>
          <w:rFonts w:hint="cs"/>
          <w:rtl/>
        </w:rPr>
        <w:t>ראה מפענח צפונות פ"ה (ושם פ"י ס"ג).</w:t>
      </w:r>
    </w:p>
  </w:endnote>
  <w:endnote w:id="2">
    <w:p w:rsidR="00EA655F" w:rsidRDefault="00EA655F" w:rsidP="00EA655F">
      <w:pPr>
        <w:pStyle w:val="a5"/>
        <w:rPr>
          <w:rFonts w:hint="cs"/>
          <w:rtl/>
        </w:rPr>
      </w:pPr>
      <w:r>
        <w:rPr>
          <w:rtl/>
        </w:rPr>
        <w:tab/>
      </w:r>
      <w:r w:rsidRPr="00E15672">
        <w:rPr>
          <w:rtl/>
        </w:rPr>
        <w:endnoteRef/>
      </w:r>
      <w:r>
        <w:rPr>
          <w:rtl/>
        </w:rPr>
        <w:t>.</w:t>
      </w:r>
      <w:r>
        <w:rPr>
          <w:rtl/>
        </w:rPr>
        <w:tab/>
      </w:r>
      <w:r>
        <w:rPr>
          <w:rFonts w:hint="cs"/>
          <w:rtl/>
        </w:rPr>
        <w:t>תפלת העמידה.</w:t>
      </w:r>
    </w:p>
  </w:endnote>
  <w:endnote w:id="3">
    <w:p w:rsidR="00EA655F" w:rsidRDefault="00EA655F" w:rsidP="00EA655F">
      <w:pPr>
        <w:pStyle w:val="a5"/>
        <w:rPr>
          <w:rFonts w:hint="cs"/>
          <w:rtl/>
        </w:rPr>
      </w:pPr>
      <w:r>
        <w:rPr>
          <w:rtl/>
        </w:rPr>
        <w:tab/>
      </w:r>
      <w:r w:rsidRPr="00E15672">
        <w:rPr>
          <w:rtl/>
        </w:rPr>
        <w:endnoteRef/>
      </w:r>
      <w:r>
        <w:rPr>
          <w:rtl/>
        </w:rPr>
        <w:t>.</w:t>
      </w:r>
      <w:r>
        <w:rPr>
          <w:rtl/>
        </w:rPr>
        <w:tab/>
      </w:r>
      <w:r>
        <w:rPr>
          <w:rFonts w:hint="cs"/>
          <w:rtl/>
        </w:rPr>
        <w:t>ברכות קריאת שמע של שחרית.</w:t>
      </w:r>
    </w:p>
  </w:endnote>
  <w:endnote w:id="4">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עירובין טו, ב ועוד (על פי דברים כד, ב </w:t>
      </w:r>
      <w:r>
        <w:rPr>
          <w:rtl/>
        </w:rPr>
        <w:t>–</w:t>
      </w:r>
      <w:r>
        <w:rPr>
          <w:rFonts w:hint="cs"/>
          <w:rtl/>
        </w:rPr>
        <w:t xml:space="preserve"> "ויצאה </w:t>
      </w:r>
      <w:proofErr w:type="spellStart"/>
      <w:r w:rsidRPr="00995309">
        <w:rPr>
          <w:rStyle w:val="a4"/>
          <w:rFonts w:hint="cs"/>
          <w:rtl/>
        </w:rPr>
        <w:t>והיתה</w:t>
      </w:r>
      <w:proofErr w:type="spellEnd"/>
      <w:r>
        <w:rPr>
          <w:rFonts w:hint="cs"/>
          <w:rtl/>
        </w:rPr>
        <w:t xml:space="preserve"> לאיש אחר").</w:t>
      </w:r>
    </w:p>
  </w:endnote>
  <w:endnote w:id="5">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הושע ב, </w:t>
      </w:r>
      <w:proofErr w:type="spellStart"/>
      <w:r>
        <w:rPr>
          <w:rFonts w:hint="cs"/>
          <w:rtl/>
        </w:rPr>
        <w:t>כא</w:t>
      </w:r>
      <w:proofErr w:type="spellEnd"/>
      <w:r>
        <w:rPr>
          <w:rFonts w:hint="cs"/>
          <w:rtl/>
        </w:rPr>
        <w:t>.</w:t>
      </w:r>
    </w:p>
  </w:endnote>
  <w:endnote w:id="6">
    <w:p w:rsidR="00EA655F" w:rsidRDefault="00EA655F" w:rsidP="00EA655F">
      <w:pPr>
        <w:pStyle w:val="a5"/>
        <w:rPr>
          <w:rFonts w:hint="cs"/>
          <w:rtl/>
        </w:rPr>
      </w:pPr>
      <w:r>
        <w:rPr>
          <w:rtl/>
        </w:rPr>
        <w:tab/>
      </w:r>
      <w:r w:rsidRPr="00E15672">
        <w:rPr>
          <w:rtl/>
        </w:rPr>
        <w:endnoteRef/>
      </w:r>
      <w:r>
        <w:rPr>
          <w:rtl/>
        </w:rPr>
        <w:t>.</w:t>
      </w:r>
      <w:r>
        <w:rPr>
          <w:rtl/>
        </w:rPr>
        <w:tab/>
      </w:r>
      <w:proofErr w:type="spellStart"/>
      <w:r>
        <w:rPr>
          <w:rFonts w:hint="cs"/>
          <w:rtl/>
        </w:rPr>
        <w:t>קדושין</w:t>
      </w:r>
      <w:proofErr w:type="spellEnd"/>
      <w:r>
        <w:rPr>
          <w:rFonts w:hint="cs"/>
          <w:rtl/>
        </w:rPr>
        <w:t xml:space="preserve"> פ"א מ"א.</w:t>
      </w:r>
    </w:p>
  </w:endnote>
  <w:endnote w:id="7">
    <w:p w:rsidR="00EA655F" w:rsidRDefault="00EA655F" w:rsidP="00EA655F">
      <w:pPr>
        <w:pStyle w:val="a5"/>
        <w:rPr>
          <w:rFonts w:hint="cs"/>
        </w:rPr>
      </w:pPr>
      <w:r>
        <w:rPr>
          <w:rtl/>
        </w:rPr>
        <w:tab/>
      </w:r>
      <w:r w:rsidRPr="00E15672">
        <w:rPr>
          <w:rtl/>
        </w:rPr>
        <w:endnoteRef/>
      </w:r>
      <w:r>
        <w:rPr>
          <w:rtl/>
        </w:rPr>
        <w:t>.</w:t>
      </w:r>
      <w:r>
        <w:rPr>
          <w:rtl/>
        </w:rPr>
        <w:tab/>
      </w:r>
      <w:r>
        <w:rPr>
          <w:rFonts w:hint="cs"/>
          <w:rtl/>
        </w:rPr>
        <w:t>ישעיה נד, ה.</w:t>
      </w:r>
    </w:p>
  </w:endnote>
  <w:endnote w:id="8">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סנהדרין </w:t>
      </w:r>
      <w:proofErr w:type="spellStart"/>
      <w:r>
        <w:rPr>
          <w:rFonts w:hint="cs"/>
          <w:rtl/>
        </w:rPr>
        <w:t>כב</w:t>
      </w:r>
      <w:proofErr w:type="spellEnd"/>
      <w:r>
        <w:rPr>
          <w:rFonts w:hint="cs"/>
          <w:rtl/>
        </w:rPr>
        <w:t xml:space="preserve">, ב (וראה שער ד בתורה "זיווג במחשבה דבור ומעשה" כי גם במעשה הביאה עצמו </w:t>
      </w:r>
      <w:r>
        <w:rPr>
          <w:rtl/>
        </w:rPr>
        <w:t>–</w:t>
      </w:r>
      <w:r>
        <w:rPr>
          <w:rFonts w:hint="cs"/>
          <w:rtl/>
        </w:rPr>
        <w:t xml:space="preserve"> המעשה שבמעשה, על פי המבואר כאן בפנים </w:t>
      </w:r>
      <w:r>
        <w:rPr>
          <w:rtl/>
        </w:rPr>
        <w:t>–</w:t>
      </w:r>
      <w:r>
        <w:rPr>
          <w:rFonts w:hint="cs"/>
          <w:rtl/>
        </w:rPr>
        <w:t xml:space="preserve"> יש שלש הבחינות של מחשבה-דבור-מעשה).</w:t>
      </w:r>
    </w:p>
  </w:endnote>
  <w:endnote w:id="9">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והוא על פי יסוד </w:t>
      </w:r>
      <w:proofErr w:type="spellStart"/>
      <w:r>
        <w:rPr>
          <w:rFonts w:hint="cs"/>
          <w:rtl/>
        </w:rPr>
        <w:t>ההתכללות</w:t>
      </w:r>
      <w:proofErr w:type="spellEnd"/>
      <w:r>
        <w:rPr>
          <w:rFonts w:hint="cs"/>
          <w:rtl/>
        </w:rPr>
        <w:t xml:space="preserve"> והקיבוץ שהוא מיסודות תורת </w:t>
      </w:r>
      <w:proofErr w:type="spellStart"/>
      <w:r>
        <w:rPr>
          <w:rFonts w:hint="cs"/>
          <w:rtl/>
        </w:rPr>
        <w:t>האריז"ל</w:t>
      </w:r>
      <w:proofErr w:type="spellEnd"/>
      <w:r>
        <w:rPr>
          <w:rFonts w:hint="cs"/>
          <w:rtl/>
        </w:rPr>
        <w:t xml:space="preserve"> ובפרט תורת </w:t>
      </w:r>
      <w:proofErr w:type="spellStart"/>
      <w:r>
        <w:rPr>
          <w:rFonts w:hint="cs"/>
          <w:rtl/>
        </w:rPr>
        <w:t>הרש"ש</w:t>
      </w:r>
      <w:proofErr w:type="spellEnd"/>
      <w:r>
        <w:rPr>
          <w:rFonts w:hint="cs"/>
          <w:rtl/>
        </w:rPr>
        <w:t xml:space="preserve"> – ראה חסדי דוד סימן ה וביאורו במבוא לקבלת </w:t>
      </w:r>
      <w:proofErr w:type="spellStart"/>
      <w:r>
        <w:rPr>
          <w:rFonts w:hint="cs"/>
          <w:rtl/>
        </w:rPr>
        <w:t>האריז"ל</w:t>
      </w:r>
      <w:proofErr w:type="spellEnd"/>
      <w:r>
        <w:rPr>
          <w:rFonts w:hint="cs"/>
          <w:rtl/>
        </w:rPr>
        <w:t xml:space="preserve"> (ביאור ב לסימן ה) ובחסדי דוד הנאמנים ח"א עמ' 73 ואילך (וראה גם שער ד בתורה "עצם מעצמי ובשר מבשרי").</w:t>
      </w:r>
    </w:p>
  </w:endnote>
  <w:endnote w:id="10">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סנהדרין </w:t>
      </w:r>
      <w:proofErr w:type="spellStart"/>
      <w:r>
        <w:rPr>
          <w:rFonts w:hint="cs"/>
          <w:rtl/>
        </w:rPr>
        <w:t>כו</w:t>
      </w:r>
      <w:proofErr w:type="spellEnd"/>
      <w:r>
        <w:rPr>
          <w:rFonts w:hint="cs"/>
          <w:rtl/>
        </w:rPr>
        <w:t xml:space="preserve">, ב ועוד (וראה בריש </w:t>
      </w:r>
      <w:proofErr w:type="spellStart"/>
      <w:r>
        <w:rPr>
          <w:rFonts w:hint="cs"/>
          <w:rtl/>
        </w:rPr>
        <w:t>לקוטי</w:t>
      </w:r>
      <w:proofErr w:type="spellEnd"/>
      <w:r>
        <w:rPr>
          <w:rFonts w:hint="cs"/>
          <w:rtl/>
        </w:rPr>
        <w:t xml:space="preserve"> דבורים לכ"ק אדמו"ר </w:t>
      </w:r>
      <w:proofErr w:type="spellStart"/>
      <w:r>
        <w:rPr>
          <w:rFonts w:hint="cs"/>
          <w:rtl/>
        </w:rPr>
        <w:t>הריי"צ</w:t>
      </w:r>
      <w:proofErr w:type="spellEnd"/>
      <w:r>
        <w:rPr>
          <w:rFonts w:hint="cs"/>
          <w:rtl/>
        </w:rPr>
        <w:t xml:space="preserve"> ובשיחות </w:t>
      </w:r>
      <w:proofErr w:type="spellStart"/>
      <w:r>
        <w:rPr>
          <w:rFonts w:hint="cs"/>
          <w:rtl/>
        </w:rPr>
        <w:t>הר"ן</w:t>
      </w:r>
      <w:proofErr w:type="spellEnd"/>
      <w:r>
        <w:rPr>
          <w:rFonts w:hint="cs"/>
          <w:rtl/>
        </w:rPr>
        <w:t xml:space="preserve"> סב).</w:t>
      </w:r>
    </w:p>
  </w:endnote>
  <w:endnote w:id="11">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משלי </w:t>
      </w:r>
      <w:proofErr w:type="spellStart"/>
      <w:r>
        <w:rPr>
          <w:rFonts w:hint="cs"/>
          <w:rtl/>
        </w:rPr>
        <w:t>כז</w:t>
      </w:r>
      <w:proofErr w:type="spellEnd"/>
      <w:r>
        <w:rPr>
          <w:rFonts w:hint="cs"/>
          <w:rtl/>
        </w:rPr>
        <w:t xml:space="preserve">, </w:t>
      </w:r>
      <w:proofErr w:type="spellStart"/>
      <w:r>
        <w:rPr>
          <w:rFonts w:hint="cs"/>
          <w:rtl/>
        </w:rPr>
        <w:t>יט</w:t>
      </w:r>
      <w:proofErr w:type="spellEnd"/>
      <w:r>
        <w:rPr>
          <w:rFonts w:hint="cs"/>
          <w:rtl/>
        </w:rPr>
        <w:t>.</w:t>
      </w:r>
    </w:p>
  </w:endnote>
  <w:endnote w:id="12">
    <w:p w:rsidR="00EA655F" w:rsidRDefault="00EA655F" w:rsidP="00EA655F">
      <w:pPr>
        <w:pStyle w:val="a5"/>
        <w:rPr>
          <w:rtl/>
        </w:rPr>
      </w:pPr>
      <w:r>
        <w:rPr>
          <w:rtl/>
        </w:rPr>
        <w:tab/>
      </w:r>
      <w:r w:rsidRPr="00E15672">
        <w:rPr>
          <w:rtl/>
        </w:rPr>
        <w:endnoteRef/>
      </w:r>
      <w:r>
        <w:rPr>
          <w:rtl/>
        </w:rPr>
        <w:t>.</w:t>
      </w:r>
      <w:r>
        <w:rPr>
          <w:rtl/>
        </w:rPr>
        <w:tab/>
      </w:r>
      <w:r>
        <w:rPr>
          <w:rFonts w:hint="cs"/>
          <w:rtl/>
        </w:rPr>
        <w:t xml:space="preserve">זהר </w:t>
      </w:r>
      <w:proofErr w:type="spellStart"/>
      <w:r>
        <w:rPr>
          <w:rFonts w:hint="cs"/>
          <w:rtl/>
        </w:rPr>
        <w:t>ח"ב</w:t>
      </w:r>
      <w:proofErr w:type="spellEnd"/>
      <w:r>
        <w:rPr>
          <w:rFonts w:hint="cs"/>
          <w:rtl/>
        </w:rPr>
        <w:t xml:space="preserve"> </w:t>
      </w:r>
      <w:proofErr w:type="spellStart"/>
      <w:r>
        <w:rPr>
          <w:rFonts w:hint="cs"/>
          <w:rtl/>
        </w:rPr>
        <w:t>קטו</w:t>
      </w:r>
      <w:proofErr w:type="spellEnd"/>
      <w:r>
        <w:rPr>
          <w:rFonts w:hint="cs"/>
          <w:rtl/>
        </w:rPr>
        <w:t>, א.</w:t>
      </w:r>
    </w:p>
  </w:endnote>
  <w:endnote w:id="13">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תהלים </w:t>
      </w:r>
      <w:proofErr w:type="spellStart"/>
      <w:r>
        <w:rPr>
          <w:rFonts w:hint="cs"/>
          <w:rtl/>
        </w:rPr>
        <w:t>יב</w:t>
      </w:r>
      <w:proofErr w:type="spellEnd"/>
      <w:r>
        <w:rPr>
          <w:rFonts w:hint="cs"/>
          <w:rtl/>
        </w:rPr>
        <w:t>, ז.</w:t>
      </w:r>
    </w:p>
  </w:endnote>
  <w:endnote w:id="14">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w:t>
      </w:r>
      <w:proofErr w:type="spellStart"/>
      <w:r>
        <w:rPr>
          <w:rFonts w:hint="cs"/>
          <w:rtl/>
        </w:rPr>
        <w:t>קג</w:t>
      </w:r>
      <w:proofErr w:type="spellEnd"/>
      <w:r>
        <w:rPr>
          <w:rFonts w:hint="cs"/>
          <w:rtl/>
        </w:rPr>
        <w:t>, א-ב.</w:t>
      </w:r>
    </w:p>
  </w:endnote>
  <w:endnote w:id="15">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כפי שנתבאר באריכות בשער הראשון ביין משמח </w:t>
      </w:r>
      <w:proofErr w:type="spellStart"/>
      <w:r>
        <w:rPr>
          <w:rFonts w:hint="cs"/>
          <w:rtl/>
        </w:rPr>
        <w:t>ח"ב</w:t>
      </w:r>
      <w:proofErr w:type="spellEnd"/>
      <w:r>
        <w:rPr>
          <w:rFonts w:hint="cs"/>
          <w:rtl/>
        </w:rPr>
        <w:t>.</w:t>
      </w:r>
    </w:p>
  </w:endnote>
  <w:endnote w:id="16">
    <w:p w:rsidR="00EA655F" w:rsidRDefault="00EA655F" w:rsidP="00EA655F">
      <w:pPr>
        <w:pStyle w:val="a5"/>
        <w:rPr>
          <w:rFonts w:hint="cs"/>
          <w:rtl/>
        </w:rPr>
      </w:pPr>
      <w:r>
        <w:rPr>
          <w:rtl/>
        </w:rPr>
        <w:tab/>
      </w:r>
      <w:r w:rsidRPr="00E15672">
        <w:rPr>
          <w:rtl/>
        </w:rPr>
        <w:endnoteRef/>
      </w:r>
      <w:r>
        <w:rPr>
          <w:rtl/>
        </w:rPr>
        <w:t>.</w:t>
      </w:r>
      <w:r>
        <w:rPr>
          <w:rtl/>
        </w:rPr>
        <w:tab/>
      </w:r>
      <w:r>
        <w:rPr>
          <w:rFonts w:hint="cs"/>
          <w:rtl/>
        </w:rPr>
        <w:t>תהלים מה, ב.</w:t>
      </w:r>
    </w:p>
  </w:endnote>
  <w:endnote w:id="17">
    <w:p w:rsidR="00EA655F" w:rsidRDefault="00EA655F" w:rsidP="00EA655F">
      <w:pPr>
        <w:pStyle w:val="a5"/>
        <w:rPr>
          <w:rFonts w:hint="cs"/>
          <w:rtl/>
        </w:rPr>
      </w:pPr>
      <w:r>
        <w:rPr>
          <w:rtl/>
        </w:rPr>
        <w:tab/>
      </w:r>
      <w:r w:rsidRPr="00E15672">
        <w:rPr>
          <w:rtl/>
        </w:rPr>
        <w:endnoteRef/>
      </w:r>
      <w:r>
        <w:rPr>
          <w:rtl/>
        </w:rPr>
        <w:t>.</w:t>
      </w:r>
      <w:r>
        <w:rPr>
          <w:rtl/>
        </w:rPr>
        <w:tab/>
      </w:r>
      <w:r>
        <w:rPr>
          <w:rFonts w:hint="cs"/>
          <w:rtl/>
        </w:rPr>
        <w:t>וראה שכינה ביניהם פ"ב.</w:t>
      </w:r>
    </w:p>
  </w:endnote>
  <w:endnote w:id="18">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איוב </w:t>
      </w:r>
      <w:proofErr w:type="spellStart"/>
      <w:r>
        <w:rPr>
          <w:rFonts w:hint="cs"/>
          <w:rtl/>
        </w:rPr>
        <w:t>כו</w:t>
      </w:r>
      <w:proofErr w:type="spellEnd"/>
      <w:r>
        <w:rPr>
          <w:rFonts w:hint="cs"/>
          <w:rtl/>
        </w:rPr>
        <w:t>, ז.</w:t>
      </w:r>
    </w:p>
  </w:endnote>
  <w:endnote w:id="19">
    <w:p w:rsidR="00EA655F" w:rsidRDefault="00EA655F" w:rsidP="00EA655F">
      <w:pPr>
        <w:pStyle w:val="a5"/>
        <w:rPr>
          <w:rFonts w:hint="cs"/>
        </w:rPr>
      </w:pPr>
      <w:r>
        <w:rPr>
          <w:rtl/>
        </w:rPr>
        <w:tab/>
      </w:r>
      <w:r w:rsidRPr="00E15672">
        <w:rPr>
          <w:rtl/>
        </w:rPr>
        <w:endnoteRef/>
      </w:r>
      <w:r>
        <w:rPr>
          <w:rtl/>
        </w:rPr>
        <w:t>.</w:t>
      </w:r>
      <w:r>
        <w:rPr>
          <w:rtl/>
        </w:rPr>
        <w:tab/>
      </w:r>
      <w:r>
        <w:rPr>
          <w:rFonts w:hint="cs"/>
          <w:rtl/>
        </w:rPr>
        <w:t>חולין פט, א.</w:t>
      </w:r>
    </w:p>
  </w:endnote>
  <w:endnote w:id="20">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חגיגה </w:t>
      </w:r>
      <w:proofErr w:type="spellStart"/>
      <w:r>
        <w:rPr>
          <w:rFonts w:hint="cs"/>
          <w:rtl/>
        </w:rPr>
        <w:t>יג</w:t>
      </w:r>
      <w:proofErr w:type="spellEnd"/>
      <w:r>
        <w:rPr>
          <w:rFonts w:hint="cs"/>
          <w:rtl/>
        </w:rPr>
        <w:t>, ב.</w:t>
      </w:r>
    </w:p>
  </w:endnote>
  <w:endnote w:id="21">
    <w:p w:rsidR="00EA655F" w:rsidRDefault="00EA655F" w:rsidP="00EA655F">
      <w:pPr>
        <w:pStyle w:val="a5"/>
        <w:rPr>
          <w:rFonts w:hint="cs"/>
          <w:rtl/>
        </w:rPr>
      </w:pPr>
      <w:r>
        <w:rPr>
          <w:rtl/>
        </w:rPr>
        <w:tab/>
      </w:r>
      <w:r w:rsidRPr="00E15672">
        <w:rPr>
          <w:rtl/>
        </w:rPr>
        <w:endnoteRef/>
      </w:r>
      <w:r>
        <w:rPr>
          <w:rtl/>
        </w:rPr>
        <w:t>.</w:t>
      </w:r>
      <w:r>
        <w:rPr>
          <w:rtl/>
        </w:rPr>
        <w:tab/>
      </w:r>
      <w:r>
        <w:rPr>
          <w:rFonts w:hint="cs"/>
          <w:rtl/>
        </w:rPr>
        <w:t>קידושין ה, א.</w:t>
      </w:r>
    </w:p>
  </w:endnote>
  <w:endnote w:id="22">
    <w:p w:rsidR="00EA655F" w:rsidRDefault="00EA655F" w:rsidP="00EA655F">
      <w:pPr>
        <w:pStyle w:val="a5"/>
        <w:rPr>
          <w:rFonts w:hint="cs"/>
          <w:rtl/>
        </w:rPr>
      </w:pPr>
      <w:r>
        <w:rPr>
          <w:rtl/>
        </w:rPr>
        <w:tab/>
      </w:r>
      <w:r w:rsidRPr="00E15672">
        <w:rPr>
          <w:rtl/>
        </w:rPr>
        <w:endnoteRef/>
      </w:r>
      <w:r>
        <w:rPr>
          <w:rtl/>
        </w:rPr>
        <w:t>.</w:t>
      </w:r>
      <w:r>
        <w:rPr>
          <w:rtl/>
        </w:rPr>
        <w:tab/>
      </w:r>
      <w:r>
        <w:rPr>
          <w:rFonts w:hint="cs"/>
          <w:rtl/>
        </w:rPr>
        <w:t>דברים כד, ה.</w:t>
      </w:r>
    </w:p>
  </w:endnote>
  <w:endnote w:id="23">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ראה תוספות ד"ה "נפסל" מנחות כ, ב. </w:t>
      </w:r>
      <w:proofErr w:type="spellStart"/>
      <w:r>
        <w:rPr>
          <w:rFonts w:hint="cs"/>
          <w:rtl/>
        </w:rPr>
        <w:t>שו"ע</w:t>
      </w:r>
      <w:proofErr w:type="spellEnd"/>
      <w:r>
        <w:rPr>
          <w:rFonts w:hint="cs"/>
          <w:rtl/>
        </w:rPr>
        <w:t xml:space="preserve"> </w:t>
      </w:r>
      <w:proofErr w:type="spellStart"/>
      <w:r>
        <w:rPr>
          <w:rFonts w:hint="cs"/>
          <w:rtl/>
        </w:rPr>
        <w:t>אדה"ז</w:t>
      </w:r>
      <w:proofErr w:type="spellEnd"/>
      <w:r>
        <w:rPr>
          <w:rFonts w:hint="cs"/>
          <w:rtl/>
        </w:rPr>
        <w:t xml:space="preserve"> </w:t>
      </w:r>
      <w:proofErr w:type="spellStart"/>
      <w:r>
        <w:rPr>
          <w:rFonts w:hint="cs"/>
          <w:rtl/>
        </w:rPr>
        <w:t>או"ח</w:t>
      </w:r>
      <w:proofErr w:type="spellEnd"/>
      <w:r>
        <w:rPr>
          <w:rFonts w:hint="cs"/>
          <w:rtl/>
        </w:rPr>
        <w:t xml:space="preserve"> סוף סימן </w:t>
      </w:r>
      <w:proofErr w:type="spellStart"/>
      <w:r>
        <w:rPr>
          <w:rFonts w:hint="cs"/>
          <w:rtl/>
        </w:rPr>
        <w:t>קפ</w:t>
      </w:r>
      <w:proofErr w:type="spellEnd"/>
      <w:r>
        <w:rPr>
          <w:rFonts w:hint="cs"/>
          <w:rtl/>
        </w:rPr>
        <w:t>, ועוד.</w:t>
      </w:r>
    </w:p>
  </w:endnote>
  <w:endnote w:id="24">
    <w:p w:rsidR="00EA655F" w:rsidRDefault="00EA655F" w:rsidP="00EA655F">
      <w:pPr>
        <w:pStyle w:val="a5"/>
        <w:rPr>
          <w:rFonts w:hint="cs"/>
          <w:rtl/>
        </w:rPr>
      </w:pPr>
      <w:r>
        <w:rPr>
          <w:rtl/>
        </w:rPr>
        <w:tab/>
      </w:r>
      <w:r w:rsidRPr="00E15672">
        <w:rPr>
          <w:rtl/>
        </w:rPr>
        <w:endnoteRef/>
      </w:r>
      <w:r>
        <w:rPr>
          <w:rtl/>
        </w:rPr>
        <w:t>.</w:t>
      </w:r>
      <w:r>
        <w:rPr>
          <w:rtl/>
        </w:rPr>
        <w:tab/>
      </w:r>
      <w:proofErr w:type="spellStart"/>
      <w:r>
        <w:rPr>
          <w:rFonts w:hint="cs"/>
          <w:rtl/>
        </w:rPr>
        <w:t>שו"ע</w:t>
      </w:r>
      <w:proofErr w:type="spellEnd"/>
      <w:r>
        <w:rPr>
          <w:rFonts w:hint="cs"/>
          <w:rtl/>
        </w:rPr>
        <w:t xml:space="preserve"> </w:t>
      </w:r>
      <w:proofErr w:type="spellStart"/>
      <w:r>
        <w:rPr>
          <w:rFonts w:hint="cs"/>
          <w:rtl/>
        </w:rPr>
        <w:t>חו"מ</w:t>
      </w:r>
      <w:proofErr w:type="spellEnd"/>
      <w:r>
        <w:rPr>
          <w:rFonts w:hint="cs"/>
          <w:rtl/>
        </w:rPr>
        <w:t xml:space="preserve"> סימן </w:t>
      </w:r>
      <w:proofErr w:type="spellStart"/>
      <w:r>
        <w:rPr>
          <w:rFonts w:hint="cs"/>
          <w:rtl/>
        </w:rPr>
        <w:t>רכח</w:t>
      </w:r>
      <w:proofErr w:type="spellEnd"/>
      <w:r>
        <w:rPr>
          <w:rFonts w:hint="cs"/>
          <w:rtl/>
        </w:rPr>
        <w:t xml:space="preserve"> סעיף ה.</w:t>
      </w:r>
    </w:p>
  </w:endnote>
  <w:endnote w:id="25">
    <w:p w:rsidR="00EA655F" w:rsidRDefault="00EA655F" w:rsidP="00EA655F">
      <w:pPr>
        <w:pStyle w:val="a5"/>
        <w:rPr>
          <w:rFonts w:hint="cs"/>
        </w:rPr>
      </w:pPr>
      <w:r>
        <w:rPr>
          <w:rtl/>
        </w:rPr>
        <w:tab/>
      </w:r>
      <w:r w:rsidRPr="00E15672">
        <w:rPr>
          <w:rtl/>
        </w:rPr>
        <w:endnoteRef/>
      </w:r>
      <w:r>
        <w:rPr>
          <w:rtl/>
        </w:rPr>
        <w:t>.</w:t>
      </w:r>
      <w:r>
        <w:rPr>
          <w:rtl/>
        </w:rPr>
        <w:tab/>
      </w:r>
      <w:r>
        <w:rPr>
          <w:rFonts w:hint="cs"/>
          <w:rtl/>
        </w:rPr>
        <w:t>יומא ב, א.</w:t>
      </w:r>
    </w:p>
  </w:endnote>
  <w:endnote w:id="26">
    <w:p w:rsidR="00EA655F" w:rsidRDefault="00EA655F" w:rsidP="00EA655F">
      <w:pPr>
        <w:pStyle w:val="a5"/>
        <w:rPr>
          <w:rFonts w:hint="cs"/>
          <w:rtl/>
        </w:rPr>
      </w:pPr>
      <w:r>
        <w:rPr>
          <w:rtl/>
        </w:rPr>
        <w:tab/>
      </w:r>
      <w:r w:rsidRPr="00E15672">
        <w:rPr>
          <w:rtl/>
        </w:rPr>
        <w:endnoteRef/>
      </w:r>
      <w:r>
        <w:rPr>
          <w:rtl/>
        </w:rPr>
        <w:t>.</w:t>
      </w:r>
      <w:r>
        <w:rPr>
          <w:rtl/>
        </w:rPr>
        <w:tab/>
      </w:r>
      <w:r>
        <w:rPr>
          <w:rFonts w:hint="cs"/>
          <w:rtl/>
        </w:rPr>
        <w:t xml:space="preserve">ראה יבמות </w:t>
      </w:r>
      <w:proofErr w:type="spellStart"/>
      <w:r>
        <w:rPr>
          <w:rFonts w:hint="cs"/>
          <w:rtl/>
        </w:rPr>
        <w:t>סג</w:t>
      </w:r>
      <w:proofErr w:type="spellEnd"/>
      <w:r>
        <w:rPr>
          <w:rFonts w:hint="cs"/>
          <w:rtl/>
        </w:rPr>
        <w:t xml:space="preserve">, א: "רב </w:t>
      </w:r>
      <w:proofErr w:type="spellStart"/>
      <w:r>
        <w:rPr>
          <w:rFonts w:hint="cs"/>
          <w:rtl/>
        </w:rPr>
        <w:t>חייא</w:t>
      </w:r>
      <w:proofErr w:type="spellEnd"/>
      <w:r>
        <w:rPr>
          <w:rFonts w:hint="cs"/>
          <w:rtl/>
        </w:rPr>
        <w:t xml:space="preserve"> הוא </w:t>
      </w:r>
      <w:proofErr w:type="spellStart"/>
      <w:r>
        <w:rPr>
          <w:rFonts w:hint="cs"/>
          <w:rtl/>
        </w:rPr>
        <w:t>קא</w:t>
      </w:r>
      <w:proofErr w:type="spellEnd"/>
      <w:r>
        <w:rPr>
          <w:rFonts w:hint="cs"/>
          <w:rtl/>
        </w:rPr>
        <w:t xml:space="preserve"> </w:t>
      </w:r>
      <w:proofErr w:type="spellStart"/>
      <w:r>
        <w:rPr>
          <w:rFonts w:hint="cs"/>
          <w:rtl/>
        </w:rPr>
        <w:t>מצערא</w:t>
      </w:r>
      <w:proofErr w:type="spellEnd"/>
      <w:r>
        <w:rPr>
          <w:rFonts w:hint="cs"/>
          <w:rtl/>
        </w:rPr>
        <w:t xml:space="preserve"> ליה </w:t>
      </w:r>
      <w:proofErr w:type="spellStart"/>
      <w:r>
        <w:rPr>
          <w:rFonts w:hint="cs"/>
          <w:rtl/>
        </w:rPr>
        <w:t>דביתהו</w:t>
      </w:r>
      <w:proofErr w:type="spellEnd"/>
      <w:r>
        <w:rPr>
          <w:rFonts w:hint="cs"/>
          <w:rtl/>
        </w:rPr>
        <w:t xml:space="preserve"> כי </w:t>
      </w:r>
      <w:proofErr w:type="spellStart"/>
      <w:r>
        <w:rPr>
          <w:rFonts w:hint="cs"/>
          <w:rtl/>
        </w:rPr>
        <w:t>הוה</w:t>
      </w:r>
      <w:proofErr w:type="spellEnd"/>
      <w:r>
        <w:rPr>
          <w:rFonts w:hint="cs"/>
          <w:rtl/>
        </w:rPr>
        <w:t xml:space="preserve"> </w:t>
      </w:r>
      <w:proofErr w:type="spellStart"/>
      <w:r>
        <w:rPr>
          <w:rFonts w:hint="cs"/>
          <w:rtl/>
        </w:rPr>
        <w:t>משכח</w:t>
      </w:r>
      <w:proofErr w:type="spellEnd"/>
      <w:r>
        <w:rPr>
          <w:rFonts w:hint="cs"/>
          <w:rtl/>
        </w:rPr>
        <w:t xml:space="preserve"> מידי צייר ליה בסודריה </w:t>
      </w:r>
      <w:proofErr w:type="spellStart"/>
      <w:r>
        <w:rPr>
          <w:rFonts w:hint="cs"/>
          <w:rtl/>
        </w:rPr>
        <w:t>ומייתי</w:t>
      </w:r>
      <w:proofErr w:type="spellEnd"/>
      <w:r>
        <w:rPr>
          <w:rFonts w:hint="cs"/>
          <w:rtl/>
        </w:rPr>
        <w:t xml:space="preserve"> ניהלה".</w:t>
      </w:r>
    </w:p>
  </w:endnote>
  <w:endnote w:id="27">
    <w:p w:rsidR="00EA655F" w:rsidRDefault="00EA655F" w:rsidP="00EA655F">
      <w:pPr>
        <w:pStyle w:val="a5"/>
        <w:rPr>
          <w:rFonts w:hint="cs"/>
          <w:rtl/>
        </w:rPr>
      </w:pPr>
      <w:r>
        <w:rPr>
          <w:rtl/>
        </w:rPr>
        <w:tab/>
      </w:r>
      <w:r w:rsidRPr="00E15672">
        <w:rPr>
          <w:rtl/>
        </w:rPr>
        <w:endnoteRef/>
      </w:r>
      <w:r>
        <w:rPr>
          <w:rtl/>
        </w:rPr>
        <w:t>.</w:t>
      </w:r>
      <w:r>
        <w:rPr>
          <w:rtl/>
        </w:rPr>
        <w:tab/>
      </w:r>
      <w:r>
        <w:rPr>
          <w:rFonts w:hint="cs"/>
          <w:rtl/>
        </w:rPr>
        <w:t>לכללות האמור עד כאן בתורה זו ראה בתוספת העמקה בשכינה ביניהם פ"ו הערה ב (וראה שם גם בהערה יד).</w:t>
      </w:r>
    </w:p>
  </w:endnote>
  <w:endnote w:id="28">
    <w:p w:rsidR="00EA655F" w:rsidRDefault="00EA655F" w:rsidP="00EA655F">
      <w:pPr>
        <w:pStyle w:val="a5"/>
        <w:rPr>
          <w:rFonts w:hint="cs"/>
          <w:rtl/>
        </w:rPr>
      </w:pPr>
      <w:r>
        <w:rPr>
          <w:rtl/>
        </w:rPr>
        <w:tab/>
      </w:r>
      <w:r w:rsidRPr="00E15672">
        <w:rPr>
          <w:rtl/>
        </w:rPr>
        <w:endnoteRef/>
      </w:r>
      <w:r>
        <w:rPr>
          <w:rtl/>
        </w:rPr>
        <w:t>.</w:t>
      </w:r>
      <w:r>
        <w:rPr>
          <w:rtl/>
        </w:rPr>
        <w:tab/>
      </w:r>
      <w:r>
        <w:rPr>
          <w:rFonts w:hint="cs"/>
          <w:rtl/>
        </w:rPr>
        <w:t>וכמבואר באורך בשאר התורות בשער זה.</w:t>
      </w:r>
    </w:p>
  </w:endnote>
  <w:endnote w:id="29">
    <w:p w:rsidR="00EA655F" w:rsidRDefault="00EA655F" w:rsidP="00EA655F">
      <w:pPr>
        <w:pStyle w:val="a5"/>
        <w:rPr>
          <w:rFonts w:hint="cs"/>
        </w:rPr>
      </w:pPr>
      <w:r>
        <w:rPr>
          <w:rtl/>
        </w:rPr>
        <w:tab/>
      </w:r>
      <w:r w:rsidRPr="00E15672">
        <w:rPr>
          <w:rtl/>
        </w:rPr>
        <w:endnoteRef/>
      </w:r>
      <w:r>
        <w:rPr>
          <w:rtl/>
        </w:rPr>
        <w:t>.</w:t>
      </w:r>
      <w:r>
        <w:rPr>
          <w:rtl/>
        </w:rPr>
        <w:tab/>
      </w:r>
      <w:r>
        <w:rPr>
          <w:rFonts w:hint="cs"/>
          <w:rtl/>
        </w:rPr>
        <w:t>קידושין מט, ב.</w:t>
      </w:r>
    </w:p>
  </w:endnote>
  <w:endnote w:id="30">
    <w:p w:rsidR="00EA655F" w:rsidRDefault="00EA655F" w:rsidP="00EA655F">
      <w:pPr>
        <w:pStyle w:val="a5"/>
        <w:rPr>
          <w:rFonts w:hint="cs"/>
          <w:rtl/>
        </w:rPr>
      </w:pPr>
      <w:r>
        <w:rPr>
          <w:rtl/>
        </w:rPr>
        <w:tab/>
      </w:r>
      <w:r w:rsidRPr="00E15672">
        <w:rPr>
          <w:rtl/>
        </w:rPr>
        <w:endnoteRef/>
      </w:r>
      <w:r>
        <w:rPr>
          <w:rtl/>
        </w:rPr>
        <w:t>.</w:t>
      </w:r>
      <w:r>
        <w:rPr>
          <w:rtl/>
        </w:rPr>
        <w:tab/>
      </w:r>
      <w:r>
        <w:rPr>
          <w:rFonts w:hint="cs"/>
          <w:rtl/>
        </w:rPr>
        <w:t>בראשית ב, חי.</w:t>
      </w:r>
    </w:p>
  </w:endnote>
  <w:endnote w:id="31">
    <w:p w:rsidR="00EA655F" w:rsidRDefault="00EA655F" w:rsidP="00EA655F">
      <w:pPr>
        <w:pStyle w:val="a5"/>
        <w:rPr>
          <w:rFonts w:hint="cs"/>
          <w:rtl/>
        </w:rPr>
      </w:pPr>
      <w:r>
        <w:rPr>
          <w:rtl/>
        </w:rPr>
        <w:tab/>
      </w:r>
      <w:r w:rsidRPr="00E15672">
        <w:rPr>
          <w:rtl/>
        </w:rPr>
        <w:endnoteRef/>
      </w:r>
      <w:r>
        <w:rPr>
          <w:rtl/>
        </w:rPr>
        <w:t>.</w:t>
      </w:r>
      <w:r>
        <w:rPr>
          <w:rtl/>
        </w:rPr>
        <w:tab/>
      </w:r>
      <w:proofErr w:type="spellStart"/>
      <w:r>
        <w:rPr>
          <w:rFonts w:hint="cs"/>
          <w:rtl/>
        </w:rPr>
        <w:t>שו"ע</w:t>
      </w:r>
      <w:proofErr w:type="spellEnd"/>
      <w:r>
        <w:rPr>
          <w:rFonts w:hint="cs"/>
          <w:rtl/>
        </w:rPr>
        <w:t xml:space="preserve"> יו"ד סימן קצה סעיפים י-</w:t>
      </w:r>
      <w:proofErr w:type="spellStart"/>
      <w:r>
        <w:rPr>
          <w:rFonts w:hint="cs"/>
          <w:rtl/>
        </w:rPr>
        <w:t>יג</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518" w:rsidRDefault="00205518" w:rsidP="00EA655F">
      <w:pPr>
        <w:spacing w:after="0" w:line="240" w:lineRule="auto"/>
      </w:pPr>
      <w:r>
        <w:separator/>
      </w:r>
    </w:p>
  </w:footnote>
  <w:footnote w:type="continuationSeparator" w:id="0">
    <w:p w:rsidR="00205518" w:rsidRDefault="00205518" w:rsidP="00EA65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59"/>
    <w:rsid w:val="00061E65"/>
    <w:rsid w:val="00205518"/>
    <w:rsid w:val="00831359"/>
    <w:rsid w:val="00AC2310"/>
    <w:rsid w:val="00EA65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A655F"/>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A655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A655F"/>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A655F"/>
    <w:rPr>
      <w:rFonts w:cs="Miriam"/>
      <w:w w:val="100"/>
      <w:sz w:val="21"/>
      <w:szCs w:val="23"/>
    </w:rPr>
  </w:style>
  <w:style w:type="character" w:customStyle="1" w:styleId="a4">
    <w:name w:val="מרים הערות שוליים"/>
    <w:basedOn w:val="a0"/>
    <w:rsid w:val="00EA655F"/>
    <w:rPr>
      <w:rFonts w:cs="Miriam"/>
      <w:sz w:val="20"/>
      <w:szCs w:val="19"/>
      <w:lang w:eastAsia="en-US"/>
    </w:rPr>
  </w:style>
  <w:style w:type="paragraph" w:styleId="a5">
    <w:name w:val="endnote text"/>
    <w:aliases w:val="Endnote Text"/>
    <w:basedOn w:val="a"/>
    <w:link w:val="a6"/>
    <w:autoRedefine/>
    <w:semiHidden/>
    <w:rsid w:val="00EA655F"/>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EA655F"/>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EA655F"/>
    <w:rPr>
      <w:noProof/>
      <w:position w:val="-4"/>
      <w:szCs w:val="27"/>
      <w:vertAlign w:val="superscript"/>
    </w:rPr>
  </w:style>
  <w:style w:type="paragraph" w:customStyle="1" w:styleId="a9">
    <w:name w:val="פתיח תו"/>
    <w:basedOn w:val="a"/>
    <w:link w:val="aa"/>
    <w:rsid w:val="00EA655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EA655F"/>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EA655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A655F"/>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A655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A655F"/>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A655F"/>
    <w:rPr>
      <w:rFonts w:cs="Miriam"/>
      <w:w w:val="100"/>
      <w:sz w:val="21"/>
      <w:szCs w:val="23"/>
    </w:rPr>
  </w:style>
  <w:style w:type="character" w:customStyle="1" w:styleId="a4">
    <w:name w:val="מרים הערות שוליים"/>
    <w:basedOn w:val="a0"/>
    <w:rsid w:val="00EA655F"/>
    <w:rPr>
      <w:rFonts w:cs="Miriam"/>
      <w:sz w:val="20"/>
      <w:szCs w:val="19"/>
      <w:lang w:eastAsia="en-US"/>
    </w:rPr>
  </w:style>
  <w:style w:type="paragraph" w:styleId="a5">
    <w:name w:val="endnote text"/>
    <w:aliases w:val="Endnote Text"/>
    <w:basedOn w:val="a"/>
    <w:link w:val="a6"/>
    <w:autoRedefine/>
    <w:semiHidden/>
    <w:rsid w:val="00EA655F"/>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EA655F"/>
    <w:rPr>
      <w:rFonts w:ascii="Times New Roman" w:eastAsia="Times New Roman" w:hAnsi="Times New Roman" w:cs="FrankRuehl"/>
      <w:sz w:val="20"/>
      <w:szCs w:val="23"/>
      <w:lang w:eastAsia="he-IL"/>
    </w:rPr>
  </w:style>
  <w:style w:type="character" w:styleId="a7">
    <w:name w:val="endnote reference"/>
    <w:aliases w:val="Endnote Reference"/>
    <w:basedOn w:val="a8"/>
    <w:semiHidden/>
    <w:rsid w:val="00EA655F"/>
    <w:rPr>
      <w:noProof/>
      <w:position w:val="-4"/>
      <w:szCs w:val="27"/>
      <w:vertAlign w:val="superscript"/>
    </w:rPr>
  </w:style>
  <w:style w:type="paragraph" w:customStyle="1" w:styleId="a9">
    <w:name w:val="פתיח תו"/>
    <w:basedOn w:val="a"/>
    <w:link w:val="aa"/>
    <w:rsid w:val="00EA655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a">
    <w:name w:val="פתיח תו תו"/>
    <w:basedOn w:val="a0"/>
    <w:link w:val="a9"/>
    <w:rsid w:val="00EA655F"/>
    <w:rPr>
      <w:rFonts w:ascii="Times New Roman" w:eastAsia="Times New Roman" w:hAnsi="Times New Roman" w:cs="Guttman Soncino"/>
      <w:b/>
      <w:bCs/>
      <w:color w:val="808080"/>
      <w:position w:val="-5"/>
      <w:sz w:val="85"/>
      <w:szCs w:val="85"/>
      <w:lang w:eastAsia="he-IL"/>
    </w:rPr>
  </w:style>
  <w:style w:type="character" w:styleId="a8">
    <w:name w:val="footnote reference"/>
    <w:basedOn w:val="a0"/>
    <w:uiPriority w:val="99"/>
    <w:semiHidden/>
    <w:unhideWhenUsed/>
    <w:rsid w:val="00EA65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2;&#1488;&#1513;&#1493;&#1503;%20&#1511;&#1491;&#1513;%20&#1492;&#1511;&#1497;&#1491;&#1493;&#1513;&#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4022</Characters>
  <Application>Microsoft Office Word</Application>
  <DocSecurity>0</DocSecurity>
  <Lines>33</Lines>
  <Paragraphs>9</Paragraphs>
  <ScaleCrop>false</ScaleCrop>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2017-08-14T22:37:00Z</dcterms:created>
  <dcterms:modified xsi:type="dcterms:W3CDTF">2017-08-14T22:37:00Z</dcterms:modified>
</cp:coreProperties>
</file>