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84" w:rsidRPr="00A41F87" w:rsidRDefault="00C56484" w:rsidP="00C56484">
      <w:pPr>
        <w:pStyle w:val="2"/>
        <w:rPr>
          <w:rFonts w:hint="cs"/>
          <w:rtl/>
        </w:rPr>
      </w:pPr>
      <w:bookmarkStart w:id="0" w:name="_Toc145068684"/>
      <w:bookmarkStart w:id="1" w:name="_Ref145069028"/>
      <w:r>
        <w:rPr>
          <w:w w:val="100"/>
          <w:rtl/>
        </w:rPr>
        <w:drawing>
          <wp:anchor distT="0" distB="0" distL="114300" distR="114300" simplePos="0" relativeHeight="251659264" behindDoc="1" locked="0" layoutInCell="1" allowOverlap="1">
            <wp:simplePos x="0" y="0"/>
            <wp:positionH relativeFrom="column">
              <wp:posOffset>1181100</wp:posOffset>
            </wp:positionH>
            <wp:positionV relativeFrom="paragraph">
              <wp:posOffset>695325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F87">
        <w:rPr>
          <w:rFonts w:hint="cs"/>
          <w:rtl/>
        </w:rPr>
        <w:t>מצוות היחוד</w:t>
      </w:r>
      <w:bookmarkEnd w:id="0"/>
      <w:bookmarkEnd w:id="1"/>
    </w:p>
    <w:p w:rsidR="00C56484" w:rsidRPr="00115A08" w:rsidRDefault="00C56484" w:rsidP="00C56484">
      <w:pPr>
        <w:keepNext/>
        <w:framePr w:dropCap="drop" w:lines="2" w:hSpace="57" w:wrap="around" w:vAnchor="text" w:hAnchor="text" w:xAlign="right"/>
        <w:spacing w:after="0" w:line="760" w:lineRule="exact"/>
        <w:textAlignment w:val="baseline"/>
        <w:rPr>
          <w:rStyle w:val="a9"/>
          <w:rtl/>
        </w:rPr>
      </w:pPr>
      <w:r w:rsidRPr="00115A08">
        <w:rPr>
          <w:rStyle w:val="a9"/>
          <w:rtl/>
        </w:rPr>
        <w:t>ש</w:t>
      </w:r>
    </w:p>
    <w:p w:rsidR="00C56484" w:rsidRDefault="00C56484" w:rsidP="00C56484">
      <w:pPr>
        <w:rPr>
          <w:rFonts w:hint="cs"/>
          <w:rtl/>
        </w:rPr>
      </w:pPr>
      <w:r>
        <w:rPr>
          <w:rtl/>
        </w:rPr>
        <w:t xml:space="preserve">לש מצוות האיש כלפי אשתו – </w:t>
      </w:r>
      <w:r>
        <w:rPr>
          <w:b/>
          <w:bCs/>
          <w:sz w:val="28"/>
          <w:szCs w:val="28"/>
          <w:rtl/>
        </w:rPr>
        <w:t>שאר</w:t>
      </w:r>
      <w:r>
        <w:rPr>
          <w:rtl/>
        </w:rPr>
        <w:t xml:space="preserve"> </w:t>
      </w:r>
      <w:r>
        <w:rPr>
          <w:b/>
          <w:bCs/>
          <w:sz w:val="28"/>
          <w:szCs w:val="28"/>
          <w:rtl/>
        </w:rPr>
        <w:t>כסות</w:t>
      </w:r>
      <w:r>
        <w:rPr>
          <w:rtl/>
        </w:rPr>
        <w:t xml:space="preserve"> </w:t>
      </w:r>
      <w:r>
        <w:rPr>
          <w:b/>
          <w:bCs/>
          <w:sz w:val="28"/>
          <w:szCs w:val="28"/>
          <w:rtl/>
        </w:rPr>
        <w:t>עונה</w:t>
      </w:r>
      <w:r>
        <w:rPr>
          <w:rtl/>
        </w:rPr>
        <w:t xml:space="preserve"> – עולות </w:t>
      </w:r>
      <w:proofErr w:type="spellStart"/>
      <w:r>
        <w:rPr>
          <w:rtl/>
        </w:rPr>
        <w:t>כמנין</w:t>
      </w:r>
      <w:proofErr w:type="spellEnd"/>
      <w:r>
        <w:rPr>
          <w:rtl/>
        </w:rPr>
        <w:t xml:space="preserve"> פסוק </w:t>
      </w:r>
      <w:proofErr w:type="spellStart"/>
      <w:r>
        <w:rPr>
          <w:rtl/>
        </w:rPr>
        <w:t>היחוד</w:t>
      </w:r>
      <w:proofErr w:type="spellEnd"/>
      <w:r>
        <w:rPr>
          <w:rtl/>
        </w:rPr>
        <w:t xml:space="preserve"> "</w:t>
      </w:r>
      <w:r>
        <w:rPr>
          <w:b/>
          <w:bCs/>
          <w:sz w:val="28"/>
          <w:szCs w:val="28"/>
          <w:rtl/>
        </w:rPr>
        <w:t>שמע</w:t>
      </w:r>
      <w:r>
        <w:rPr>
          <w:rtl/>
        </w:rPr>
        <w:t xml:space="preserve"> </w:t>
      </w:r>
      <w:r>
        <w:rPr>
          <w:b/>
          <w:bCs/>
          <w:sz w:val="28"/>
          <w:szCs w:val="28"/>
          <w:rtl/>
        </w:rPr>
        <w:t>ישראל</w:t>
      </w:r>
      <w:r>
        <w:rPr>
          <w:rtl/>
        </w:rPr>
        <w:t xml:space="preserve"> </w:t>
      </w:r>
      <w:r>
        <w:rPr>
          <w:b/>
          <w:bCs/>
          <w:sz w:val="28"/>
          <w:szCs w:val="28"/>
          <w:rtl/>
        </w:rPr>
        <w:t>הוי</w:t>
      </w:r>
      <w:r>
        <w:rPr>
          <w:rtl/>
        </w:rPr>
        <w:t xml:space="preserve">' </w:t>
      </w:r>
      <w:proofErr w:type="spellStart"/>
      <w:r>
        <w:rPr>
          <w:b/>
          <w:bCs/>
          <w:sz w:val="28"/>
          <w:szCs w:val="28"/>
          <w:rtl/>
        </w:rPr>
        <w:t>אלהינו</w:t>
      </w:r>
      <w:proofErr w:type="spellEnd"/>
      <w:r>
        <w:rPr>
          <w:rtl/>
        </w:rPr>
        <w:t xml:space="preserve"> </w:t>
      </w:r>
      <w:r>
        <w:rPr>
          <w:b/>
          <w:bCs/>
          <w:sz w:val="28"/>
          <w:szCs w:val="28"/>
          <w:rtl/>
        </w:rPr>
        <w:t>הוי</w:t>
      </w:r>
      <w:r>
        <w:rPr>
          <w:rtl/>
        </w:rPr>
        <w:t xml:space="preserve">' </w:t>
      </w:r>
      <w:r>
        <w:rPr>
          <w:b/>
          <w:bCs/>
          <w:sz w:val="28"/>
          <w:szCs w:val="28"/>
          <w:rtl/>
        </w:rPr>
        <w:t>אחד</w:t>
      </w:r>
      <w:r>
        <w:rPr>
          <w:rtl/>
        </w:rPr>
        <w:t>"</w:t>
      </w:r>
      <w:r w:rsidRPr="005316B5">
        <w:rPr>
          <w:rStyle w:val="a6"/>
          <w:rtl/>
        </w:rPr>
        <w:endnoteReference w:id="1"/>
      </w:r>
      <w:r>
        <w:rPr>
          <w:rFonts w:hint="cs"/>
          <w:rtl/>
        </w:rPr>
        <w:t xml:space="preserve"> </w:t>
      </w:r>
      <w:r w:rsidRPr="00467049">
        <w:rPr>
          <w:rFonts w:hint="cs"/>
          <w:rtl/>
        </w:rPr>
        <w:t xml:space="preserve">(כאשר ראשי התיבות של </w:t>
      </w:r>
      <w:r w:rsidRPr="00467049">
        <w:rPr>
          <w:rFonts w:hint="cs"/>
          <w:b/>
          <w:bCs/>
          <w:sz w:val="28"/>
          <w:szCs w:val="28"/>
          <w:rtl/>
        </w:rPr>
        <w:t>שאר</w:t>
      </w:r>
      <w:r w:rsidRPr="00467049">
        <w:rPr>
          <w:rFonts w:hint="cs"/>
          <w:rtl/>
        </w:rPr>
        <w:t xml:space="preserve"> </w:t>
      </w:r>
      <w:r w:rsidRPr="00467049">
        <w:rPr>
          <w:rFonts w:hint="cs"/>
          <w:b/>
          <w:bCs/>
          <w:sz w:val="28"/>
          <w:szCs w:val="28"/>
          <w:rtl/>
        </w:rPr>
        <w:t>כסות</w:t>
      </w:r>
      <w:r w:rsidRPr="00467049">
        <w:rPr>
          <w:rFonts w:hint="cs"/>
          <w:rtl/>
        </w:rPr>
        <w:t xml:space="preserve"> </w:t>
      </w:r>
      <w:r w:rsidRPr="00467049">
        <w:rPr>
          <w:rFonts w:hint="cs"/>
          <w:b/>
          <w:bCs/>
          <w:sz w:val="28"/>
          <w:szCs w:val="28"/>
          <w:rtl/>
        </w:rPr>
        <w:t>עונה</w:t>
      </w:r>
      <w:r w:rsidRPr="00467049">
        <w:rPr>
          <w:rFonts w:hint="cs"/>
          <w:rtl/>
        </w:rPr>
        <w:t xml:space="preserve"> עולים </w:t>
      </w:r>
      <w:r w:rsidRPr="00467049">
        <w:rPr>
          <w:rFonts w:hint="cs"/>
          <w:b/>
          <w:bCs/>
          <w:sz w:val="28"/>
          <w:szCs w:val="28"/>
          <w:rtl/>
        </w:rPr>
        <w:t>יה</w:t>
      </w:r>
      <w:r w:rsidRPr="00467049">
        <w:rPr>
          <w:rFonts w:hint="cs"/>
          <w:rtl/>
        </w:rPr>
        <w:t xml:space="preserve"> פעמים </w:t>
      </w:r>
      <w:r w:rsidRPr="00467049">
        <w:rPr>
          <w:rFonts w:hint="cs"/>
          <w:b/>
          <w:bCs/>
          <w:sz w:val="28"/>
          <w:szCs w:val="28"/>
          <w:rtl/>
        </w:rPr>
        <w:t>הוי</w:t>
      </w:r>
      <w:r w:rsidRPr="00467049">
        <w:rPr>
          <w:rFonts w:hint="cs"/>
          <w:rtl/>
        </w:rPr>
        <w:t xml:space="preserve">' ושאר אותיות עולות </w:t>
      </w:r>
      <w:r w:rsidRPr="00467049">
        <w:rPr>
          <w:rFonts w:hint="cs"/>
          <w:b/>
          <w:bCs/>
          <w:sz w:val="28"/>
          <w:szCs w:val="28"/>
          <w:rtl/>
        </w:rPr>
        <w:t>יחוד</w:t>
      </w:r>
      <w:r w:rsidRPr="00467049">
        <w:rPr>
          <w:rFonts w:hint="cs"/>
          <w:rtl/>
        </w:rPr>
        <w:t xml:space="preserve"> פעמים </w:t>
      </w:r>
      <w:r w:rsidRPr="00467049">
        <w:rPr>
          <w:rFonts w:hint="cs"/>
          <w:b/>
          <w:bCs/>
          <w:sz w:val="28"/>
          <w:szCs w:val="28"/>
          <w:rtl/>
        </w:rPr>
        <w:t>הוי</w:t>
      </w:r>
      <w:r w:rsidRPr="00467049">
        <w:rPr>
          <w:rFonts w:hint="cs"/>
          <w:rtl/>
        </w:rPr>
        <w:t xml:space="preserve">', רמז </w:t>
      </w:r>
      <w:proofErr w:type="spellStart"/>
      <w:r w:rsidRPr="00467049">
        <w:rPr>
          <w:rFonts w:hint="cs"/>
          <w:rtl/>
        </w:rPr>
        <w:t>ל</w:t>
      </w:r>
      <w:r w:rsidRPr="00467049">
        <w:rPr>
          <w:rFonts w:hint="cs"/>
          <w:b/>
          <w:bCs/>
          <w:sz w:val="28"/>
          <w:szCs w:val="28"/>
          <w:rtl/>
        </w:rPr>
        <w:t>יחוד</w:t>
      </w:r>
      <w:proofErr w:type="spellEnd"/>
      <w:r w:rsidRPr="00467049">
        <w:rPr>
          <w:rFonts w:hint="cs"/>
          <w:rtl/>
        </w:rPr>
        <w:t xml:space="preserve"> הקדוש בין ה-</w:t>
      </w:r>
      <w:r w:rsidRPr="00467049">
        <w:rPr>
          <w:rFonts w:hint="cs"/>
          <w:b/>
          <w:bCs/>
          <w:sz w:val="28"/>
          <w:szCs w:val="28"/>
          <w:rtl/>
        </w:rPr>
        <w:t>י</w:t>
      </w:r>
      <w:r w:rsidRPr="00467049">
        <w:rPr>
          <w:rFonts w:hint="cs"/>
          <w:rtl/>
        </w:rPr>
        <w:t xml:space="preserve"> שבא</w:t>
      </w:r>
      <w:r w:rsidRPr="00467049">
        <w:rPr>
          <w:rFonts w:hint="cs"/>
          <w:b/>
          <w:bCs/>
          <w:sz w:val="28"/>
          <w:szCs w:val="28"/>
          <w:rtl/>
        </w:rPr>
        <w:t>י</w:t>
      </w:r>
      <w:r w:rsidRPr="00467049">
        <w:rPr>
          <w:rFonts w:hint="cs"/>
          <w:rtl/>
        </w:rPr>
        <w:t>ש ל-</w:t>
      </w:r>
      <w:r w:rsidRPr="00467049">
        <w:rPr>
          <w:rFonts w:hint="cs"/>
          <w:b/>
          <w:bCs/>
          <w:sz w:val="28"/>
          <w:szCs w:val="28"/>
          <w:rtl/>
        </w:rPr>
        <w:t>ה</w:t>
      </w:r>
      <w:r w:rsidRPr="00467049">
        <w:rPr>
          <w:rFonts w:hint="cs"/>
          <w:rtl/>
        </w:rPr>
        <w:t xml:space="preserve"> שבאשה, עליו נאמר "זכו שכינה ביניהם"</w:t>
      </w:r>
      <w:r w:rsidRPr="005316B5">
        <w:rPr>
          <w:rStyle w:val="a6"/>
          <w:rtl/>
        </w:rPr>
        <w:endnoteReference w:id="2"/>
      </w:r>
      <w:r w:rsidRPr="00467049">
        <w:rPr>
          <w:rFonts w:hint="cs"/>
          <w:rtl/>
        </w:rPr>
        <w:t>).</w:t>
      </w:r>
    </w:p>
    <w:p w:rsidR="00C56484" w:rsidRDefault="00C56484" w:rsidP="00C56484">
      <w:pPr>
        <w:rPr>
          <w:rFonts w:hint="cs"/>
          <w:rtl/>
        </w:rPr>
      </w:pPr>
      <w:r>
        <w:rPr>
          <w:rtl/>
        </w:rPr>
        <w:t xml:space="preserve">רמז זה – המקשר את שלש המצוות למצות </w:t>
      </w:r>
      <w:proofErr w:type="spellStart"/>
      <w:r>
        <w:rPr>
          <w:rtl/>
        </w:rPr>
        <w:t>היחוד</w:t>
      </w:r>
      <w:proofErr w:type="spellEnd"/>
      <w:r>
        <w:rPr>
          <w:rtl/>
        </w:rPr>
        <w:t xml:space="preserve"> – מתאים במיוחד לפירוש הרמב"ן לפסוק "שארה כסותה וע</w:t>
      </w:r>
      <w:r w:rsidRPr="00B25101">
        <w:rPr>
          <w:spacing w:val="-10"/>
          <w:rtl/>
        </w:rPr>
        <w:t>ֹ</w:t>
      </w:r>
      <w:r>
        <w:rPr>
          <w:rtl/>
        </w:rPr>
        <w:t>נתה"</w:t>
      </w:r>
      <w:r w:rsidRPr="005316B5">
        <w:rPr>
          <w:rStyle w:val="a6"/>
          <w:rtl/>
        </w:rPr>
        <w:endnoteReference w:id="3"/>
      </w:r>
      <w:r>
        <w:rPr>
          <w:rtl/>
        </w:rPr>
        <w:t xml:space="preserve">, המשייך את כל שלשת הדברים למצות </w:t>
      </w:r>
      <w:proofErr w:type="spellStart"/>
      <w:r>
        <w:rPr>
          <w:rtl/>
        </w:rPr>
        <w:t>היחוד</w:t>
      </w:r>
      <w:proofErr w:type="spellEnd"/>
      <w:r>
        <w:rPr>
          <w:rtl/>
        </w:rPr>
        <w:t xml:space="preserve"> בין איש לאשתו. הרמב"ן מסביר</w:t>
      </w:r>
      <w:r w:rsidRPr="005316B5">
        <w:rPr>
          <w:rStyle w:val="a6"/>
          <w:rtl/>
        </w:rPr>
        <w:endnoteReference w:id="4"/>
      </w:r>
      <w:r>
        <w:rPr>
          <w:rtl/>
        </w:rPr>
        <w:t xml:space="preserve"> כי "שארה כסותה וע</w:t>
      </w:r>
      <w:r w:rsidRPr="00B25101">
        <w:rPr>
          <w:spacing w:val="-10"/>
          <w:rtl/>
        </w:rPr>
        <w:t>ֹ</w:t>
      </w:r>
      <w:r>
        <w:rPr>
          <w:rtl/>
        </w:rPr>
        <w:t xml:space="preserve">נתה" הם "שלשת </w:t>
      </w:r>
      <w:proofErr w:type="spellStart"/>
      <w:r>
        <w:rPr>
          <w:rtl/>
        </w:rPr>
        <w:t>הענינים</w:t>
      </w:r>
      <w:proofErr w:type="spellEnd"/>
      <w:r>
        <w:rPr>
          <w:rtl/>
        </w:rPr>
        <w:t xml:space="preserve"> אשר לאדם עם אשתו </w:t>
      </w:r>
      <w:proofErr w:type="spellStart"/>
      <w:r>
        <w:rPr>
          <w:rtl/>
        </w:rPr>
        <w:t>בחבורן</w:t>
      </w:r>
      <w:proofErr w:type="spellEnd"/>
      <w:r>
        <w:rPr>
          <w:rtl/>
        </w:rPr>
        <w:t>":</w:t>
      </w:r>
    </w:p>
    <w:p w:rsidR="00C56484" w:rsidRDefault="00C56484" w:rsidP="00C56484">
      <w:pPr>
        <w:rPr>
          <w:rFonts w:hint="cs"/>
          <w:highlight w:val="red"/>
          <w:rtl/>
        </w:rPr>
      </w:pPr>
      <w:r>
        <w:rPr>
          <w:rtl/>
        </w:rPr>
        <w:t>"שארה" הוא "קירוב בשרה" (– קרבה גופנית מוחלטת, ללא כל מחיצות, בין איש לאשתו)</w:t>
      </w:r>
      <w:r>
        <w:rPr>
          <w:rFonts w:hint="cs"/>
          <w:rtl/>
        </w:rPr>
        <w:t>.</w:t>
      </w:r>
      <w:r>
        <w:rPr>
          <w:rtl/>
        </w:rPr>
        <w:t xml:space="preserve"> </w:t>
      </w:r>
      <w:r>
        <w:rPr>
          <w:rFonts w:hint="cs"/>
          <w:rtl/>
        </w:rPr>
        <w:t xml:space="preserve">בלימוד זה </w:t>
      </w:r>
      <w:r>
        <w:rPr>
          <w:rtl/>
        </w:rPr>
        <w:t>–</w:t>
      </w:r>
      <w:r>
        <w:rPr>
          <w:rFonts w:hint="cs"/>
          <w:rtl/>
        </w:rPr>
        <w:t xml:space="preserve"> שתוכנו מפורש גם בדברי חז"ל</w:t>
      </w:r>
      <w:r w:rsidRPr="005316B5">
        <w:rPr>
          <w:rStyle w:val="a6"/>
          <w:rtl/>
        </w:rPr>
        <w:endnoteReference w:id="5"/>
      </w:r>
      <w:r>
        <w:rPr>
          <w:rFonts w:hint="cs"/>
          <w:rtl/>
        </w:rPr>
        <w:t xml:space="preserve"> </w:t>
      </w:r>
      <w:r>
        <w:rPr>
          <w:rtl/>
        </w:rPr>
        <w:t>–</w:t>
      </w:r>
      <w:r>
        <w:rPr>
          <w:rFonts w:hint="cs"/>
          <w:rtl/>
        </w:rPr>
        <w:t xml:space="preserve"> מפרש הרמב"ן שני אופנים, המכוונים לאותה מסקנה. באופן אחד מתפרש "שארה" כלשון קרבה ודבקות (כקרבת משפחה המתוארת בלשון "שאר"</w:t>
      </w:r>
      <w:r w:rsidRPr="005316B5">
        <w:rPr>
          <w:rStyle w:val="a6"/>
          <w:rtl/>
        </w:rPr>
        <w:endnoteReference w:id="6"/>
      </w:r>
      <w:r>
        <w:rPr>
          <w:rFonts w:hint="cs"/>
          <w:rtl/>
        </w:rPr>
        <w:t>, וכדרשת חז"ל "'שארו' זו אשתו"</w:t>
      </w:r>
      <w:r w:rsidRPr="005316B5">
        <w:rPr>
          <w:rStyle w:val="a6"/>
          <w:rtl/>
        </w:rPr>
        <w:endnoteReference w:id="7"/>
      </w:r>
      <w:r>
        <w:rPr>
          <w:rFonts w:hint="cs"/>
          <w:rtl/>
        </w:rPr>
        <w:t>), המלמדת על הקרבה והדבקות המוחלטת שצריכה להיות בין האיש לאשתו (וכלשון הפסוק "ודבק באשתו והיו לבשר אחד"</w:t>
      </w:r>
      <w:r w:rsidRPr="005316B5">
        <w:rPr>
          <w:rStyle w:val="a6"/>
          <w:rtl/>
        </w:rPr>
        <w:endnoteReference w:id="8"/>
      </w:r>
      <w:r>
        <w:rPr>
          <w:rFonts w:hint="cs"/>
          <w:rtl/>
        </w:rPr>
        <w:t>, הממחישה כי הקרבה והדבקות מתבטאת בקירוב הבשר). באופן אחר מתפרש "שארה" מלשון בשר, כשהוראת הפסוק "שארה… לא יגרע" היא "שלא ימנע ממנו בשרה, כלומר הבשר הראוי לה, והוא בשר הבעל אשר הוא עמה לבשר אחד".</w:t>
      </w:r>
      <w:r w:rsidRPr="005D75ED">
        <w:rPr>
          <w:rFonts w:hint="cs"/>
          <w:highlight w:val="red"/>
          <w:rtl/>
        </w:rPr>
        <w:t xml:space="preserve"> </w:t>
      </w:r>
    </w:p>
    <w:p w:rsidR="00C56484" w:rsidRDefault="00C56484" w:rsidP="00C56484">
      <w:pPr>
        <w:rPr>
          <w:rFonts w:hint="cs"/>
          <w:rtl/>
        </w:rPr>
      </w:pPr>
      <w:r>
        <w:rPr>
          <w:rtl/>
        </w:rPr>
        <w:t xml:space="preserve">"כסותה" היינו "כסות </w:t>
      </w:r>
      <w:proofErr w:type="spellStart"/>
      <w:r>
        <w:rPr>
          <w:rtl/>
        </w:rPr>
        <w:t>מטתה</w:t>
      </w:r>
      <w:proofErr w:type="spellEnd"/>
      <w:r>
        <w:rPr>
          <w:rtl/>
        </w:rPr>
        <w:t>"</w:t>
      </w:r>
      <w:r>
        <w:rPr>
          <w:rFonts w:hint="cs"/>
          <w:rtl/>
        </w:rPr>
        <w:t xml:space="preserve">, כאשר </w:t>
      </w:r>
      <w:proofErr w:type="spellStart"/>
      <w:r>
        <w:rPr>
          <w:rFonts w:hint="cs"/>
          <w:rtl/>
        </w:rPr>
        <w:t>היחוד</w:t>
      </w:r>
      <w:proofErr w:type="spellEnd"/>
      <w:r>
        <w:rPr>
          <w:rFonts w:hint="cs"/>
          <w:rtl/>
        </w:rPr>
        <w:t xml:space="preserve"> מתקיים ב</w:t>
      </w:r>
      <w:r>
        <w:rPr>
          <w:rtl/>
        </w:rPr>
        <w:t>"מטה כבודה"</w:t>
      </w:r>
      <w:r>
        <w:rPr>
          <w:rFonts w:hint="cs"/>
          <w:rtl/>
        </w:rPr>
        <w:t xml:space="preserve"> (</w:t>
      </w:r>
      <w:proofErr w:type="spellStart"/>
      <w:r>
        <w:rPr>
          <w:rFonts w:hint="cs"/>
          <w:rtl/>
        </w:rPr>
        <w:t>לאפוקי</w:t>
      </w:r>
      <w:proofErr w:type="spellEnd"/>
      <w:r>
        <w:rPr>
          <w:rFonts w:hint="cs"/>
          <w:rtl/>
        </w:rPr>
        <w:t xml:space="preserve"> ממצב בו ח"ו "זו עמו </w:t>
      </w:r>
      <w:proofErr w:type="spellStart"/>
      <w:r>
        <w:rPr>
          <w:rFonts w:hint="cs"/>
          <w:rtl/>
        </w:rPr>
        <w:t>כפלגש</w:t>
      </w:r>
      <w:proofErr w:type="spellEnd"/>
      <w:r>
        <w:rPr>
          <w:rFonts w:hint="cs"/>
          <w:rtl/>
        </w:rPr>
        <w:t xml:space="preserve">, ישכב עמה בדרך מקרה ועל הארץ, כבא אל </w:t>
      </w:r>
      <w:proofErr w:type="spellStart"/>
      <w:r>
        <w:rPr>
          <w:rFonts w:hint="cs"/>
          <w:rtl/>
        </w:rPr>
        <w:t>אשה</w:t>
      </w:r>
      <w:proofErr w:type="spellEnd"/>
      <w:r>
        <w:rPr>
          <w:rFonts w:hint="cs"/>
          <w:rtl/>
        </w:rPr>
        <w:t xml:space="preserve"> זונה").</w:t>
      </w:r>
    </w:p>
    <w:p w:rsidR="00C56484" w:rsidRDefault="00C56484" w:rsidP="00C56484">
      <w:pPr>
        <w:rPr>
          <w:rFonts w:hint="cs"/>
          <w:rtl/>
        </w:rPr>
      </w:pPr>
      <w:r>
        <w:rPr>
          <w:rtl/>
        </w:rPr>
        <w:t>"ע</w:t>
      </w:r>
      <w:r w:rsidRPr="00B25101">
        <w:rPr>
          <w:spacing w:val="-10"/>
          <w:rtl/>
        </w:rPr>
        <w:t>ֹ</w:t>
      </w:r>
      <w:r>
        <w:rPr>
          <w:rtl/>
        </w:rPr>
        <w:t>נתה" היא "עונת דודיה" – "שיבא אליה לעת דודים"</w:t>
      </w:r>
      <w:r>
        <w:rPr>
          <w:rFonts w:hint="cs"/>
          <w:rtl/>
        </w:rPr>
        <w:t xml:space="preserve"> (ואף שזו המילה היחידה שהיא לשון זיווג, הרי כל המשפט דן בזיווג ובדיניו, "כי דרך הכתוב בכל מקום להזכיר המשכב בלשון נקי ובקצור, ולכן אמר באלו ברמז 'שארה כסותה וע</w:t>
      </w:r>
      <w:r w:rsidRPr="00B25101">
        <w:rPr>
          <w:rFonts w:hint="cs"/>
          <w:spacing w:val="-10"/>
          <w:rtl/>
        </w:rPr>
        <w:t>ֹ</w:t>
      </w:r>
      <w:r>
        <w:rPr>
          <w:rFonts w:hint="cs"/>
          <w:rtl/>
        </w:rPr>
        <w:t xml:space="preserve">נתה', על שלשת </w:t>
      </w:r>
      <w:proofErr w:type="spellStart"/>
      <w:r>
        <w:rPr>
          <w:rFonts w:hint="cs"/>
          <w:rtl/>
        </w:rPr>
        <w:t>הענינים</w:t>
      </w:r>
      <w:proofErr w:type="spellEnd"/>
      <w:r>
        <w:rPr>
          <w:rFonts w:hint="cs"/>
          <w:rtl/>
        </w:rPr>
        <w:t xml:space="preserve"> אשר לאדם עם אשתו </w:t>
      </w:r>
      <w:proofErr w:type="spellStart"/>
      <w:r>
        <w:rPr>
          <w:rFonts w:hint="cs"/>
          <w:rtl/>
        </w:rPr>
        <w:t>בחבורן</w:t>
      </w:r>
      <w:proofErr w:type="spellEnd"/>
      <w:r>
        <w:rPr>
          <w:rFonts w:hint="cs"/>
          <w:rtl/>
        </w:rPr>
        <w:t xml:space="preserve">", ומוסיף הרמב"ן "ויבוא זה כהוגן על דין ההלכה, ויהיו המזונות ומלבושי </w:t>
      </w:r>
      <w:proofErr w:type="spellStart"/>
      <w:r>
        <w:rPr>
          <w:rFonts w:hint="cs"/>
          <w:rtl/>
        </w:rPr>
        <w:t>האשה</w:t>
      </w:r>
      <w:proofErr w:type="spellEnd"/>
      <w:r>
        <w:rPr>
          <w:rFonts w:hint="cs"/>
          <w:rtl/>
        </w:rPr>
        <w:t xml:space="preserve"> [שמפרשים אחרים</w:t>
      </w:r>
      <w:r w:rsidRPr="005316B5">
        <w:rPr>
          <w:rStyle w:val="a6"/>
          <w:rtl/>
        </w:rPr>
        <w:endnoteReference w:id="9"/>
      </w:r>
      <w:r>
        <w:rPr>
          <w:rFonts w:hint="cs"/>
          <w:rtl/>
        </w:rPr>
        <w:t xml:space="preserve"> פרשו כי הם שאר וכסות] תקנה מדבריהם")</w:t>
      </w:r>
      <w:r>
        <w:rPr>
          <w:rtl/>
        </w:rPr>
        <w:t>.</w:t>
      </w:r>
    </w:p>
    <w:p w:rsidR="00C56484" w:rsidRDefault="00C56484" w:rsidP="00C56484">
      <w:pPr>
        <w:rPr>
          <w:rFonts w:hint="cs"/>
          <w:rtl/>
        </w:rPr>
      </w:pPr>
      <w:r>
        <w:rPr>
          <w:rtl/>
        </w:rPr>
        <w:t xml:space="preserve">בפנימיות, קירוב הבשר בין האיש לאשתו </w:t>
      </w:r>
      <w:r>
        <w:rPr>
          <w:rFonts w:hint="cs"/>
          <w:rtl/>
        </w:rPr>
        <w:t xml:space="preserve">("שארה" לפירוש הרמב"ן) </w:t>
      </w:r>
      <w:r>
        <w:rPr>
          <w:rtl/>
        </w:rPr>
        <w:t>צריך לבטא את הסרת כל המחיצות הנפשיות ביניהם – על האיש לשדר לאשתו נכונות</w:t>
      </w:r>
      <w:r>
        <w:rPr>
          <w:rFonts w:hint="cs"/>
          <w:rtl/>
        </w:rPr>
        <w:t xml:space="preserve"> וקרבה</w:t>
      </w:r>
      <w:r>
        <w:rPr>
          <w:rtl/>
        </w:rPr>
        <w:t xml:space="preserve"> מלאה </w:t>
      </w:r>
      <w:r>
        <w:rPr>
          <w:rFonts w:hint="cs"/>
          <w:rtl/>
        </w:rPr>
        <w:t xml:space="preserve">(כקרוב משפחה הדבוק אליה תמיד באופן טבעי, כפירושו הראשון של הרמב"ן) </w:t>
      </w:r>
      <w:r>
        <w:rPr>
          <w:rtl/>
        </w:rPr>
        <w:t>ולתת לה להרגיש כי באמת הוא מסור לה כל כולו</w:t>
      </w:r>
      <w:r>
        <w:rPr>
          <w:rFonts w:hint="cs"/>
          <w:rtl/>
        </w:rPr>
        <w:t xml:space="preserve"> (ואיננו מונע ממנה את כל בשרו, כפירושו השני של הרמב"ן)</w:t>
      </w:r>
      <w:r>
        <w:rPr>
          <w:rtl/>
        </w:rPr>
        <w:t>.</w:t>
      </w:r>
    </w:p>
    <w:p w:rsidR="00C56484" w:rsidRDefault="00C56484" w:rsidP="00C56484">
      <w:pPr>
        <w:rPr>
          <w:rFonts w:hint="cs"/>
          <w:rtl/>
        </w:rPr>
      </w:pPr>
      <w:r>
        <w:rPr>
          <w:rtl/>
        </w:rPr>
        <w:t>בזיווג</w:t>
      </w:r>
      <w:r>
        <w:rPr>
          <w:rFonts w:hint="cs"/>
          <w:rtl/>
        </w:rPr>
        <w:t>,</w:t>
      </w:r>
      <w:r>
        <w:rPr>
          <w:rtl/>
        </w:rPr>
        <w:t xml:space="preserve"> כסות המטה </w:t>
      </w:r>
      <w:r>
        <w:rPr>
          <w:rFonts w:hint="cs"/>
          <w:rtl/>
        </w:rPr>
        <w:t xml:space="preserve">("כסותה" לפירוש הרמב"ן) </w:t>
      </w:r>
      <w:r>
        <w:rPr>
          <w:rtl/>
        </w:rPr>
        <w:t>ה</w:t>
      </w:r>
      <w:r>
        <w:rPr>
          <w:rFonts w:hint="cs"/>
          <w:rtl/>
        </w:rPr>
        <w:t>י</w:t>
      </w:r>
      <w:r>
        <w:rPr>
          <w:rtl/>
        </w:rPr>
        <w:t xml:space="preserve">א מקיף – מעין חופה – המייחד מקום משותף לבני הזוג המתכסים תחתיו ומשמש להצנעתם (וכלשון לחש הזהר </w:t>
      </w:r>
      <w:r>
        <w:rPr>
          <w:rFonts w:hint="cs"/>
          <w:rtl/>
        </w:rPr>
        <w:t xml:space="preserve">הנאמר </w:t>
      </w:r>
      <w:r>
        <w:rPr>
          <w:rtl/>
        </w:rPr>
        <w:t>"</w:t>
      </w:r>
      <w:proofErr w:type="spellStart"/>
      <w:r>
        <w:rPr>
          <w:rtl/>
        </w:rPr>
        <w:t>לחפיא</w:t>
      </w:r>
      <w:proofErr w:type="spellEnd"/>
      <w:r>
        <w:rPr>
          <w:rtl/>
        </w:rPr>
        <w:t xml:space="preserve"> </w:t>
      </w:r>
      <w:proofErr w:type="spellStart"/>
      <w:r>
        <w:rPr>
          <w:rtl/>
        </w:rPr>
        <w:t>לרישיה</w:t>
      </w:r>
      <w:proofErr w:type="spellEnd"/>
      <w:r>
        <w:rPr>
          <w:rtl/>
        </w:rPr>
        <w:t xml:space="preserve"> </w:t>
      </w:r>
      <w:proofErr w:type="spellStart"/>
      <w:r>
        <w:rPr>
          <w:rtl/>
        </w:rPr>
        <w:lastRenderedPageBreak/>
        <w:t>ולאיתתיה</w:t>
      </w:r>
      <w:proofErr w:type="spellEnd"/>
      <w:r>
        <w:rPr>
          <w:rtl/>
        </w:rPr>
        <w:t>"</w:t>
      </w:r>
      <w:r w:rsidRPr="005316B5">
        <w:rPr>
          <w:rStyle w:val="a6"/>
          <w:rtl/>
        </w:rPr>
        <w:endnoteReference w:id="10"/>
      </w:r>
      <w:r>
        <w:rPr>
          <w:rtl/>
        </w:rPr>
        <w:t>). וכן, בעוד שבקירוב הבשר מורגש כי הבעל הוא המשפיע לאשתו – ולכן דרושה לה קרבתו השלמה – הרי שהאור המקיף של הכסות "</w:t>
      </w:r>
      <w:proofErr w:type="spellStart"/>
      <w:r>
        <w:rPr>
          <w:rtl/>
        </w:rPr>
        <w:t>שוה</w:t>
      </w:r>
      <w:proofErr w:type="spellEnd"/>
      <w:r>
        <w:rPr>
          <w:rtl/>
        </w:rPr>
        <w:t xml:space="preserve"> ומשוה" את בני הזוג שתחתיו</w:t>
      </w:r>
      <w:r>
        <w:rPr>
          <w:rFonts w:hint="cs"/>
          <w:rtl/>
        </w:rPr>
        <w:t xml:space="preserve"> </w:t>
      </w:r>
      <w:r w:rsidRPr="00467049">
        <w:rPr>
          <w:rFonts w:hint="cs"/>
          <w:rtl/>
        </w:rPr>
        <w:t>(</w:t>
      </w:r>
      <w:proofErr w:type="spellStart"/>
      <w:r w:rsidRPr="00467049">
        <w:rPr>
          <w:rFonts w:hint="cs"/>
          <w:rtl/>
        </w:rPr>
        <w:t>ושויון</w:t>
      </w:r>
      <w:proofErr w:type="spellEnd"/>
      <w:r w:rsidRPr="00467049">
        <w:rPr>
          <w:rFonts w:hint="cs"/>
          <w:rtl/>
        </w:rPr>
        <w:t xml:space="preserve"> זה משרה השראתו על כל עניני הזיווג, והרמז</w:t>
      </w:r>
      <w:r>
        <w:rPr>
          <w:rFonts w:hint="cs"/>
          <w:rtl/>
        </w:rPr>
        <w:t>:</w:t>
      </w:r>
      <w:r w:rsidRPr="00467049">
        <w:rPr>
          <w:rFonts w:hint="cs"/>
          <w:rtl/>
        </w:rPr>
        <w:t xml:space="preserve"> הראש-תוך-סוף של </w:t>
      </w:r>
      <w:r w:rsidRPr="00467049">
        <w:rPr>
          <w:rFonts w:hint="cs"/>
          <w:b/>
          <w:bCs/>
          <w:sz w:val="28"/>
          <w:szCs w:val="28"/>
          <w:rtl/>
        </w:rPr>
        <w:t>ש</w:t>
      </w:r>
      <w:r w:rsidRPr="00467049">
        <w:rPr>
          <w:rFonts w:hint="cs"/>
          <w:rtl/>
        </w:rPr>
        <w:t>אר כס</w:t>
      </w:r>
      <w:r w:rsidRPr="00467049">
        <w:rPr>
          <w:rFonts w:hint="cs"/>
          <w:b/>
          <w:bCs/>
          <w:sz w:val="28"/>
          <w:szCs w:val="28"/>
          <w:rtl/>
        </w:rPr>
        <w:t>ו</w:t>
      </w:r>
      <w:r w:rsidRPr="00467049">
        <w:rPr>
          <w:rFonts w:hint="cs"/>
          <w:rtl/>
        </w:rPr>
        <w:t>ת עונ</w:t>
      </w:r>
      <w:r w:rsidRPr="00467049">
        <w:rPr>
          <w:rFonts w:hint="cs"/>
          <w:b/>
          <w:bCs/>
          <w:sz w:val="28"/>
          <w:szCs w:val="28"/>
          <w:rtl/>
        </w:rPr>
        <w:t>ה</w:t>
      </w:r>
      <w:r w:rsidRPr="00467049">
        <w:rPr>
          <w:rFonts w:hint="cs"/>
          <w:rtl/>
        </w:rPr>
        <w:t xml:space="preserve"> הוא אותיות </w:t>
      </w:r>
      <w:proofErr w:type="spellStart"/>
      <w:r w:rsidRPr="00467049">
        <w:rPr>
          <w:rFonts w:hint="cs"/>
          <w:b/>
          <w:bCs/>
          <w:sz w:val="28"/>
          <w:szCs w:val="28"/>
          <w:rtl/>
        </w:rPr>
        <w:t>שוה</w:t>
      </w:r>
      <w:proofErr w:type="spellEnd"/>
      <w:r w:rsidRPr="00467049">
        <w:rPr>
          <w:rFonts w:hint="cs"/>
          <w:rtl/>
        </w:rPr>
        <w:t>)</w:t>
      </w:r>
      <w:r w:rsidRPr="00467049">
        <w:rPr>
          <w:rtl/>
        </w:rPr>
        <w:t>.</w:t>
      </w:r>
    </w:p>
    <w:p w:rsidR="00C56484" w:rsidRDefault="00C56484" w:rsidP="00C56484">
      <w:pPr>
        <w:rPr>
          <w:rFonts w:hint="cs"/>
          <w:rtl/>
        </w:rPr>
      </w:pPr>
      <w:proofErr w:type="spellStart"/>
      <w:r>
        <w:rPr>
          <w:rtl/>
        </w:rPr>
        <w:t>אוירת</w:t>
      </w:r>
      <w:proofErr w:type="spellEnd"/>
      <w:r>
        <w:rPr>
          <w:rtl/>
        </w:rPr>
        <w:t xml:space="preserve"> </w:t>
      </w:r>
      <w:proofErr w:type="spellStart"/>
      <w:r>
        <w:rPr>
          <w:rtl/>
        </w:rPr>
        <w:t>השויון</w:t>
      </w:r>
      <w:proofErr w:type="spellEnd"/>
      <w:r>
        <w:rPr>
          <w:rtl/>
        </w:rPr>
        <w:t xml:space="preserve"> היא המעוררת את הכלה לקראת </w:t>
      </w:r>
      <w:proofErr w:type="spellStart"/>
      <w:r>
        <w:rPr>
          <w:rtl/>
        </w:rPr>
        <w:t>היחוד</w:t>
      </w:r>
      <w:proofErr w:type="spellEnd"/>
      <w:r>
        <w:rPr>
          <w:rtl/>
        </w:rPr>
        <w:t xml:space="preserve"> – כאשר ה</w:t>
      </w:r>
      <w:r w:rsidRPr="00E84990">
        <w:rPr>
          <w:rStyle w:val="a3"/>
          <w:rtl/>
        </w:rPr>
        <w:t>לבוש</w:t>
      </w:r>
      <w:r>
        <w:rPr>
          <w:rtl/>
        </w:rPr>
        <w:t xml:space="preserve"> גורם לכך </w:t>
      </w:r>
      <w:proofErr w:type="spellStart"/>
      <w:r>
        <w:rPr>
          <w:rtl/>
        </w:rPr>
        <w:t>שהאשה</w:t>
      </w:r>
      <w:proofErr w:type="spellEnd"/>
      <w:r>
        <w:rPr>
          <w:rtl/>
        </w:rPr>
        <w:t xml:space="preserve"> </w:t>
      </w:r>
      <w:r w:rsidRPr="00E84990">
        <w:rPr>
          <w:rStyle w:val="a3"/>
          <w:rtl/>
        </w:rPr>
        <w:t>לא</w:t>
      </w:r>
      <w:r>
        <w:rPr>
          <w:rtl/>
        </w:rPr>
        <w:t xml:space="preserve"> </w:t>
      </w:r>
      <w:r w:rsidRPr="00E84990">
        <w:rPr>
          <w:rStyle w:val="a3"/>
          <w:rtl/>
        </w:rPr>
        <w:t>תבוש</w:t>
      </w:r>
      <w:r>
        <w:rPr>
          <w:rtl/>
        </w:rPr>
        <w:t xml:space="preserve"> להתעורר לגמרי בהעלאת </w:t>
      </w:r>
      <w:proofErr w:type="spellStart"/>
      <w:r>
        <w:rPr>
          <w:rtl/>
        </w:rPr>
        <w:t>המ"נ</w:t>
      </w:r>
      <w:proofErr w:type="spellEnd"/>
      <w:r>
        <w:rPr>
          <w:rtl/>
        </w:rPr>
        <w:t xml:space="preserve"> – ואזי עת הדודים היא </w:t>
      </w:r>
      <w:r w:rsidRPr="00E84990">
        <w:rPr>
          <w:rStyle w:val="a3"/>
          <w:rtl/>
        </w:rPr>
        <w:t>עונה</w:t>
      </w:r>
      <w:r>
        <w:rPr>
          <w:rtl/>
        </w:rPr>
        <w:t xml:space="preserve"> </w:t>
      </w:r>
      <w:proofErr w:type="spellStart"/>
      <w:r>
        <w:rPr>
          <w:rtl/>
        </w:rPr>
        <w:t>אמיתית</w:t>
      </w:r>
      <w:proofErr w:type="spellEnd"/>
      <w:r>
        <w:rPr>
          <w:rtl/>
        </w:rPr>
        <w:t xml:space="preserve">, בה </w:t>
      </w:r>
      <w:r w:rsidRPr="00E84990">
        <w:rPr>
          <w:rStyle w:val="a3"/>
          <w:rtl/>
        </w:rPr>
        <w:t>נענה</w:t>
      </w:r>
      <w:r>
        <w:rPr>
          <w:rtl/>
        </w:rPr>
        <w:t xml:space="preserve"> האיש להתעוררות אשתו</w:t>
      </w:r>
      <w:r w:rsidRPr="005316B5">
        <w:rPr>
          <w:rStyle w:val="a6"/>
          <w:rtl/>
        </w:rPr>
        <w:endnoteReference w:id="11"/>
      </w:r>
      <w:r>
        <w:rPr>
          <w:rtl/>
        </w:rPr>
        <w:t xml:space="preserve"> (כאשר "</w:t>
      </w:r>
      <w:proofErr w:type="spellStart"/>
      <w:r>
        <w:rPr>
          <w:rtl/>
        </w:rPr>
        <w:t>אשה</w:t>
      </w:r>
      <w:proofErr w:type="spellEnd"/>
      <w:r>
        <w:rPr>
          <w:rtl/>
        </w:rPr>
        <w:t xml:space="preserve"> מזרעת תחלה"</w:t>
      </w:r>
      <w:r w:rsidRPr="005316B5">
        <w:rPr>
          <w:rStyle w:val="a6"/>
          <w:rtl/>
        </w:rPr>
        <w:endnoteReference w:id="12"/>
      </w:r>
      <w:r>
        <w:rPr>
          <w:rtl/>
        </w:rPr>
        <w:t xml:space="preserve"> דווקא).</w:t>
      </w:r>
    </w:p>
    <w:p w:rsidR="005F4A47" w:rsidRDefault="0038176F">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76F" w:rsidRDefault="0038176F" w:rsidP="00C56484">
      <w:pPr>
        <w:spacing w:after="0" w:line="240" w:lineRule="auto"/>
      </w:pPr>
      <w:r>
        <w:separator/>
      </w:r>
    </w:p>
  </w:endnote>
  <w:endnote w:type="continuationSeparator" w:id="0">
    <w:p w:rsidR="0038176F" w:rsidRDefault="0038176F" w:rsidP="00C56484">
      <w:pPr>
        <w:spacing w:after="0" w:line="240" w:lineRule="auto"/>
      </w:pPr>
      <w:r>
        <w:continuationSeparator/>
      </w:r>
    </w:p>
  </w:endnote>
  <w:endnote w:id="1">
    <w:p w:rsidR="00C56484" w:rsidRDefault="00C56484" w:rsidP="00C56484">
      <w:pPr>
        <w:pStyle w:val="a4"/>
        <w:rPr>
          <w:rFonts w:hint="cs"/>
          <w:rtl/>
        </w:rPr>
      </w:pPr>
      <w:r>
        <w:rPr>
          <w:rtl/>
        </w:rPr>
        <w:tab/>
      </w:r>
      <w:r w:rsidRPr="00E15672">
        <w:rPr>
          <w:rtl/>
        </w:rPr>
        <w:endnoteRef/>
      </w:r>
      <w:r>
        <w:rPr>
          <w:rtl/>
        </w:rPr>
        <w:t>.</w:t>
      </w:r>
      <w:r>
        <w:rPr>
          <w:rtl/>
        </w:rPr>
        <w:tab/>
      </w:r>
      <w:r>
        <w:rPr>
          <w:rFonts w:hint="cs"/>
          <w:rtl/>
        </w:rPr>
        <w:t>דברים ו, ד.</w:t>
      </w:r>
    </w:p>
  </w:endnote>
  <w:endnote w:id="2">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3">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4">
    <w:p w:rsidR="00C56484" w:rsidRDefault="00C56484" w:rsidP="00C56484">
      <w:pPr>
        <w:pStyle w:val="a4"/>
        <w:rPr>
          <w:rFonts w:hint="cs"/>
        </w:rPr>
      </w:pPr>
      <w:r>
        <w:rPr>
          <w:rtl/>
        </w:rPr>
        <w:tab/>
      </w:r>
      <w:r w:rsidRPr="00E15672">
        <w:rPr>
          <w:rtl/>
        </w:rPr>
        <w:endnoteRef/>
      </w:r>
      <w:r>
        <w:rPr>
          <w:rtl/>
        </w:rPr>
        <w:t>.</w:t>
      </w:r>
      <w:r>
        <w:rPr>
          <w:rtl/>
        </w:rPr>
        <w:tab/>
      </w:r>
      <w:r>
        <w:rPr>
          <w:rFonts w:hint="cs"/>
          <w:rtl/>
        </w:rPr>
        <w:t xml:space="preserve">שם פסוק ט. עוד על דברי הרמב"ן ראה גם ביין משמח </w:t>
      </w:r>
      <w:proofErr w:type="spellStart"/>
      <w:r>
        <w:rPr>
          <w:rFonts w:hint="cs"/>
          <w:rtl/>
        </w:rPr>
        <w:t>ח"ב</w:t>
      </w:r>
      <w:proofErr w:type="spellEnd"/>
      <w:r>
        <w:rPr>
          <w:rFonts w:hint="cs"/>
          <w:rtl/>
        </w:rPr>
        <w:t xml:space="preserve"> שער ה, בתורות "תיקון הדעת" (עמ' צג) ו"תמחה את זכר עמלק" (עמ' </w:t>
      </w:r>
      <w:proofErr w:type="spellStart"/>
      <w:r>
        <w:rPr>
          <w:rFonts w:hint="cs"/>
          <w:rtl/>
        </w:rPr>
        <w:t>צה</w:t>
      </w:r>
      <w:proofErr w:type="spellEnd"/>
      <w:r>
        <w:rPr>
          <w:rFonts w:hint="cs"/>
          <w:rtl/>
        </w:rPr>
        <w:t xml:space="preserve"> ואילך), וכן בתורות הבאות בשער זה.</w:t>
      </w:r>
    </w:p>
  </w:endnote>
  <w:endnote w:id="5">
    <w:p w:rsidR="00C56484" w:rsidRDefault="00C56484" w:rsidP="00C56484">
      <w:pPr>
        <w:pStyle w:val="a4"/>
        <w:rPr>
          <w:rFonts w:hint="cs"/>
          <w:rtl/>
        </w:rPr>
      </w:pPr>
      <w:r>
        <w:rPr>
          <w:rtl/>
        </w:rPr>
        <w:tab/>
      </w:r>
      <w:r w:rsidRPr="00E15672">
        <w:rPr>
          <w:rtl/>
        </w:rPr>
        <w:endnoteRef/>
      </w:r>
      <w:r>
        <w:rPr>
          <w:rtl/>
        </w:rPr>
        <w:t>.</w:t>
      </w:r>
      <w:r>
        <w:rPr>
          <w:rtl/>
        </w:rPr>
        <w:tab/>
      </w:r>
      <w:r>
        <w:rPr>
          <w:rFonts w:hint="cs"/>
          <w:rtl/>
        </w:rPr>
        <w:t>כתובות מח, א (הובא לקמן בתורה "זיווג במחשבה דבור ומעשה".</w:t>
      </w:r>
    </w:p>
  </w:endnote>
  <w:endnote w:id="6">
    <w:p w:rsidR="00C56484" w:rsidRDefault="00C56484" w:rsidP="00C56484">
      <w:pPr>
        <w:pStyle w:val="a4"/>
        <w:rPr>
          <w:rFonts w:hint="cs"/>
        </w:rPr>
      </w:pPr>
      <w:r>
        <w:rPr>
          <w:rtl/>
        </w:rPr>
        <w:tab/>
      </w:r>
      <w:r w:rsidRPr="00E15672">
        <w:rPr>
          <w:rtl/>
        </w:rPr>
        <w:endnoteRef/>
      </w:r>
      <w:r>
        <w:rPr>
          <w:rtl/>
        </w:rPr>
        <w:t>.</w:t>
      </w:r>
      <w:r>
        <w:rPr>
          <w:rtl/>
        </w:rPr>
        <w:tab/>
      </w:r>
      <w:r>
        <w:rPr>
          <w:rFonts w:hint="cs"/>
          <w:rtl/>
        </w:rPr>
        <w:t xml:space="preserve">ויקרא </w:t>
      </w:r>
      <w:proofErr w:type="spellStart"/>
      <w:r>
        <w:rPr>
          <w:rFonts w:hint="cs"/>
          <w:rtl/>
        </w:rPr>
        <w:t>יח</w:t>
      </w:r>
      <w:proofErr w:type="spellEnd"/>
      <w:r>
        <w:rPr>
          <w:rFonts w:hint="cs"/>
          <w:rtl/>
        </w:rPr>
        <w:t xml:space="preserve">, ו; שם פסוק </w:t>
      </w:r>
      <w:proofErr w:type="spellStart"/>
      <w:r>
        <w:rPr>
          <w:rFonts w:hint="cs"/>
          <w:rtl/>
        </w:rPr>
        <w:t>יז</w:t>
      </w:r>
      <w:proofErr w:type="spellEnd"/>
      <w:r>
        <w:rPr>
          <w:rFonts w:hint="cs"/>
          <w:rtl/>
        </w:rPr>
        <w:t>.</w:t>
      </w:r>
    </w:p>
  </w:endnote>
  <w:endnote w:id="7">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יבמות </w:t>
      </w:r>
      <w:proofErr w:type="spellStart"/>
      <w:r>
        <w:rPr>
          <w:rFonts w:hint="cs"/>
          <w:rtl/>
        </w:rPr>
        <w:t>כב</w:t>
      </w:r>
      <w:proofErr w:type="spellEnd"/>
      <w:r>
        <w:rPr>
          <w:rFonts w:hint="cs"/>
          <w:rtl/>
        </w:rPr>
        <w:t>, ב, ועוד.</w:t>
      </w:r>
    </w:p>
  </w:endnote>
  <w:endnote w:id="8">
    <w:p w:rsidR="00C56484" w:rsidRDefault="00C56484" w:rsidP="00C56484">
      <w:pPr>
        <w:pStyle w:val="a4"/>
        <w:rPr>
          <w:rFonts w:hint="cs"/>
          <w:rtl/>
        </w:rPr>
      </w:pPr>
      <w:r>
        <w:rPr>
          <w:rtl/>
        </w:rPr>
        <w:tab/>
      </w:r>
      <w:r w:rsidRPr="00E15672">
        <w:rPr>
          <w:rtl/>
        </w:rPr>
        <w:endnoteRef/>
      </w:r>
      <w:r>
        <w:rPr>
          <w:rtl/>
        </w:rPr>
        <w:t>.</w:t>
      </w:r>
      <w:r>
        <w:rPr>
          <w:rtl/>
        </w:rPr>
        <w:tab/>
      </w:r>
      <w:r>
        <w:rPr>
          <w:rFonts w:hint="cs"/>
          <w:rtl/>
        </w:rPr>
        <w:t>בראשית ב, כד.</w:t>
      </w:r>
    </w:p>
  </w:endnote>
  <w:endnote w:id="9">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ראה רש"י </w:t>
      </w:r>
      <w:proofErr w:type="spellStart"/>
      <w:r>
        <w:rPr>
          <w:rFonts w:hint="cs"/>
          <w:rtl/>
        </w:rPr>
        <w:t>והרשב"ם</w:t>
      </w:r>
      <w:proofErr w:type="spellEnd"/>
      <w:r>
        <w:rPr>
          <w:rFonts w:hint="cs"/>
          <w:rtl/>
        </w:rPr>
        <w:t xml:space="preserve"> עה"פ, והוא על יסוד דברי המכילתא משפטים פרשה ג.</w:t>
      </w:r>
    </w:p>
  </w:endnote>
  <w:endnote w:id="10">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יט</w:t>
      </w:r>
      <w:proofErr w:type="spellEnd"/>
      <w:r>
        <w:rPr>
          <w:rFonts w:hint="cs"/>
          <w:rtl/>
        </w:rPr>
        <w:t>, א.</w:t>
      </w:r>
    </w:p>
  </w:endnote>
  <w:endnote w:id="11">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ראה בעתה </w:t>
      </w:r>
      <w:proofErr w:type="spellStart"/>
      <w:r>
        <w:rPr>
          <w:rFonts w:hint="cs"/>
          <w:rtl/>
        </w:rPr>
        <w:t>אחישנה</w:t>
      </w:r>
      <w:proofErr w:type="spellEnd"/>
      <w:r>
        <w:rPr>
          <w:rFonts w:hint="cs"/>
          <w:rtl/>
        </w:rPr>
        <w:t xml:space="preserve"> עמ' רפו (וראה גם משך חכמה שמות </w:t>
      </w:r>
      <w:proofErr w:type="spellStart"/>
      <w:r>
        <w:rPr>
          <w:rFonts w:hint="cs"/>
          <w:rtl/>
        </w:rPr>
        <w:t>כא</w:t>
      </w:r>
      <w:proofErr w:type="spellEnd"/>
      <w:r>
        <w:rPr>
          <w:rFonts w:hint="cs"/>
          <w:rtl/>
        </w:rPr>
        <w:t>, י).</w:t>
      </w:r>
    </w:p>
  </w:endnote>
  <w:endnote w:id="12">
    <w:p w:rsidR="00C56484" w:rsidRDefault="00C56484" w:rsidP="00C56484">
      <w:pPr>
        <w:pStyle w:val="a4"/>
        <w:rPr>
          <w:rFonts w:hint="cs"/>
          <w:rtl/>
        </w:rPr>
      </w:pPr>
      <w:r>
        <w:rPr>
          <w:rtl/>
        </w:rPr>
        <w:tab/>
      </w:r>
      <w:r w:rsidRPr="00E15672">
        <w:rPr>
          <w:rtl/>
        </w:rPr>
        <w:endnoteRef/>
      </w:r>
      <w:r>
        <w:rPr>
          <w:rtl/>
        </w:rPr>
        <w:t>.</w:t>
      </w:r>
      <w:r>
        <w:rPr>
          <w:rtl/>
        </w:rPr>
        <w:tab/>
      </w:r>
      <w:r>
        <w:rPr>
          <w:rFonts w:hint="cs"/>
          <w:rtl/>
        </w:rPr>
        <w:t xml:space="preserve">ברכות ס, א (ובכ"ד). וראה באורך בספר בעתה </w:t>
      </w:r>
      <w:proofErr w:type="spellStart"/>
      <w:r>
        <w:rPr>
          <w:rFonts w:hint="cs"/>
          <w:rtl/>
        </w:rPr>
        <w:t>אחישנה</w:t>
      </w:r>
      <w:proofErr w:type="spellEnd"/>
      <w:r>
        <w:rPr>
          <w:rFonts w:hint="cs"/>
          <w:rtl/>
        </w:rPr>
        <w:t xml:space="preserve"> פ"ז.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76F" w:rsidRDefault="0038176F" w:rsidP="00C56484">
      <w:pPr>
        <w:spacing w:after="0" w:line="240" w:lineRule="auto"/>
      </w:pPr>
      <w:r>
        <w:separator/>
      </w:r>
    </w:p>
  </w:footnote>
  <w:footnote w:type="continuationSeparator" w:id="0">
    <w:p w:rsidR="0038176F" w:rsidRDefault="0038176F" w:rsidP="00C56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42"/>
    <w:rsid w:val="00061E65"/>
    <w:rsid w:val="0038176F"/>
    <w:rsid w:val="006F4E42"/>
    <w:rsid w:val="00AC2310"/>
    <w:rsid w:val="00C564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5648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5648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56484"/>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C56484"/>
    <w:rPr>
      <w:rFonts w:cs="Miriam"/>
      <w:w w:val="100"/>
      <w:sz w:val="21"/>
      <w:szCs w:val="23"/>
    </w:rPr>
  </w:style>
  <w:style w:type="paragraph" w:styleId="a4">
    <w:name w:val="endnote text"/>
    <w:aliases w:val="Endnote Text"/>
    <w:basedOn w:val="a"/>
    <w:link w:val="a5"/>
    <w:autoRedefine/>
    <w:semiHidden/>
    <w:rsid w:val="00C5648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C56484"/>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C56484"/>
    <w:rPr>
      <w:noProof/>
      <w:position w:val="-4"/>
      <w:szCs w:val="27"/>
      <w:vertAlign w:val="superscript"/>
    </w:rPr>
  </w:style>
  <w:style w:type="paragraph" w:customStyle="1" w:styleId="a8">
    <w:name w:val="פתיח תו"/>
    <w:basedOn w:val="a"/>
    <w:link w:val="a9"/>
    <w:rsid w:val="00C5648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C56484"/>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C564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5648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5648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56484"/>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C56484"/>
    <w:rPr>
      <w:rFonts w:cs="Miriam"/>
      <w:w w:val="100"/>
      <w:sz w:val="21"/>
      <w:szCs w:val="23"/>
    </w:rPr>
  </w:style>
  <w:style w:type="paragraph" w:styleId="a4">
    <w:name w:val="endnote text"/>
    <w:aliases w:val="Endnote Text"/>
    <w:basedOn w:val="a"/>
    <w:link w:val="a5"/>
    <w:autoRedefine/>
    <w:semiHidden/>
    <w:rsid w:val="00C5648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C56484"/>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C56484"/>
    <w:rPr>
      <w:noProof/>
      <w:position w:val="-4"/>
      <w:szCs w:val="27"/>
      <w:vertAlign w:val="superscript"/>
    </w:rPr>
  </w:style>
  <w:style w:type="paragraph" w:customStyle="1" w:styleId="a8">
    <w:name w:val="פתיח תו"/>
    <w:basedOn w:val="a"/>
    <w:link w:val="a9"/>
    <w:rsid w:val="00C5648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C56484"/>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C564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2;&#1489;&#1497;&#1506;&#1497;%20&#1513;&#1488;&#1512;&#1492;%20&#1499;&#1505;&#1493;&#1514;&#1492;%20&#1493;&#1506;&#1493;&#1504;&#1514;&#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2099</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2017-08-14T22:42:00Z</dcterms:created>
  <dcterms:modified xsi:type="dcterms:W3CDTF">2017-08-14T22:43:00Z</dcterms:modified>
</cp:coreProperties>
</file>