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560" w:rsidRPr="00DE7874" w:rsidRDefault="00F02560" w:rsidP="00F02560">
      <w:pPr>
        <w:pStyle w:val="2"/>
        <w:rPr>
          <w:rFonts w:hint="cs"/>
          <w:rtl/>
        </w:rPr>
      </w:pPr>
      <w:bookmarkStart w:id="0" w:name="_Toc145068686"/>
      <w:bookmarkStart w:id="1" w:name="_Ref145069157"/>
      <w:r w:rsidRPr="00DE7874">
        <w:rPr>
          <w:rFonts w:hint="cs"/>
          <w:rtl/>
        </w:rPr>
        <w:t>זיווג במחשבה דבור ומעשה</w:t>
      </w:r>
      <w:bookmarkEnd w:id="0"/>
      <w:bookmarkEnd w:id="1"/>
    </w:p>
    <w:p w:rsidR="00F02560" w:rsidRPr="00115A08" w:rsidRDefault="00F02560" w:rsidP="00F02560">
      <w:pPr>
        <w:keepNext/>
        <w:framePr w:dropCap="drop" w:lines="2" w:hSpace="57" w:wrap="around" w:vAnchor="text" w:hAnchor="text" w:xAlign="right"/>
        <w:spacing w:after="0" w:line="760" w:lineRule="exact"/>
        <w:textAlignment w:val="baseline"/>
        <w:rPr>
          <w:rStyle w:val="a9"/>
          <w:rtl/>
        </w:rPr>
      </w:pPr>
      <w:r w:rsidRPr="00115A08">
        <w:rPr>
          <w:rStyle w:val="a9"/>
          <w:rFonts w:hint="cs"/>
          <w:rtl/>
        </w:rPr>
        <w:t>ע</w:t>
      </w:r>
    </w:p>
    <w:p w:rsidR="00F02560" w:rsidRDefault="00F02560" w:rsidP="00F02560">
      <w:pPr>
        <w:rPr>
          <w:rFonts w:hint="cs"/>
          <w:rtl/>
        </w:rPr>
      </w:pPr>
      <w:r>
        <w:rPr>
          <w:rFonts w:hint="cs"/>
          <w:rtl/>
        </w:rPr>
        <w:t>ל הפסוק "שארה כסותה וע</w:t>
      </w:r>
      <w:r w:rsidRPr="00160544">
        <w:rPr>
          <w:rFonts w:hint="cs"/>
          <w:spacing w:val="-10"/>
          <w:rtl/>
        </w:rPr>
        <w:t>ֹ</w:t>
      </w:r>
      <w:r>
        <w:rPr>
          <w:rFonts w:hint="cs"/>
          <w:rtl/>
        </w:rPr>
        <w:t>נתה לא יגרע"</w:t>
      </w:r>
      <w:r w:rsidRPr="005316B5">
        <w:rPr>
          <w:rStyle w:val="a6"/>
          <w:rtl/>
        </w:rPr>
        <w:endnoteReference w:id="1"/>
      </w:r>
      <w:r>
        <w:rPr>
          <w:rFonts w:hint="cs"/>
          <w:rtl/>
        </w:rPr>
        <w:t xml:space="preserve"> דרש רב יוסף: "'שארה' זו קרוב בשר, שלא ינהג בה מנהג פרסיים </w:t>
      </w:r>
      <w:proofErr w:type="spellStart"/>
      <w:r>
        <w:rPr>
          <w:rFonts w:hint="cs"/>
          <w:rtl/>
        </w:rPr>
        <w:t>שמשמשין</w:t>
      </w:r>
      <w:proofErr w:type="spellEnd"/>
      <w:r>
        <w:rPr>
          <w:rFonts w:hint="cs"/>
          <w:rtl/>
        </w:rPr>
        <w:t xml:space="preserve"> מטותיהן </w:t>
      </w:r>
      <w:proofErr w:type="spellStart"/>
      <w:r>
        <w:rPr>
          <w:rFonts w:hint="cs"/>
          <w:rtl/>
        </w:rPr>
        <w:t>בלבושיהן</w:t>
      </w:r>
      <w:proofErr w:type="spellEnd"/>
      <w:r>
        <w:rPr>
          <w:rFonts w:hint="cs"/>
          <w:rtl/>
        </w:rPr>
        <w:t xml:space="preserve">. מסייע ליה לרב </w:t>
      </w:r>
      <w:proofErr w:type="spellStart"/>
      <w:r>
        <w:rPr>
          <w:rFonts w:hint="cs"/>
          <w:rtl/>
        </w:rPr>
        <w:t>הונא</w:t>
      </w:r>
      <w:proofErr w:type="spellEnd"/>
      <w:r>
        <w:rPr>
          <w:rFonts w:hint="cs"/>
          <w:rtl/>
        </w:rPr>
        <w:t xml:space="preserve">, </w:t>
      </w:r>
      <w:proofErr w:type="spellStart"/>
      <w:r>
        <w:rPr>
          <w:rFonts w:hint="cs"/>
          <w:rtl/>
        </w:rPr>
        <w:t>דאמר</w:t>
      </w:r>
      <w:proofErr w:type="spellEnd"/>
      <w:r>
        <w:rPr>
          <w:rFonts w:hint="cs"/>
          <w:rtl/>
        </w:rPr>
        <w:t xml:space="preserve"> רב </w:t>
      </w:r>
      <w:proofErr w:type="spellStart"/>
      <w:r>
        <w:rPr>
          <w:rFonts w:hint="cs"/>
          <w:rtl/>
        </w:rPr>
        <w:t>הונא</w:t>
      </w:r>
      <w:proofErr w:type="spellEnd"/>
      <w:r>
        <w:rPr>
          <w:rFonts w:hint="cs"/>
          <w:rtl/>
        </w:rPr>
        <w:t>: האומר אי אפשי אלא אני בבגדי והיא בבגדה יוציא ונותן כתובה"</w:t>
      </w:r>
      <w:r w:rsidRPr="005316B5">
        <w:rPr>
          <w:rStyle w:val="a6"/>
          <w:rtl/>
        </w:rPr>
        <w:endnoteReference w:id="2"/>
      </w:r>
      <w:r>
        <w:rPr>
          <w:rFonts w:hint="cs"/>
          <w:rtl/>
        </w:rPr>
        <w:t>.</w:t>
      </w:r>
    </w:p>
    <w:p w:rsidR="00F02560" w:rsidRDefault="00F02560" w:rsidP="00F02560">
      <w:pPr>
        <w:rPr>
          <w:rFonts w:hint="cs"/>
          <w:rtl/>
        </w:rPr>
      </w:pPr>
      <w:r>
        <w:rPr>
          <w:rFonts w:hint="cs"/>
          <w:rtl/>
        </w:rPr>
        <w:t>הניגוד של "קרוב בשר" הוא "הוא ב</w:t>
      </w:r>
      <w:r w:rsidRPr="00E84990">
        <w:rPr>
          <w:rStyle w:val="a3"/>
          <w:rFonts w:hint="cs"/>
          <w:rtl/>
        </w:rPr>
        <w:t>בגדו</w:t>
      </w:r>
      <w:r>
        <w:rPr>
          <w:rFonts w:hint="cs"/>
          <w:rtl/>
        </w:rPr>
        <w:t xml:space="preserve"> והיא ב</w:t>
      </w:r>
      <w:r w:rsidRPr="00E84990">
        <w:rPr>
          <w:rStyle w:val="a3"/>
          <w:rFonts w:hint="cs"/>
          <w:rtl/>
        </w:rPr>
        <w:t>בגדה</w:t>
      </w:r>
      <w:r>
        <w:rPr>
          <w:rFonts w:hint="cs"/>
          <w:rtl/>
        </w:rPr>
        <w:t xml:space="preserve">", ומכאן ניתן ללמוד כי במניעת קירוב בשר יש צד של </w:t>
      </w:r>
      <w:r w:rsidRPr="00E84990">
        <w:rPr>
          <w:rStyle w:val="a3"/>
          <w:rFonts w:hint="cs"/>
          <w:rtl/>
        </w:rPr>
        <w:t>בגידה</w:t>
      </w:r>
      <w:r>
        <w:rPr>
          <w:rFonts w:hint="cs"/>
          <w:rtl/>
        </w:rPr>
        <w:t xml:space="preserve"> בבת הזוג</w:t>
      </w:r>
      <w:r w:rsidRPr="005316B5">
        <w:rPr>
          <w:rStyle w:val="a6"/>
          <w:rtl/>
        </w:rPr>
        <w:endnoteReference w:id="3"/>
      </w:r>
      <w:r>
        <w:rPr>
          <w:rFonts w:hint="cs"/>
          <w:rtl/>
        </w:rPr>
        <w:t xml:space="preserve"> (וכך ניתן לבאר את לשון הבגידה המופיע בכתיב הפסוק בנתינת שמו של גד </w:t>
      </w:r>
      <w:r>
        <w:rPr>
          <w:rtl/>
        </w:rPr>
        <w:t>–</w:t>
      </w:r>
      <w:r>
        <w:rPr>
          <w:rFonts w:hint="cs"/>
          <w:rtl/>
        </w:rPr>
        <w:t xml:space="preserve"> "ותאמר לאה </w:t>
      </w:r>
      <w:r w:rsidRPr="00E84990">
        <w:rPr>
          <w:rStyle w:val="a3"/>
          <w:rFonts w:hint="cs"/>
          <w:rtl/>
        </w:rPr>
        <w:t>בגד</w:t>
      </w:r>
      <w:r>
        <w:rPr>
          <w:rFonts w:hint="cs"/>
          <w:rtl/>
        </w:rPr>
        <w:t xml:space="preserve"> [וקרי בא-גד] ותקרא את שמו גד"</w:t>
      </w:r>
      <w:r w:rsidRPr="005316B5">
        <w:rPr>
          <w:rStyle w:val="a6"/>
          <w:rtl/>
        </w:rPr>
        <w:endnoteReference w:id="4"/>
      </w:r>
      <w:r>
        <w:rPr>
          <w:rFonts w:hint="cs"/>
          <w:rtl/>
        </w:rPr>
        <w:t xml:space="preserve"> </w:t>
      </w:r>
      <w:r>
        <w:rPr>
          <w:rtl/>
        </w:rPr>
        <w:t>–</w:t>
      </w:r>
      <w:r>
        <w:rPr>
          <w:rFonts w:hint="cs"/>
          <w:rtl/>
        </w:rPr>
        <w:t xml:space="preserve"> ששפחת לאה, הטפלה לה, היא כבגד הטפל לבשרו של האדם). קירוב הבשר נועד לאפשר את נתינת הדעת המלאה של האיש על אשתו, ואילו בגד החוצץ ביניהם מסיח את המחשבה לדברים אחרים וחלילה אף לאשה אחרת (</w:t>
      </w:r>
      <w:proofErr w:type="spellStart"/>
      <w:r>
        <w:rPr>
          <w:rFonts w:hint="cs"/>
          <w:rtl/>
        </w:rPr>
        <w:t>לאידך</w:t>
      </w:r>
      <w:proofErr w:type="spellEnd"/>
      <w:r>
        <w:rPr>
          <w:rFonts w:hint="cs"/>
          <w:rtl/>
        </w:rPr>
        <w:t xml:space="preserve">, את שמירת מחשבת האיש על נוכחות ה', המשגיח והמשרה את שכינתו על הזיווג, פועלים באמצעות ההקפדה על לבישת כיפה </w:t>
      </w:r>
      <w:r>
        <w:rPr>
          <w:rtl/>
        </w:rPr>
        <w:t>–</w:t>
      </w:r>
      <w:r>
        <w:rPr>
          <w:rFonts w:hint="cs"/>
          <w:rtl/>
        </w:rPr>
        <w:t xml:space="preserve"> ולנוהגים בכך, גם ציצית</w:t>
      </w:r>
      <w:r w:rsidRPr="005316B5">
        <w:rPr>
          <w:rStyle w:val="a6"/>
          <w:rtl/>
        </w:rPr>
        <w:endnoteReference w:id="5"/>
      </w:r>
      <w:r>
        <w:rPr>
          <w:rFonts w:hint="cs"/>
          <w:rtl/>
        </w:rPr>
        <w:t xml:space="preserve"> </w:t>
      </w:r>
      <w:r>
        <w:rPr>
          <w:rtl/>
        </w:rPr>
        <w:t>–</w:t>
      </w:r>
      <w:r>
        <w:rPr>
          <w:rFonts w:hint="cs"/>
          <w:rtl/>
        </w:rPr>
        <w:t xml:space="preserve"> בעת הזיווג). </w:t>
      </w:r>
    </w:p>
    <w:p w:rsidR="00F02560" w:rsidRDefault="00F02560" w:rsidP="00F02560">
      <w:pPr>
        <w:rPr>
          <w:rFonts w:hint="cs"/>
          <w:rtl/>
        </w:rPr>
      </w:pPr>
      <w:r>
        <w:rPr>
          <w:rFonts w:hint="cs"/>
          <w:rtl/>
        </w:rPr>
        <w:t>חציצה</w:t>
      </w:r>
      <w:r w:rsidRPr="00AD2C0C">
        <w:rPr>
          <w:rFonts w:hint="cs"/>
          <w:spacing w:val="-6"/>
          <w:rtl/>
        </w:rPr>
        <w:t xml:space="preserve"> </w:t>
      </w:r>
      <w:r>
        <w:rPr>
          <w:rFonts w:hint="cs"/>
          <w:rtl/>
        </w:rPr>
        <w:t>או</w:t>
      </w:r>
      <w:r w:rsidRPr="00AD2C0C">
        <w:rPr>
          <w:rFonts w:hint="cs"/>
          <w:spacing w:val="-6"/>
          <w:rtl/>
        </w:rPr>
        <w:t xml:space="preserve"> </w:t>
      </w:r>
      <w:r>
        <w:rPr>
          <w:rFonts w:hint="cs"/>
          <w:rtl/>
        </w:rPr>
        <w:t>בגד,</w:t>
      </w:r>
      <w:r w:rsidRPr="00AD2C0C">
        <w:rPr>
          <w:rFonts w:hint="cs"/>
          <w:spacing w:val="-6"/>
          <w:rtl/>
        </w:rPr>
        <w:t xml:space="preserve"> </w:t>
      </w:r>
      <w:r>
        <w:rPr>
          <w:rFonts w:hint="cs"/>
          <w:rtl/>
        </w:rPr>
        <w:t>הגורמים</w:t>
      </w:r>
      <w:r w:rsidRPr="00AD2C0C">
        <w:rPr>
          <w:rFonts w:hint="cs"/>
          <w:spacing w:val="-6"/>
          <w:rtl/>
        </w:rPr>
        <w:t xml:space="preserve"> </w:t>
      </w:r>
      <w:proofErr w:type="spellStart"/>
      <w:r>
        <w:rPr>
          <w:rFonts w:hint="cs"/>
          <w:rtl/>
        </w:rPr>
        <w:t>להסח</w:t>
      </w:r>
      <w:proofErr w:type="spellEnd"/>
      <w:r w:rsidRPr="00AD2C0C">
        <w:rPr>
          <w:rFonts w:hint="cs"/>
          <w:spacing w:val="-6"/>
          <w:rtl/>
        </w:rPr>
        <w:t xml:space="preserve"> </w:t>
      </w:r>
      <w:r>
        <w:rPr>
          <w:rFonts w:hint="cs"/>
          <w:rtl/>
        </w:rPr>
        <w:t>הדעת</w:t>
      </w:r>
      <w:r w:rsidRPr="00AD2C0C">
        <w:rPr>
          <w:rFonts w:hint="cs"/>
          <w:spacing w:val="-6"/>
          <w:rtl/>
        </w:rPr>
        <w:t xml:space="preserve"> </w:t>
      </w:r>
      <w:r>
        <w:rPr>
          <w:rFonts w:hint="cs"/>
          <w:rtl/>
        </w:rPr>
        <w:t>מבת</w:t>
      </w:r>
      <w:r w:rsidRPr="00AD2C0C">
        <w:rPr>
          <w:rFonts w:hint="cs"/>
          <w:spacing w:val="-6"/>
          <w:rtl/>
        </w:rPr>
        <w:t xml:space="preserve"> </w:t>
      </w:r>
      <w:r>
        <w:rPr>
          <w:rFonts w:hint="cs"/>
          <w:rtl/>
        </w:rPr>
        <w:t>הזוג,</w:t>
      </w:r>
      <w:r w:rsidRPr="00AD2C0C">
        <w:rPr>
          <w:rFonts w:hint="cs"/>
          <w:spacing w:val="-6"/>
          <w:rtl/>
        </w:rPr>
        <w:t xml:space="preserve"> </w:t>
      </w:r>
      <w:r>
        <w:rPr>
          <w:rFonts w:hint="cs"/>
          <w:rtl/>
        </w:rPr>
        <w:t>עלולים</w:t>
      </w:r>
      <w:r w:rsidRPr="00AD2C0C">
        <w:rPr>
          <w:rFonts w:hint="cs"/>
          <w:spacing w:val="-6"/>
          <w:rtl/>
        </w:rPr>
        <w:t xml:space="preserve"> </w:t>
      </w:r>
      <w:r>
        <w:rPr>
          <w:rFonts w:hint="cs"/>
          <w:rtl/>
        </w:rPr>
        <w:t>לגרום</w:t>
      </w:r>
      <w:r w:rsidRPr="00AD2C0C">
        <w:rPr>
          <w:rFonts w:hint="cs"/>
          <w:spacing w:val="-6"/>
          <w:rtl/>
        </w:rPr>
        <w:t xml:space="preserve"> </w:t>
      </w:r>
      <w:r>
        <w:rPr>
          <w:rFonts w:hint="cs"/>
          <w:rtl/>
        </w:rPr>
        <w:t>לכך</w:t>
      </w:r>
      <w:r w:rsidRPr="00AD2C0C">
        <w:rPr>
          <w:rFonts w:hint="cs"/>
          <w:spacing w:val="-6"/>
          <w:rtl/>
        </w:rPr>
        <w:t xml:space="preserve"> </w:t>
      </w:r>
      <w:r>
        <w:rPr>
          <w:rFonts w:hint="cs"/>
          <w:rtl/>
        </w:rPr>
        <w:t>שהילד</w:t>
      </w:r>
      <w:r w:rsidRPr="00AD2C0C">
        <w:rPr>
          <w:rFonts w:hint="cs"/>
          <w:spacing w:val="-6"/>
          <w:rtl/>
        </w:rPr>
        <w:t xml:space="preserve"> </w:t>
      </w:r>
      <w:proofErr w:type="spellStart"/>
      <w:r>
        <w:rPr>
          <w:rFonts w:hint="cs"/>
          <w:rtl/>
        </w:rPr>
        <w:t>שיוולד</w:t>
      </w:r>
      <w:proofErr w:type="spellEnd"/>
      <w:r w:rsidRPr="00AD2C0C">
        <w:rPr>
          <w:rFonts w:hint="cs"/>
          <w:spacing w:val="-6"/>
          <w:rtl/>
        </w:rPr>
        <w:t xml:space="preserve"> </w:t>
      </w:r>
      <w:r>
        <w:rPr>
          <w:rFonts w:hint="cs"/>
          <w:rtl/>
        </w:rPr>
        <w:t>יהיה</w:t>
      </w:r>
      <w:r w:rsidRPr="00AD2C0C">
        <w:rPr>
          <w:rFonts w:hint="cs"/>
          <w:spacing w:val="-6"/>
          <w:rtl/>
        </w:rPr>
        <w:t xml:space="preserve"> </w:t>
      </w:r>
      <w:r>
        <w:rPr>
          <w:rFonts w:hint="cs"/>
          <w:rtl/>
        </w:rPr>
        <w:t>אחד</w:t>
      </w:r>
      <w:r w:rsidRPr="00AD2C0C">
        <w:rPr>
          <w:rFonts w:hint="cs"/>
          <w:spacing w:val="-6"/>
          <w:rtl/>
        </w:rPr>
        <w:t xml:space="preserve"> </w:t>
      </w:r>
      <w:proofErr w:type="spellStart"/>
      <w:r>
        <w:rPr>
          <w:rFonts w:hint="cs"/>
          <w:rtl/>
        </w:rPr>
        <w:t>מב"בני</w:t>
      </w:r>
      <w:proofErr w:type="spellEnd"/>
      <w:r w:rsidRPr="00AD2C0C">
        <w:rPr>
          <w:rFonts w:hint="cs"/>
          <w:spacing w:val="-6"/>
          <w:rtl/>
        </w:rPr>
        <w:t xml:space="preserve"> </w:t>
      </w:r>
      <w:r>
        <w:rPr>
          <w:rFonts w:hint="cs"/>
          <w:rtl/>
        </w:rPr>
        <w:t>תשע</w:t>
      </w:r>
      <w:r w:rsidRPr="00AD2C0C">
        <w:rPr>
          <w:rFonts w:hint="cs"/>
          <w:spacing w:val="-6"/>
          <w:rtl/>
        </w:rPr>
        <w:t xml:space="preserve"> </w:t>
      </w:r>
      <w:r>
        <w:rPr>
          <w:rFonts w:hint="cs"/>
          <w:rtl/>
        </w:rPr>
        <w:t>מדות"</w:t>
      </w:r>
      <w:r w:rsidRPr="005316B5">
        <w:rPr>
          <w:rStyle w:val="a6"/>
          <w:rtl/>
        </w:rPr>
        <w:endnoteReference w:id="6"/>
      </w:r>
      <w:r w:rsidRPr="00AD2C0C">
        <w:rPr>
          <w:rFonts w:hint="cs"/>
          <w:spacing w:val="-6"/>
          <w:rtl/>
        </w:rPr>
        <w:t xml:space="preserve"> </w:t>
      </w:r>
      <w:r>
        <w:rPr>
          <w:rtl/>
        </w:rPr>
        <w:t>–</w:t>
      </w:r>
      <w:r w:rsidRPr="00AD2C0C">
        <w:rPr>
          <w:rFonts w:hint="cs"/>
          <w:spacing w:val="-6"/>
          <w:rtl/>
        </w:rPr>
        <w:t xml:space="preserve"> </w:t>
      </w:r>
      <w:r>
        <w:rPr>
          <w:rFonts w:hint="cs"/>
          <w:rtl/>
        </w:rPr>
        <w:t>אותם</w:t>
      </w:r>
      <w:r w:rsidRPr="00AD2C0C">
        <w:rPr>
          <w:rFonts w:hint="cs"/>
          <w:spacing w:val="-6"/>
          <w:rtl/>
        </w:rPr>
        <w:t xml:space="preserve"> </w:t>
      </w:r>
      <w:r>
        <w:rPr>
          <w:rFonts w:hint="cs"/>
          <w:rtl/>
        </w:rPr>
        <w:t>מקרים</w:t>
      </w:r>
      <w:r w:rsidRPr="00AD2C0C">
        <w:rPr>
          <w:rFonts w:hint="cs"/>
          <w:spacing w:val="-6"/>
          <w:rtl/>
        </w:rPr>
        <w:t xml:space="preserve"> </w:t>
      </w:r>
      <w:r>
        <w:rPr>
          <w:rFonts w:hint="cs"/>
          <w:rtl/>
        </w:rPr>
        <w:t>בהם</w:t>
      </w:r>
      <w:r w:rsidRPr="00AD2C0C">
        <w:rPr>
          <w:rFonts w:hint="cs"/>
          <w:spacing w:val="-6"/>
          <w:rtl/>
        </w:rPr>
        <w:t xml:space="preserve"> </w:t>
      </w:r>
      <w:r>
        <w:rPr>
          <w:rFonts w:hint="cs"/>
          <w:rtl/>
        </w:rPr>
        <w:t>בעת</w:t>
      </w:r>
      <w:r w:rsidRPr="00AD2C0C">
        <w:rPr>
          <w:rFonts w:hint="cs"/>
          <w:spacing w:val="-6"/>
          <w:rtl/>
        </w:rPr>
        <w:t xml:space="preserve"> </w:t>
      </w:r>
      <w:r>
        <w:rPr>
          <w:rFonts w:hint="cs"/>
          <w:rtl/>
        </w:rPr>
        <w:t>הזיווג</w:t>
      </w:r>
      <w:r w:rsidRPr="00AD2C0C">
        <w:rPr>
          <w:rFonts w:hint="cs"/>
          <w:spacing w:val="-6"/>
          <w:rtl/>
        </w:rPr>
        <w:t xml:space="preserve"> </w:t>
      </w:r>
      <w:r>
        <w:rPr>
          <w:rFonts w:hint="cs"/>
          <w:rtl/>
        </w:rPr>
        <w:t>לא</w:t>
      </w:r>
      <w:r w:rsidRPr="00AD2C0C">
        <w:rPr>
          <w:rFonts w:hint="cs"/>
          <w:spacing w:val="-6"/>
          <w:rtl/>
        </w:rPr>
        <w:t xml:space="preserve"> </w:t>
      </w:r>
      <w:r>
        <w:rPr>
          <w:rFonts w:hint="cs"/>
          <w:rtl/>
        </w:rPr>
        <w:t>היה</w:t>
      </w:r>
      <w:r w:rsidRPr="00AD2C0C">
        <w:rPr>
          <w:rFonts w:hint="cs"/>
          <w:spacing w:val="-6"/>
          <w:rtl/>
        </w:rPr>
        <w:t xml:space="preserve"> </w:t>
      </w:r>
      <w:r>
        <w:rPr>
          <w:rFonts w:hint="cs"/>
          <w:rtl/>
        </w:rPr>
        <w:t>קירוב</w:t>
      </w:r>
      <w:r w:rsidRPr="00AD2C0C">
        <w:rPr>
          <w:rFonts w:hint="cs"/>
          <w:spacing w:val="-6"/>
          <w:rtl/>
        </w:rPr>
        <w:t xml:space="preserve"> </w:t>
      </w:r>
      <w:r>
        <w:rPr>
          <w:rFonts w:hint="cs"/>
          <w:rtl/>
        </w:rPr>
        <w:t>דעת</w:t>
      </w:r>
      <w:r w:rsidRPr="00AD2C0C">
        <w:rPr>
          <w:rFonts w:hint="cs"/>
          <w:spacing w:val="-6"/>
          <w:rtl/>
        </w:rPr>
        <w:t xml:space="preserve"> </w:t>
      </w:r>
      <w:r>
        <w:rPr>
          <w:rFonts w:hint="cs"/>
          <w:rtl/>
        </w:rPr>
        <w:t>בין</w:t>
      </w:r>
      <w:r w:rsidRPr="00AD2C0C">
        <w:rPr>
          <w:rFonts w:hint="cs"/>
          <w:spacing w:val="-6"/>
          <w:rtl/>
        </w:rPr>
        <w:t xml:space="preserve"> </w:t>
      </w:r>
      <w:r>
        <w:rPr>
          <w:rFonts w:hint="cs"/>
          <w:rtl/>
        </w:rPr>
        <w:t>בני</w:t>
      </w:r>
      <w:r w:rsidRPr="00AD2C0C">
        <w:rPr>
          <w:rFonts w:hint="cs"/>
          <w:spacing w:val="-6"/>
          <w:rtl/>
        </w:rPr>
        <w:t xml:space="preserve"> </w:t>
      </w:r>
      <w:r>
        <w:rPr>
          <w:rFonts w:hint="cs"/>
          <w:rtl/>
        </w:rPr>
        <w:t>הזוג,</w:t>
      </w:r>
      <w:r w:rsidRPr="00AD2C0C">
        <w:rPr>
          <w:rFonts w:hint="cs"/>
          <w:spacing w:val="-6"/>
          <w:rtl/>
        </w:rPr>
        <w:t xml:space="preserve"> </w:t>
      </w:r>
      <w:r>
        <w:rPr>
          <w:rFonts w:hint="cs"/>
          <w:rtl/>
        </w:rPr>
        <w:t>והמחשבה</w:t>
      </w:r>
      <w:r w:rsidRPr="00AD2C0C">
        <w:rPr>
          <w:rFonts w:hint="cs"/>
          <w:spacing w:val="-6"/>
          <w:rtl/>
        </w:rPr>
        <w:t xml:space="preserve"> </w:t>
      </w:r>
      <w:r>
        <w:rPr>
          <w:rFonts w:hint="cs"/>
          <w:rtl/>
        </w:rPr>
        <w:t>הוסחה</w:t>
      </w:r>
      <w:r w:rsidRPr="00AD2C0C">
        <w:rPr>
          <w:rFonts w:hint="cs"/>
          <w:spacing w:val="-6"/>
          <w:rtl/>
        </w:rPr>
        <w:t xml:space="preserve"> </w:t>
      </w:r>
      <w:proofErr w:type="spellStart"/>
      <w:r>
        <w:rPr>
          <w:rFonts w:hint="cs"/>
          <w:rtl/>
        </w:rPr>
        <w:t>לענין</w:t>
      </w:r>
      <w:proofErr w:type="spellEnd"/>
      <w:r w:rsidRPr="00AD2C0C">
        <w:rPr>
          <w:rFonts w:hint="cs"/>
          <w:spacing w:val="-6"/>
          <w:rtl/>
        </w:rPr>
        <w:t xml:space="preserve"> </w:t>
      </w:r>
      <w:r>
        <w:rPr>
          <w:rFonts w:hint="cs"/>
          <w:rtl/>
        </w:rPr>
        <w:t>אחר.</w:t>
      </w:r>
      <w:r w:rsidRPr="00AD2C0C">
        <w:rPr>
          <w:rFonts w:hint="cs"/>
          <w:spacing w:val="-6"/>
          <w:rtl/>
        </w:rPr>
        <w:t xml:space="preserve"> </w:t>
      </w:r>
      <w:r>
        <w:rPr>
          <w:rFonts w:hint="cs"/>
          <w:rtl/>
        </w:rPr>
        <w:t>אחד</w:t>
      </w:r>
      <w:r w:rsidRPr="00AD2C0C">
        <w:rPr>
          <w:rFonts w:hint="cs"/>
          <w:spacing w:val="-6"/>
          <w:rtl/>
        </w:rPr>
        <w:t xml:space="preserve"> </w:t>
      </w:r>
      <w:r>
        <w:rPr>
          <w:rFonts w:hint="cs"/>
          <w:rtl/>
        </w:rPr>
        <w:t>הגורמים</w:t>
      </w:r>
      <w:r w:rsidRPr="00AD2C0C">
        <w:rPr>
          <w:rFonts w:hint="cs"/>
          <w:spacing w:val="-6"/>
          <w:rtl/>
        </w:rPr>
        <w:t xml:space="preserve"> </w:t>
      </w:r>
      <w:r>
        <w:rPr>
          <w:rFonts w:hint="cs"/>
          <w:rtl/>
        </w:rPr>
        <w:t>ל"בני</w:t>
      </w:r>
      <w:r w:rsidRPr="00AD2C0C">
        <w:rPr>
          <w:rFonts w:hint="cs"/>
          <w:spacing w:val="-6"/>
          <w:rtl/>
        </w:rPr>
        <w:t xml:space="preserve"> </w:t>
      </w:r>
      <w:r>
        <w:rPr>
          <w:rFonts w:hint="cs"/>
          <w:rtl/>
        </w:rPr>
        <w:t>תשע</w:t>
      </w:r>
      <w:r w:rsidRPr="00AD2C0C">
        <w:rPr>
          <w:rFonts w:hint="cs"/>
          <w:spacing w:val="-6"/>
          <w:rtl/>
        </w:rPr>
        <w:t xml:space="preserve"> </w:t>
      </w:r>
      <w:r w:rsidRPr="00E84990">
        <w:rPr>
          <w:rStyle w:val="a3"/>
          <w:rFonts w:hint="cs"/>
          <w:rtl/>
        </w:rPr>
        <w:t>מדות</w:t>
      </w:r>
      <w:r>
        <w:rPr>
          <w:rFonts w:hint="cs"/>
          <w:rtl/>
        </w:rPr>
        <w:t>"</w:t>
      </w:r>
      <w:r w:rsidRPr="00AD2C0C">
        <w:rPr>
          <w:rFonts w:hint="cs"/>
          <w:spacing w:val="-6"/>
          <w:rtl/>
        </w:rPr>
        <w:t xml:space="preserve"> </w:t>
      </w:r>
      <w:r>
        <w:rPr>
          <w:rFonts w:hint="cs"/>
          <w:rtl/>
        </w:rPr>
        <w:t>הוא</w:t>
      </w:r>
      <w:r w:rsidRPr="00AD2C0C">
        <w:rPr>
          <w:rFonts w:hint="cs"/>
          <w:spacing w:val="-6"/>
          <w:rtl/>
        </w:rPr>
        <w:t xml:space="preserve"> </w:t>
      </w:r>
      <w:r w:rsidRPr="00E84990">
        <w:rPr>
          <w:rStyle w:val="a3"/>
          <w:rFonts w:hint="cs"/>
          <w:rtl/>
        </w:rPr>
        <w:t>מדים</w:t>
      </w:r>
      <w:r>
        <w:rPr>
          <w:rFonts w:hint="cs"/>
          <w:rtl/>
        </w:rPr>
        <w:t>-לבושים</w:t>
      </w:r>
      <w:r w:rsidRPr="00AD2C0C">
        <w:rPr>
          <w:rFonts w:hint="cs"/>
          <w:spacing w:val="-6"/>
          <w:rtl/>
        </w:rPr>
        <w:t xml:space="preserve"> </w:t>
      </w:r>
      <w:r>
        <w:rPr>
          <w:rFonts w:hint="cs"/>
          <w:rtl/>
        </w:rPr>
        <w:t>החוצצים בין בני הזוג ומסיחים את דעתם. לפי כל זה, קירוב הבשר בין בני הזוג מכוון לחולל את הזיווג ביניהם ברמת המחשבה. הדבר מתאים גם עם המבואר</w:t>
      </w:r>
      <w:r w:rsidRPr="005316B5">
        <w:rPr>
          <w:rStyle w:val="a6"/>
          <w:rtl/>
        </w:rPr>
        <w:endnoteReference w:id="7"/>
      </w:r>
      <w:r>
        <w:rPr>
          <w:rFonts w:hint="cs"/>
          <w:rtl/>
        </w:rPr>
        <w:t xml:space="preserve"> כי קירוב הבשר הוא בסוד "יום אחד"</w:t>
      </w:r>
      <w:r w:rsidRPr="005316B5">
        <w:rPr>
          <w:rStyle w:val="a6"/>
          <w:rtl/>
        </w:rPr>
        <w:endnoteReference w:id="8"/>
      </w:r>
      <w:r>
        <w:rPr>
          <w:rFonts w:hint="cs"/>
          <w:rtl/>
        </w:rPr>
        <w:t xml:space="preserve"> של מעשה בראשית </w:t>
      </w:r>
      <w:r>
        <w:rPr>
          <w:rtl/>
        </w:rPr>
        <w:t>–</w:t>
      </w:r>
      <w:r>
        <w:rPr>
          <w:rFonts w:hint="cs"/>
          <w:rtl/>
        </w:rPr>
        <w:t xml:space="preserve"> יום שעיקר האחדות בו היא במחשבת "הוי' אחד", ללא כל נוכחות אחרת </w:t>
      </w:r>
      <w:proofErr w:type="spellStart"/>
      <w:r>
        <w:rPr>
          <w:rFonts w:hint="cs"/>
          <w:rtl/>
        </w:rPr>
        <w:t>מבלעדיו</w:t>
      </w:r>
      <w:proofErr w:type="spellEnd"/>
      <w:r>
        <w:rPr>
          <w:rFonts w:hint="cs"/>
          <w:rtl/>
        </w:rPr>
        <w:t xml:space="preserve">. "יום אחד" רומז גם לכך שזמן הזיווג צריך להיות מסוגל </w:t>
      </w:r>
      <w:proofErr w:type="spellStart"/>
      <w:r>
        <w:rPr>
          <w:rFonts w:hint="cs"/>
          <w:rtl/>
        </w:rPr>
        <w:t>ליחוד</w:t>
      </w:r>
      <w:proofErr w:type="spellEnd"/>
      <w:r>
        <w:rPr>
          <w:rFonts w:hint="cs"/>
          <w:rtl/>
        </w:rPr>
        <w:t xml:space="preserve"> המחשבה בין בני הזוג </w:t>
      </w:r>
      <w:r>
        <w:rPr>
          <w:rtl/>
        </w:rPr>
        <w:t>–</w:t>
      </w:r>
      <w:r>
        <w:rPr>
          <w:rFonts w:hint="cs"/>
          <w:rtl/>
        </w:rPr>
        <w:t xml:space="preserve"> זמן שקט בו אין קולות מן החוץ שיסיחו את דעת האיש מאשתו לנשים אחרות, ח"ו</w:t>
      </w:r>
      <w:r w:rsidRPr="005316B5">
        <w:rPr>
          <w:rStyle w:val="a6"/>
          <w:rtl/>
        </w:rPr>
        <w:endnoteReference w:id="9"/>
      </w:r>
      <w:r>
        <w:rPr>
          <w:rFonts w:hint="cs"/>
          <w:rtl/>
        </w:rPr>
        <w:t>.</w:t>
      </w:r>
    </w:p>
    <w:p w:rsidR="00F02560" w:rsidRDefault="00F02560" w:rsidP="00F02560">
      <w:pPr>
        <w:rPr>
          <w:rFonts w:hint="cs"/>
          <w:rtl/>
        </w:rPr>
      </w:pPr>
      <w:r>
        <w:rPr>
          <w:rFonts w:hint="cs"/>
          <w:rtl/>
        </w:rPr>
        <w:t>מתוך הזיווג במחשבה צריך הזיווג להתחולל גם בממד הדבור: התכסות בני הזוג כאחד בעת הזיווג וקודם לו מייחדת להם "מקום אחד"</w:t>
      </w:r>
      <w:r w:rsidRPr="005316B5">
        <w:rPr>
          <w:rStyle w:val="a6"/>
          <w:rtl/>
        </w:rPr>
        <w:endnoteReference w:id="10"/>
      </w:r>
      <w:r>
        <w:rPr>
          <w:rFonts w:hint="cs"/>
          <w:rtl/>
        </w:rPr>
        <w:t xml:space="preserve"> בו הם יכולים לדבר ביניהם בחופשיות. כך מצינו בחז"ל כי המקום המיוחד לבני הזוג הוא המאפשר להם שיחה של קרבה וחיבת האיש לאשתו, עד ש"</w:t>
      </w:r>
      <w:r>
        <w:rPr>
          <w:rtl/>
        </w:rPr>
        <w:t xml:space="preserve">כל הישן </w:t>
      </w:r>
      <w:proofErr w:type="spellStart"/>
      <w:r>
        <w:rPr>
          <w:rtl/>
        </w:rPr>
        <w:t>בקילעא</w:t>
      </w:r>
      <w:proofErr w:type="spellEnd"/>
      <w:r>
        <w:rPr>
          <w:rtl/>
        </w:rPr>
        <w:t xml:space="preserve"> </w:t>
      </w:r>
      <w:r>
        <w:rPr>
          <w:rFonts w:hint="cs"/>
          <w:rtl/>
        </w:rPr>
        <w:t>[</w:t>
      </w:r>
      <w:r>
        <w:rPr>
          <w:rtl/>
        </w:rPr>
        <w:t>–</w:t>
      </w:r>
      <w:r>
        <w:rPr>
          <w:rFonts w:hint="cs"/>
          <w:rtl/>
        </w:rPr>
        <w:t xml:space="preserve"> חדר] </w:t>
      </w:r>
      <w:r>
        <w:rPr>
          <w:rtl/>
        </w:rPr>
        <w:t xml:space="preserve">שאיש ואשתו </w:t>
      </w:r>
      <w:proofErr w:type="spellStart"/>
      <w:r>
        <w:rPr>
          <w:rtl/>
        </w:rPr>
        <w:t>שרויין</w:t>
      </w:r>
      <w:proofErr w:type="spellEnd"/>
      <w:r>
        <w:rPr>
          <w:rtl/>
        </w:rPr>
        <w:t xml:space="preserve"> בה עליו הכתוב אומר </w:t>
      </w:r>
      <w:r>
        <w:rPr>
          <w:rFonts w:hint="cs"/>
          <w:rtl/>
        </w:rPr>
        <w:t>'</w:t>
      </w:r>
      <w:r>
        <w:rPr>
          <w:rtl/>
        </w:rPr>
        <w:t>נשי עמי תגרשון מבית תענ</w:t>
      </w:r>
      <w:r>
        <w:rPr>
          <w:rFonts w:hint="cs"/>
          <w:rtl/>
        </w:rPr>
        <w:t>ֻ</w:t>
      </w:r>
      <w:r>
        <w:rPr>
          <w:rtl/>
        </w:rPr>
        <w:t>גיה</w:t>
      </w:r>
      <w:r>
        <w:rPr>
          <w:rFonts w:hint="cs"/>
          <w:rtl/>
        </w:rPr>
        <w:t>'</w:t>
      </w:r>
      <w:r w:rsidRPr="005316B5">
        <w:rPr>
          <w:rStyle w:val="a6"/>
          <w:rtl/>
        </w:rPr>
        <w:endnoteReference w:id="11"/>
      </w:r>
      <w:r>
        <w:rPr>
          <w:rFonts w:hint="cs"/>
          <w:rtl/>
        </w:rPr>
        <w:t>"</w:t>
      </w:r>
      <w:r w:rsidRPr="005316B5">
        <w:rPr>
          <w:rStyle w:val="a6"/>
          <w:rtl/>
        </w:rPr>
        <w:endnoteReference w:id="12"/>
      </w:r>
      <w:r>
        <w:rPr>
          <w:rFonts w:hint="cs"/>
          <w:rtl/>
        </w:rPr>
        <w:t xml:space="preserve"> מפני בושת בני הזוג מלדבר דבורים של קרבה כאשר ישנה נוכחות נוספת בחדרם (ויש לומר כי עיקר תחושת המקום המיוחד לדבור איננה רק </w:t>
      </w:r>
      <w:proofErr w:type="spellStart"/>
      <w:r>
        <w:rPr>
          <w:rFonts w:hint="cs"/>
          <w:rtl/>
        </w:rPr>
        <w:t>ב"קילעא</w:t>
      </w:r>
      <w:proofErr w:type="spellEnd"/>
      <w:r>
        <w:rPr>
          <w:rFonts w:hint="cs"/>
          <w:rtl/>
        </w:rPr>
        <w:t>" של בני הזוג, אלא בפרט ובמיוחד ב"כילת חתנים"</w:t>
      </w:r>
      <w:r w:rsidRPr="005316B5">
        <w:rPr>
          <w:rStyle w:val="a6"/>
          <w:rtl/>
        </w:rPr>
        <w:endnoteReference w:id="13"/>
      </w:r>
      <w:r>
        <w:rPr>
          <w:rFonts w:hint="cs"/>
          <w:rtl/>
        </w:rPr>
        <w:t xml:space="preserve"> </w:t>
      </w:r>
      <w:r>
        <w:rPr>
          <w:rtl/>
        </w:rPr>
        <w:t>–</w:t>
      </w:r>
      <w:r>
        <w:rPr>
          <w:rFonts w:hint="cs"/>
          <w:rtl/>
        </w:rPr>
        <w:t xml:space="preserve"> בכיסוי המיטה המייחד להם מקום אינטימי משותף).</w:t>
      </w:r>
    </w:p>
    <w:p w:rsidR="00F02560" w:rsidRDefault="00F02560" w:rsidP="00F02560">
      <w:pPr>
        <w:rPr>
          <w:rFonts w:hint="cs"/>
          <w:rtl/>
        </w:rPr>
      </w:pPr>
      <w:r>
        <w:rPr>
          <w:rFonts w:hint="cs"/>
          <w:rtl/>
        </w:rPr>
        <w:t>כאשר יוצרים לעצמם בני הזוג תחת כסותם מקום קבוע ומכובד הוא גורם לכך שדברי אהבה וחסד</w:t>
      </w:r>
      <w:r w:rsidRPr="005316B5">
        <w:rPr>
          <w:rStyle w:val="a6"/>
          <w:rtl/>
        </w:rPr>
        <w:endnoteReference w:id="14"/>
      </w:r>
      <w:r>
        <w:rPr>
          <w:rFonts w:hint="cs"/>
          <w:rtl/>
        </w:rPr>
        <w:t xml:space="preserve"> </w:t>
      </w:r>
      <w:proofErr w:type="spellStart"/>
      <w:r>
        <w:rPr>
          <w:rFonts w:hint="cs"/>
          <w:rtl/>
        </w:rPr>
        <w:t>יתדברו</w:t>
      </w:r>
      <w:proofErr w:type="spellEnd"/>
      <w:r>
        <w:rPr>
          <w:rFonts w:hint="cs"/>
          <w:rtl/>
        </w:rPr>
        <w:t xml:space="preserve"> מאליהם בין בני הזוג, במודעות טבעית</w:t>
      </w:r>
      <w:r w:rsidRPr="005316B5">
        <w:rPr>
          <w:rStyle w:val="a6"/>
          <w:rtl/>
        </w:rPr>
        <w:endnoteReference w:id="15"/>
      </w:r>
      <w:r>
        <w:rPr>
          <w:rFonts w:hint="cs"/>
          <w:rtl/>
        </w:rPr>
        <w:t xml:space="preserve"> </w:t>
      </w:r>
      <w:r>
        <w:rPr>
          <w:rtl/>
        </w:rPr>
        <w:t>–</w:t>
      </w:r>
      <w:r>
        <w:rPr>
          <w:rFonts w:hint="cs"/>
          <w:rtl/>
        </w:rPr>
        <w:t xml:space="preserve"> כשם שהקובע מקום לתפלתו</w:t>
      </w:r>
      <w:r w:rsidRPr="005316B5">
        <w:rPr>
          <w:rStyle w:val="a6"/>
          <w:rtl/>
        </w:rPr>
        <w:endnoteReference w:id="16"/>
      </w:r>
      <w:r>
        <w:rPr>
          <w:rFonts w:hint="cs"/>
          <w:rtl/>
        </w:rPr>
        <w:t xml:space="preserve"> (ברוחניות</w:t>
      </w:r>
      <w:r w:rsidRPr="005316B5">
        <w:rPr>
          <w:rStyle w:val="a6"/>
          <w:rtl/>
        </w:rPr>
        <w:endnoteReference w:id="17"/>
      </w:r>
      <w:r>
        <w:rPr>
          <w:rFonts w:hint="cs"/>
          <w:rtl/>
        </w:rPr>
        <w:t xml:space="preserve"> או בגשמיות) זוכה לכך שהתפלה תנבע מפיו בטבעיות</w:t>
      </w:r>
      <w:r w:rsidRPr="005316B5">
        <w:rPr>
          <w:rStyle w:val="a6"/>
          <w:rtl/>
        </w:rPr>
        <w:endnoteReference w:id="18"/>
      </w:r>
      <w:r>
        <w:rPr>
          <w:rFonts w:hint="cs"/>
          <w:rtl/>
        </w:rPr>
        <w:t xml:space="preserve"> וללא מאמץ מיוחד (וכן מעלה מיוחדת בקביעת מקום לתפלה טבעית תחת כיסוי המטה </w:t>
      </w:r>
      <w:r>
        <w:rPr>
          <w:rtl/>
        </w:rPr>
        <w:t>–</w:t>
      </w:r>
      <w:r>
        <w:rPr>
          <w:rFonts w:hint="cs"/>
          <w:rtl/>
        </w:rPr>
        <w:t xml:space="preserve"> "</w:t>
      </w:r>
      <w:r>
        <w:rPr>
          <w:rtl/>
        </w:rPr>
        <w:t>ע</w:t>
      </w:r>
      <w:r>
        <w:rPr>
          <w:rFonts w:hint="cs"/>
          <w:rtl/>
        </w:rPr>
        <w:t>י</w:t>
      </w:r>
      <w:r>
        <w:rPr>
          <w:rtl/>
        </w:rPr>
        <w:t xml:space="preserve">קר התבודדות של דוד המלך </w:t>
      </w:r>
      <w:r>
        <w:rPr>
          <w:rtl/>
        </w:rPr>
        <w:lastRenderedPageBreak/>
        <w:t xml:space="preserve">היה על </w:t>
      </w:r>
      <w:proofErr w:type="spellStart"/>
      <w:r>
        <w:rPr>
          <w:rtl/>
        </w:rPr>
        <w:t>מטתו</w:t>
      </w:r>
      <w:proofErr w:type="spellEnd"/>
      <w:r>
        <w:rPr>
          <w:rtl/>
        </w:rPr>
        <w:t xml:space="preserve">, בעת ששכב על </w:t>
      </w:r>
      <w:proofErr w:type="spellStart"/>
      <w:r>
        <w:rPr>
          <w:rtl/>
        </w:rPr>
        <w:t>מטתו</w:t>
      </w:r>
      <w:proofErr w:type="spellEnd"/>
      <w:r>
        <w:rPr>
          <w:rtl/>
        </w:rPr>
        <w:t xml:space="preserve"> וכסה עצמו בסדין</w:t>
      </w:r>
      <w:r>
        <w:rPr>
          <w:rFonts w:hint="cs"/>
          <w:rtl/>
        </w:rPr>
        <w:t>,</w:t>
      </w:r>
      <w:r>
        <w:rPr>
          <w:rtl/>
        </w:rPr>
        <w:t xml:space="preserve"> אז היה מדבר ומשיח כל לבו לפני השם יתברך כמו שכתוב </w:t>
      </w:r>
      <w:r>
        <w:rPr>
          <w:rFonts w:hint="cs"/>
          <w:rtl/>
        </w:rPr>
        <w:t>'</w:t>
      </w:r>
      <w:r>
        <w:rPr>
          <w:rtl/>
        </w:rPr>
        <w:t xml:space="preserve">אשחה בכל לילה </w:t>
      </w:r>
      <w:proofErr w:type="spellStart"/>
      <w:r>
        <w:rPr>
          <w:rtl/>
        </w:rPr>
        <w:t>מטתי</w:t>
      </w:r>
      <w:proofErr w:type="spellEnd"/>
      <w:r>
        <w:rPr>
          <w:rtl/>
        </w:rPr>
        <w:t xml:space="preserve"> בדמעתי</w:t>
      </w:r>
      <w:r>
        <w:rPr>
          <w:rFonts w:hint="cs"/>
          <w:rtl/>
        </w:rPr>
        <w:t>'</w:t>
      </w:r>
      <w:r w:rsidRPr="005316B5">
        <w:rPr>
          <w:rStyle w:val="a6"/>
          <w:rtl/>
        </w:rPr>
        <w:endnoteReference w:id="19"/>
      </w:r>
      <w:r>
        <w:rPr>
          <w:rFonts w:hint="cs"/>
          <w:rtl/>
        </w:rPr>
        <w:t>"</w:t>
      </w:r>
      <w:r w:rsidRPr="005316B5">
        <w:rPr>
          <w:rStyle w:val="a6"/>
          <w:rtl/>
        </w:rPr>
        <w:endnoteReference w:id="20"/>
      </w:r>
      <w:r>
        <w:rPr>
          <w:rFonts w:hint="cs"/>
          <w:rtl/>
        </w:rPr>
        <w:t>). יתר על כן, כאשר זוכים להכין אוירה ראויה לדבור בין בני הזוג זוכים שדבור זה עצמו יהיה בבחינת תפלה</w:t>
      </w:r>
      <w:r w:rsidRPr="005316B5">
        <w:rPr>
          <w:rStyle w:val="a6"/>
          <w:rtl/>
        </w:rPr>
        <w:endnoteReference w:id="21"/>
      </w:r>
      <w:r>
        <w:rPr>
          <w:rFonts w:hint="cs"/>
          <w:rtl/>
        </w:rPr>
        <w:t>, ויקוים באדם "מגיד לאדם מה שחו"</w:t>
      </w:r>
      <w:r w:rsidRPr="005316B5">
        <w:rPr>
          <w:rStyle w:val="a6"/>
          <w:rtl/>
        </w:rPr>
        <w:endnoteReference w:id="22"/>
      </w:r>
      <w:r>
        <w:rPr>
          <w:rFonts w:hint="cs"/>
          <w:rtl/>
        </w:rPr>
        <w:t xml:space="preserve"> </w:t>
      </w:r>
      <w:proofErr w:type="spellStart"/>
      <w:r>
        <w:rPr>
          <w:rFonts w:hint="cs"/>
          <w:rtl/>
        </w:rPr>
        <w:t>למעליותא</w:t>
      </w:r>
      <w:proofErr w:type="spellEnd"/>
      <w:r>
        <w:rPr>
          <w:rFonts w:hint="cs"/>
          <w:rtl/>
        </w:rPr>
        <w:t>, כאשר ה' יזכור את ה"שיחה… שבין איש לאשתו"</w:t>
      </w:r>
      <w:r w:rsidRPr="005316B5">
        <w:rPr>
          <w:rStyle w:val="a6"/>
          <w:rtl/>
        </w:rPr>
        <w:endnoteReference w:id="23"/>
      </w:r>
      <w:r>
        <w:rPr>
          <w:rFonts w:hint="cs"/>
          <w:rtl/>
        </w:rPr>
        <w:t xml:space="preserve"> בשעת התשמיש </w:t>
      </w:r>
      <w:r>
        <w:rPr>
          <w:rtl/>
        </w:rPr>
        <w:t>–</w:t>
      </w:r>
      <w:r>
        <w:rPr>
          <w:rFonts w:hint="cs"/>
          <w:rtl/>
        </w:rPr>
        <w:t xml:space="preserve"> </w:t>
      </w:r>
      <w:proofErr w:type="spellStart"/>
      <w:r>
        <w:rPr>
          <w:rFonts w:hint="cs"/>
          <w:rtl/>
        </w:rPr>
        <w:t>שבהיותה</w:t>
      </w:r>
      <w:proofErr w:type="spellEnd"/>
      <w:r>
        <w:rPr>
          <w:rFonts w:hint="cs"/>
          <w:rtl/>
        </w:rPr>
        <w:t xml:space="preserve"> שיחה טבעית, הנובעת מעצמה כרצון ה', אין בה "סרח העודף" על הדרוש והרצוי לריצוי הנחוץ</w:t>
      </w:r>
      <w:r w:rsidRPr="005316B5">
        <w:rPr>
          <w:rStyle w:val="a6"/>
          <w:rtl/>
        </w:rPr>
        <w:endnoteReference w:id="24"/>
      </w:r>
      <w:r>
        <w:rPr>
          <w:rFonts w:hint="cs"/>
          <w:rtl/>
        </w:rPr>
        <w:t xml:space="preserve"> </w:t>
      </w:r>
      <w:r>
        <w:rPr>
          <w:rtl/>
        </w:rPr>
        <w:t>–</w:t>
      </w:r>
      <w:r>
        <w:rPr>
          <w:rFonts w:hint="cs"/>
          <w:rtl/>
        </w:rPr>
        <w:t xml:space="preserve"> ויתברר כי "אין שיחה אלא תפלה"</w:t>
      </w:r>
      <w:r w:rsidRPr="005316B5">
        <w:rPr>
          <w:rStyle w:val="a6"/>
          <w:rtl/>
        </w:rPr>
        <w:endnoteReference w:id="25"/>
      </w:r>
      <w:r>
        <w:rPr>
          <w:rFonts w:hint="cs"/>
          <w:rtl/>
        </w:rPr>
        <w:t xml:space="preserve">. </w:t>
      </w:r>
    </w:p>
    <w:p w:rsidR="00F02560" w:rsidRPr="00D739AF" w:rsidRDefault="00F02560" w:rsidP="00F02560">
      <w:pPr>
        <w:rPr>
          <w:rFonts w:hint="cs"/>
          <w:color w:val="FF0000"/>
          <w:rtl/>
        </w:rPr>
      </w:pPr>
      <w:r w:rsidRPr="00BC64DF">
        <w:rPr>
          <w:rFonts w:hint="cs"/>
          <w:rtl/>
        </w:rPr>
        <w:t xml:space="preserve">חשוב להדגיש כי מעבר לדברי אהבה וחסד הנאמרים בין האיש </w:t>
      </w:r>
      <w:proofErr w:type="spellStart"/>
      <w:r w:rsidRPr="00BC64DF">
        <w:rPr>
          <w:rFonts w:hint="cs"/>
          <w:rtl/>
        </w:rPr>
        <w:t>והאשה</w:t>
      </w:r>
      <w:proofErr w:type="spellEnd"/>
      <w:r w:rsidRPr="00BC64DF">
        <w:rPr>
          <w:rFonts w:hint="cs"/>
          <w:rtl/>
        </w:rPr>
        <w:t>, קיים ממד עדין ופנימי יותר של תקשורת-בלתי-נשמעת (ואף על פי כן זה סוג של דבור, ולא רק זיווג המחשבה שענינו ריכוז וקביעת המחשבה בבן הזוג). על דבור כזה נאמר "יום ליום יביע א</w:t>
      </w:r>
      <w:r w:rsidRPr="00160544">
        <w:rPr>
          <w:rFonts w:hint="cs"/>
          <w:spacing w:val="-10"/>
          <w:rtl/>
        </w:rPr>
        <w:t>ֹ</w:t>
      </w:r>
      <w:r w:rsidRPr="00BC64DF">
        <w:rPr>
          <w:rFonts w:hint="cs"/>
          <w:rtl/>
        </w:rPr>
        <w:t xml:space="preserve">מר ולילה ללילה </w:t>
      </w:r>
      <w:proofErr w:type="spellStart"/>
      <w:r w:rsidRPr="00BC64DF">
        <w:rPr>
          <w:rFonts w:hint="cs"/>
          <w:rtl/>
        </w:rPr>
        <w:t>יחוה</w:t>
      </w:r>
      <w:proofErr w:type="spellEnd"/>
      <w:r w:rsidRPr="00BC64DF">
        <w:rPr>
          <w:rFonts w:hint="cs"/>
          <w:rtl/>
        </w:rPr>
        <w:t xml:space="preserve"> דעת. אין א</w:t>
      </w:r>
      <w:r w:rsidRPr="00160544">
        <w:rPr>
          <w:rFonts w:hint="cs"/>
          <w:spacing w:val="-10"/>
          <w:rtl/>
        </w:rPr>
        <w:t>ֹ</w:t>
      </w:r>
      <w:r w:rsidRPr="00BC64DF">
        <w:rPr>
          <w:rFonts w:hint="cs"/>
          <w:rtl/>
        </w:rPr>
        <w:t>מר ואין דברים בלי נשמע קולם"</w:t>
      </w:r>
      <w:r w:rsidRPr="005316B5">
        <w:rPr>
          <w:rStyle w:val="a6"/>
          <w:rtl/>
        </w:rPr>
        <w:endnoteReference w:id="26"/>
      </w:r>
      <w:r w:rsidRPr="00BC64DF">
        <w:rPr>
          <w:rFonts w:hint="cs"/>
          <w:rtl/>
        </w:rPr>
        <w:t xml:space="preserve"> </w:t>
      </w:r>
      <w:r w:rsidRPr="00BC64DF">
        <w:rPr>
          <w:rtl/>
        </w:rPr>
        <w:t>–</w:t>
      </w:r>
      <w:r w:rsidRPr="00BC64DF">
        <w:rPr>
          <w:rFonts w:hint="cs"/>
          <w:rtl/>
        </w:rPr>
        <w:t xml:space="preserve"> ה"אין א</w:t>
      </w:r>
      <w:r w:rsidRPr="00160544">
        <w:rPr>
          <w:rFonts w:hint="cs"/>
          <w:spacing w:val="-10"/>
          <w:rtl/>
        </w:rPr>
        <w:t>ֹ</w:t>
      </w:r>
      <w:r w:rsidRPr="00BC64DF">
        <w:rPr>
          <w:rFonts w:hint="cs"/>
          <w:rtl/>
        </w:rPr>
        <w:t xml:space="preserve">מר ואין דברים בלי נשמע קולם" מתייחס בעיקר ל"לילה ללילה </w:t>
      </w:r>
      <w:proofErr w:type="spellStart"/>
      <w:r w:rsidRPr="00BC64DF">
        <w:rPr>
          <w:rFonts w:hint="cs"/>
          <w:rtl/>
        </w:rPr>
        <w:t>יחוה</w:t>
      </w:r>
      <w:proofErr w:type="spellEnd"/>
      <w:r w:rsidRPr="00BC64DF">
        <w:rPr>
          <w:rFonts w:hint="cs"/>
          <w:rtl/>
        </w:rPr>
        <w:t xml:space="preserve"> דעת", זהו הדבור הרצוי ביותר בלילה, בעת הזיווג בו יודע האיש את אשתו (אלא שמתוך הידיעה הפנימית והעמוקה שבלילה, ישנם בני זוג הזוכים להמשיך את התקשורת החשאית הזו גם למשך היום, והם משדרים זה לזו על אותו תדר עד שאין הם נדרשים כמעט להשתמש ב</w:t>
      </w:r>
      <w:r>
        <w:rPr>
          <w:rFonts w:hint="cs"/>
          <w:rtl/>
        </w:rPr>
        <w:t>דבור</w:t>
      </w:r>
      <w:r w:rsidRPr="00BC64DF">
        <w:rPr>
          <w:rFonts w:hint="cs"/>
          <w:rtl/>
        </w:rPr>
        <w:t xml:space="preserve"> מפורש). תקשורת סודית זו מתחוללת בעיקר בעת החבוק </w:t>
      </w:r>
      <w:proofErr w:type="spellStart"/>
      <w:r w:rsidRPr="00BC64DF">
        <w:rPr>
          <w:rFonts w:hint="cs"/>
          <w:rtl/>
        </w:rPr>
        <w:t>והנשוק</w:t>
      </w:r>
      <w:proofErr w:type="spellEnd"/>
      <w:r w:rsidRPr="00BC64DF">
        <w:rPr>
          <w:rFonts w:hint="cs"/>
          <w:rtl/>
        </w:rPr>
        <w:t xml:space="preserve"> הקודמים לזיווג </w:t>
      </w:r>
      <w:r w:rsidRPr="00BC64DF">
        <w:rPr>
          <w:rtl/>
        </w:rPr>
        <w:t>–</w:t>
      </w:r>
      <w:r w:rsidRPr="00BC64DF">
        <w:rPr>
          <w:rFonts w:hint="cs"/>
          <w:rtl/>
        </w:rPr>
        <w:t xml:space="preserve"> ביטויי חיבה עדינים המתקיימים דווקא בין איש ואשתו תחת כסות הכבוד שלהם (מה שאין כן ביחס לפילגש, שאת הביאה אליה מציג הרמב"ן כניגוד לכסות בה מחויב האיש לאשתו</w:t>
      </w:r>
      <w:r w:rsidRPr="005316B5">
        <w:rPr>
          <w:rStyle w:val="a6"/>
          <w:rtl/>
        </w:rPr>
        <w:endnoteReference w:id="27"/>
      </w:r>
      <w:r w:rsidRPr="00BC64DF">
        <w:rPr>
          <w:rFonts w:hint="cs"/>
          <w:rtl/>
        </w:rPr>
        <w:t>).</w:t>
      </w:r>
      <w:r w:rsidRPr="00D739AF">
        <w:rPr>
          <w:rFonts w:hint="cs"/>
          <w:color w:val="FF0000"/>
          <w:rtl/>
        </w:rPr>
        <w:t xml:space="preserve"> </w:t>
      </w:r>
    </w:p>
    <w:p w:rsidR="00F02560" w:rsidRDefault="00F02560" w:rsidP="00F02560">
      <w:pPr>
        <w:rPr>
          <w:rFonts w:hint="cs"/>
          <w:rtl/>
        </w:rPr>
      </w:pPr>
      <w:r>
        <w:rPr>
          <w:rFonts w:hint="cs"/>
          <w:rtl/>
        </w:rPr>
        <w:t xml:space="preserve">מתוך יצירת התנאים המתאימים לקירוב הדעת </w:t>
      </w:r>
      <w:r>
        <w:rPr>
          <w:rtl/>
        </w:rPr>
        <w:t>–</w:t>
      </w:r>
      <w:r>
        <w:rPr>
          <w:rFonts w:hint="cs"/>
          <w:rtl/>
        </w:rPr>
        <w:t xml:space="preserve"> קירוב הבשר המאפשר זיווג במחשבה והכיסוי במקום אחד משותף המאפשר זיווג בדבור </w:t>
      </w:r>
      <w:r>
        <w:rPr>
          <w:rtl/>
        </w:rPr>
        <w:t>–</w:t>
      </w:r>
      <w:r>
        <w:rPr>
          <w:rFonts w:hint="cs"/>
          <w:rtl/>
        </w:rPr>
        <w:t xml:space="preserve"> מגיעה עצם ה"עת דודים", הזיווג הממשי בעולם המעשה. בזיווג במעשה יש ממד של יצירה חדשה בבני הזוג, עד שהם נעשים "בשר אחד"</w:t>
      </w:r>
      <w:r w:rsidRPr="005316B5">
        <w:rPr>
          <w:rStyle w:val="a6"/>
          <w:rtl/>
        </w:rPr>
        <w:endnoteReference w:id="28"/>
      </w:r>
      <w:r>
        <w:rPr>
          <w:rFonts w:hint="cs"/>
          <w:rtl/>
        </w:rPr>
        <w:t xml:space="preserve"> ממש. עשיה זו קיימת בשינוי המתחולל בבני הזוג עצמם</w:t>
      </w:r>
      <w:r w:rsidRPr="005316B5">
        <w:rPr>
          <w:rStyle w:val="a6"/>
          <w:rtl/>
        </w:rPr>
        <w:endnoteReference w:id="29"/>
      </w:r>
      <w:r>
        <w:rPr>
          <w:rFonts w:hint="cs"/>
          <w:rtl/>
        </w:rPr>
        <w:t xml:space="preserve">, כאשר "אין </w:t>
      </w:r>
      <w:proofErr w:type="spellStart"/>
      <w:r>
        <w:rPr>
          <w:rFonts w:hint="cs"/>
          <w:rtl/>
        </w:rPr>
        <w:t>האשה</w:t>
      </w:r>
      <w:proofErr w:type="spellEnd"/>
      <w:r>
        <w:rPr>
          <w:rFonts w:hint="cs"/>
          <w:rtl/>
        </w:rPr>
        <w:t xml:space="preserve"> כורתת ברית אלא למי </w:t>
      </w:r>
      <w:proofErr w:type="spellStart"/>
      <w:r>
        <w:rPr>
          <w:rFonts w:hint="cs"/>
          <w:rtl/>
        </w:rPr>
        <w:t>ש</w:t>
      </w:r>
      <w:r w:rsidRPr="00E84990">
        <w:rPr>
          <w:rStyle w:val="a3"/>
          <w:rFonts w:hint="cs"/>
          <w:rtl/>
        </w:rPr>
        <w:t>עשאה</w:t>
      </w:r>
      <w:proofErr w:type="spellEnd"/>
      <w:r>
        <w:rPr>
          <w:rFonts w:hint="cs"/>
          <w:rtl/>
        </w:rPr>
        <w:t xml:space="preserve"> כלי"</w:t>
      </w:r>
      <w:r w:rsidRPr="005316B5">
        <w:rPr>
          <w:rStyle w:val="a6"/>
          <w:rtl/>
        </w:rPr>
        <w:endnoteReference w:id="30"/>
      </w:r>
      <w:r>
        <w:rPr>
          <w:rFonts w:hint="cs"/>
          <w:rtl/>
        </w:rPr>
        <w:t xml:space="preserve"> </w:t>
      </w:r>
      <w:r w:rsidRPr="00BC64DF">
        <w:rPr>
          <w:rFonts w:hint="cs"/>
          <w:rtl/>
        </w:rPr>
        <w:t xml:space="preserve">(ובטרם עשית הכלי בזיווג ממש, בשלב התקשורת של החיבוק והנישוק </w:t>
      </w:r>
      <w:r w:rsidRPr="00BC64DF">
        <w:rPr>
          <w:rtl/>
        </w:rPr>
        <w:t>–</w:t>
      </w:r>
      <w:r w:rsidRPr="00BC64DF">
        <w:rPr>
          <w:rFonts w:hint="cs"/>
          <w:rtl/>
        </w:rPr>
        <w:t xml:space="preserve"> תחת כסות הכבוד של בני הזוג </w:t>
      </w:r>
      <w:r w:rsidRPr="00BC64DF">
        <w:rPr>
          <w:rtl/>
        </w:rPr>
        <w:t>–</w:t>
      </w:r>
      <w:r w:rsidRPr="00BC64DF">
        <w:rPr>
          <w:rFonts w:hint="cs"/>
          <w:rtl/>
        </w:rPr>
        <w:t xml:space="preserve"> </w:t>
      </w:r>
      <w:proofErr w:type="spellStart"/>
      <w:r w:rsidRPr="00BC64DF">
        <w:rPr>
          <w:rFonts w:hint="cs"/>
          <w:rtl/>
        </w:rPr>
        <w:t>האשה</w:t>
      </w:r>
      <w:proofErr w:type="spellEnd"/>
      <w:r w:rsidRPr="00BC64DF">
        <w:rPr>
          <w:rFonts w:hint="cs"/>
          <w:rtl/>
        </w:rPr>
        <w:t xml:space="preserve"> בידי האיש היא עדיין כ"כלי ביד היוצר"</w:t>
      </w:r>
      <w:r w:rsidRPr="005316B5">
        <w:rPr>
          <w:rStyle w:val="a6"/>
          <w:rtl/>
        </w:rPr>
        <w:endnoteReference w:id="31"/>
      </w:r>
      <w:r w:rsidRPr="00BC64DF">
        <w:rPr>
          <w:rFonts w:hint="cs"/>
          <w:rtl/>
        </w:rPr>
        <w:t xml:space="preserve">, במדרגת עולם היצירה הקודמת לעולם </w:t>
      </w:r>
      <w:proofErr w:type="spellStart"/>
      <w:r w:rsidRPr="00BC64DF">
        <w:rPr>
          <w:rFonts w:hint="cs"/>
          <w:rtl/>
        </w:rPr>
        <w:t>העשיה</w:t>
      </w:r>
      <w:proofErr w:type="spellEnd"/>
      <w:r w:rsidRPr="00BC64DF">
        <w:rPr>
          <w:rFonts w:hint="cs"/>
          <w:rtl/>
        </w:rPr>
        <w:t xml:space="preserve"> הממשי).</w:t>
      </w:r>
      <w:r>
        <w:rPr>
          <w:rFonts w:hint="cs"/>
          <w:rtl/>
        </w:rPr>
        <w:t xml:space="preserve"> המשכה ותכליתה של עשיה זו היא </w:t>
      </w:r>
      <w:proofErr w:type="spellStart"/>
      <w:r>
        <w:rPr>
          <w:rFonts w:hint="cs"/>
          <w:rtl/>
        </w:rPr>
        <w:t>בעשית</w:t>
      </w:r>
      <w:proofErr w:type="spellEnd"/>
      <w:r>
        <w:rPr>
          <w:rFonts w:hint="cs"/>
          <w:rtl/>
        </w:rPr>
        <w:t>-יצירת הוולד בו "</w:t>
      </w:r>
      <w:r w:rsidRPr="00E84990">
        <w:rPr>
          <w:rStyle w:val="a3"/>
          <w:rFonts w:hint="cs"/>
          <w:rtl/>
        </w:rPr>
        <w:t>נעשה</w:t>
      </w:r>
      <w:r>
        <w:rPr>
          <w:rFonts w:hint="cs"/>
          <w:rtl/>
        </w:rPr>
        <w:t xml:space="preserve"> בשרם אחד"</w:t>
      </w:r>
      <w:r w:rsidRPr="005316B5">
        <w:rPr>
          <w:rStyle w:val="a6"/>
          <w:rtl/>
        </w:rPr>
        <w:endnoteReference w:id="32"/>
      </w:r>
      <w:r>
        <w:rPr>
          <w:rFonts w:hint="cs"/>
          <w:rtl/>
        </w:rPr>
        <w:t xml:space="preserve"> (</w:t>
      </w:r>
      <w:proofErr w:type="spellStart"/>
      <w:r>
        <w:rPr>
          <w:rFonts w:hint="cs"/>
          <w:rtl/>
        </w:rPr>
        <w:t>ובעשיתו</w:t>
      </w:r>
      <w:proofErr w:type="spellEnd"/>
      <w:r>
        <w:rPr>
          <w:rFonts w:hint="cs"/>
          <w:rtl/>
        </w:rPr>
        <w:t xml:space="preserve">-שכלולו </w:t>
      </w:r>
      <w:r>
        <w:rPr>
          <w:rtl/>
        </w:rPr>
        <w:t>–</w:t>
      </w:r>
      <w:r>
        <w:rPr>
          <w:rFonts w:hint="cs"/>
          <w:rtl/>
        </w:rPr>
        <w:t xml:space="preserve"> עשיה מלשון תיקון</w:t>
      </w:r>
      <w:r w:rsidRPr="005316B5">
        <w:rPr>
          <w:rStyle w:val="a6"/>
          <w:rtl/>
        </w:rPr>
        <w:endnoteReference w:id="33"/>
      </w:r>
      <w:r>
        <w:rPr>
          <w:rFonts w:hint="cs"/>
          <w:rtl/>
        </w:rPr>
        <w:t xml:space="preserve"> </w:t>
      </w:r>
      <w:r>
        <w:rPr>
          <w:rtl/>
        </w:rPr>
        <w:t>–</w:t>
      </w:r>
      <w:r>
        <w:rPr>
          <w:rFonts w:hint="cs"/>
          <w:rtl/>
        </w:rPr>
        <w:t xml:space="preserve"> בביאות שבמשך </w:t>
      </w:r>
      <w:proofErr w:type="spellStart"/>
      <w:r>
        <w:rPr>
          <w:rFonts w:hint="cs"/>
          <w:rtl/>
        </w:rPr>
        <w:t>ההריון</w:t>
      </w:r>
      <w:proofErr w:type="spellEnd"/>
      <w:r w:rsidRPr="005316B5">
        <w:rPr>
          <w:rStyle w:val="a6"/>
          <w:rtl/>
        </w:rPr>
        <w:endnoteReference w:id="34"/>
      </w:r>
      <w:r>
        <w:rPr>
          <w:rFonts w:hint="cs"/>
          <w:rtl/>
        </w:rPr>
        <w:t>)</w:t>
      </w:r>
      <w:r w:rsidRPr="005316B5">
        <w:rPr>
          <w:rStyle w:val="a6"/>
          <w:rtl/>
        </w:rPr>
        <w:endnoteReference w:id="35"/>
      </w:r>
      <w:r>
        <w:rPr>
          <w:rFonts w:hint="cs"/>
          <w:rtl/>
        </w:rPr>
        <w:t>.</w:t>
      </w:r>
    </w:p>
    <w:p w:rsidR="00F02560" w:rsidRDefault="00F02560" w:rsidP="00F02560">
      <w:pPr>
        <w:rPr>
          <w:rFonts w:hint="cs"/>
          <w:rtl/>
        </w:rPr>
      </w:pPr>
      <w:r>
        <w:rPr>
          <w:rFonts w:hint="cs"/>
          <w:rtl/>
        </w:rPr>
        <w:t xml:space="preserve">ולסיכום: שלשת </w:t>
      </w:r>
      <w:proofErr w:type="spellStart"/>
      <w:r>
        <w:rPr>
          <w:rFonts w:hint="cs"/>
          <w:rtl/>
        </w:rPr>
        <w:t>הענינים</w:t>
      </w:r>
      <w:proofErr w:type="spellEnd"/>
      <w:r>
        <w:rPr>
          <w:rFonts w:hint="cs"/>
          <w:rtl/>
        </w:rPr>
        <w:t xml:space="preserve"> בחיבור האיש ואשתו אותם מונה הרמב"ן</w:t>
      </w:r>
      <w:r w:rsidRPr="005316B5">
        <w:rPr>
          <w:rStyle w:val="a6"/>
          <w:rtl/>
        </w:rPr>
        <w:endnoteReference w:id="36"/>
      </w:r>
      <w:r>
        <w:rPr>
          <w:rFonts w:hint="cs"/>
          <w:rtl/>
        </w:rPr>
        <w:t xml:space="preserve"> כמוטלים על האיש במצות "שארה כסותה וע</w:t>
      </w:r>
      <w:r w:rsidRPr="00160544">
        <w:rPr>
          <w:rFonts w:hint="cs"/>
          <w:spacing w:val="-10"/>
          <w:rtl/>
        </w:rPr>
        <w:t>ֹ</w:t>
      </w:r>
      <w:r>
        <w:rPr>
          <w:rFonts w:hint="cs"/>
          <w:rtl/>
        </w:rPr>
        <w:t>נתה לא יגרע"</w:t>
      </w:r>
      <w:r w:rsidRPr="005316B5">
        <w:rPr>
          <w:rStyle w:val="a6"/>
          <w:rtl/>
        </w:rPr>
        <w:endnoteReference w:id="37"/>
      </w:r>
      <w:r>
        <w:rPr>
          <w:rFonts w:hint="cs"/>
          <w:rtl/>
        </w:rPr>
        <w:t xml:space="preserve"> </w:t>
      </w:r>
      <w:r>
        <w:rPr>
          <w:rtl/>
        </w:rPr>
        <w:t>–</w:t>
      </w:r>
      <w:r>
        <w:rPr>
          <w:rFonts w:hint="cs"/>
          <w:rtl/>
        </w:rPr>
        <w:t xml:space="preserve"> קירוב בשר ("שארה"), תשמיש ב"כסות </w:t>
      </w:r>
      <w:proofErr w:type="spellStart"/>
      <w:r>
        <w:rPr>
          <w:rFonts w:hint="cs"/>
          <w:rtl/>
        </w:rPr>
        <w:t>מטתה</w:t>
      </w:r>
      <w:proofErr w:type="spellEnd"/>
      <w:r>
        <w:rPr>
          <w:rFonts w:hint="cs"/>
          <w:rtl/>
        </w:rPr>
        <w:t xml:space="preserve">" </w:t>
      </w:r>
      <w:proofErr w:type="spellStart"/>
      <w:r>
        <w:rPr>
          <w:rFonts w:hint="cs"/>
          <w:rtl/>
        </w:rPr>
        <w:t>וב"מטה</w:t>
      </w:r>
      <w:proofErr w:type="spellEnd"/>
      <w:r>
        <w:rPr>
          <w:rFonts w:hint="cs"/>
          <w:rtl/>
        </w:rPr>
        <w:t xml:space="preserve"> כבודה" ("כסותה") ועצם ה"עת דודים" ("ע</w:t>
      </w:r>
      <w:r w:rsidRPr="00384FA2">
        <w:rPr>
          <w:rFonts w:hint="cs"/>
          <w:spacing w:val="-10"/>
          <w:rtl/>
        </w:rPr>
        <w:t>ֹ</w:t>
      </w:r>
      <w:r>
        <w:rPr>
          <w:rFonts w:hint="cs"/>
          <w:rtl/>
        </w:rPr>
        <w:t xml:space="preserve">נתה") </w:t>
      </w:r>
      <w:r>
        <w:rPr>
          <w:rtl/>
        </w:rPr>
        <w:t>–</w:t>
      </w:r>
      <w:r>
        <w:rPr>
          <w:rFonts w:hint="cs"/>
          <w:rtl/>
        </w:rPr>
        <w:t xml:space="preserve"> הם קיום הזיווג בשלמות הראויה, בכל שלשת לבושי הנפש, מחשבה, דבור ומעשה.</w:t>
      </w:r>
    </w:p>
    <w:p w:rsidR="005F4A47" w:rsidRDefault="00C7271D">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71D" w:rsidRDefault="00C7271D" w:rsidP="00F02560">
      <w:pPr>
        <w:spacing w:after="0" w:line="240" w:lineRule="auto"/>
      </w:pPr>
      <w:r>
        <w:separator/>
      </w:r>
    </w:p>
  </w:endnote>
  <w:endnote w:type="continuationSeparator" w:id="0">
    <w:p w:rsidR="00C7271D" w:rsidRDefault="00C7271D" w:rsidP="00F02560">
      <w:pPr>
        <w:spacing w:after="0" w:line="240" w:lineRule="auto"/>
      </w:pPr>
      <w:r>
        <w:continuationSeparator/>
      </w:r>
    </w:p>
  </w:endnote>
  <w:endnote w:id="1">
    <w:p w:rsidR="00F02560" w:rsidRDefault="00F02560" w:rsidP="00F02560">
      <w:pPr>
        <w:pStyle w:val="a4"/>
        <w:rPr>
          <w:rFonts w:hint="cs"/>
          <w:rtl/>
        </w:rPr>
      </w:pPr>
      <w:r>
        <w:rPr>
          <w:rtl/>
        </w:rPr>
        <w:tab/>
      </w:r>
      <w:r w:rsidRPr="00E15672">
        <w:rPr>
          <w:rtl/>
        </w:rPr>
        <w:endnoteRef/>
      </w:r>
      <w:r>
        <w:rPr>
          <w:rtl/>
        </w:rPr>
        <w:t>.</w:t>
      </w:r>
      <w:r>
        <w:rPr>
          <w:rtl/>
        </w:rPr>
        <w:tab/>
      </w:r>
      <w:r>
        <w:rPr>
          <w:rFonts w:hint="cs"/>
          <w:rtl/>
        </w:rPr>
        <w:t xml:space="preserve">שמות </w:t>
      </w:r>
      <w:proofErr w:type="spellStart"/>
      <w:r>
        <w:rPr>
          <w:rFonts w:hint="cs"/>
          <w:rtl/>
        </w:rPr>
        <w:t>כא</w:t>
      </w:r>
      <w:proofErr w:type="spellEnd"/>
      <w:r>
        <w:rPr>
          <w:rFonts w:hint="cs"/>
          <w:rtl/>
        </w:rPr>
        <w:t>, י.</w:t>
      </w:r>
    </w:p>
  </w:endnote>
  <w:endnote w:id="2">
    <w:p w:rsidR="00F02560" w:rsidRDefault="00F02560" w:rsidP="00F02560">
      <w:pPr>
        <w:pStyle w:val="a4"/>
        <w:rPr>
          <w:rFonts w:hint="cs"/>
          <w:rtl/>
        </w:rPr>
      </w:pPr>
      <w:r>
        <w:rPr>
          <w:rtl/>
        </w:rPr>
        <w:tab/>
      </w:r>
      <w:r w:rsidRPr="00E15672">
        <w:rPr>
          <w:rtl/>
        </w:rPr>
        <w:endnoteRef/>
      </w:r>
      <w:r>
        <w:rPr>
          <w:rtl/>
        </w:rPr>
        <w:t>.</w:t>
      </w:r>
      <w:r>
        <w:rPr>
          <w:rtl/>
        </w:rPr>
        <w:tab/>
      </w:r>
      <w:r>
        <w:rPr>
          <w:rFonts w:hint="cs"/>
          <w:rtl/>
        </w:rPr>
        <w:t>כתובות מח, א.</w:t>
      </w:r>
    </w:p>
  </w:endnote>
  <w:endnote w:id="3">
    <w:p w:rsidR="00F02560" w:rsidRDefault="00F02560" w:rsidP="00F02560">
      <w:pPr>
        <w:pStyle w:val="a4"/>
        <w:rPr>
          <w:rFonts w:hint="cs"/>
          <w:rtl/>
        </w:rPr>
      </w:pPr>
      <w:r>
        <w:rPr>
          <w:rtl/>
        </w:rPr>
        <w:tab/>
      </w:r>
      <w:r w:rsidRPr="00E15672">
        <w:rPr>
          <w:rtl/>
        </w:rPr>
        <w:endnoteRef/>
      </w:r>
      <w:r>
        <w:rPr>
          <w:rtl/>
        </w:rPr>
        <w:t>.</w:t>
      </w:r>
      <w:r>
        <w:rPr>
          <w:rtl/>
        </w:rPr>
        <w:tab/>
      </w:r>
      <w:r>
        <w:rPr>
          <w:rFonts w:hint="cs"/>
          <w:rtl/>
        </w:rPr>
        <w:t xml:space="preserve">וראה דרשת בגד-בגידה </w:t>
      </w:r>
      <w:proofErr w:type="spellStart"/>
      <w:r>
        <w:rPr>
          <w:rFonts w:hint="cs"/>
          <w:rtl/>
        </w:rPr>
        <w:t>בקדושין</w:t>
      </w:r>
      <w:proofErr w:type="spellEnd"/>
      <w:r>
        <w:rPr>
          <w:rFonts w:hint="cs"/>
          <w:rtl/>
        </w:rPr>
        <w:t xml:space="preserve"> </w:t>
      </w:r>
      <w:proofErr w:type="spellStart"/>
      <w:r>
        <w:rPr>
          <w:rFonts w:hint="cs"/>
          <w:rtl/>
        </w:rPr>
        <w:t>יח</w:t>
      </w:r>
      <w:proofErr w:type="spellEnd"/>
      <w:r>
        <w:rPr>
          <w:rFonts w:hint="cs"/>
          <w:rtl/>
        </w:rPr>
        <w:t xml:space="preserve">, ב: "'בבגדו בה', כיון שפירש טליתו עליה שוב אינו רשאי </w:t>
      </w:r>
      <w:proofErr w:type="spellStart"/>
      <w:r>
        <w:rPr>
          <w:rFonts w:hint="cs"/>
          <w:rtl/>
        </w:rPr>
        <w:t>למוכרה</w:t>
      </w:r>
      <w:proofErr w:type="spellEnd"/>
      <w:r>
        <w:rPr>
          <w:rFonts w:hint="cs"/>
          <w:rtl/>
        </w:rPr>
        <w:t xml:space="preserve"> דברי רבי עקיבא, רבי אליעזר אומר 'בבגדו בה', כיון שבגד בה שוב אין רשאי </w:t>
      </w:r>
      <w:proofErr w:type="spellStart"/>
      <w:r>
        <w:rPr>
          <w:rFonts w:hint="cs"/>
          <w:rtl/>
        </w:rPr>
        <w:t>למוכרה</w:t>
      </w:r>
      <w:proofErr w:type="spellEnd"/>
      <w:r>
        <w:rPr>
          <w:rFonts w:hint="cs"/>
          <w:rtl/>
        </w:rPr>
        <w:t xml:space="preserve">" וכן בסנהדרין </w:t>
      </w:r>
      <w:proofErr w:type="spellStart"/>
      <w:r>
        <w:rPr>
          <w:rFonts w:hint="cs"/>
          <w:rtl/>
        </w:rPr>
        <w:t>לז</w:t>
      </w:r>
      <w:proofErr w:type="spellEnd"/>
      <w:r>
        <w:rPr>
          <w:rFonts w:hint="cs"/>
          <w:rtl/>
        </w:rPr>
        <w:t>, א: "'וירח את ריח בגדיו', אל תקרי 'בגדיו' אלא 'בוגדיו'".</w:t>
      </w:r>
    </w:p>
  </w:endnote>
  <w:endnote w:id="4">
    <w:p w:rsidR="00F02560" w:rsidRDefault="00F02560" w:rsidP="00F02560">
      <w:pPr>
        <w:pStyle w:val="a4"/>
        <w:rPr>
          <w:rFonts w:hint="cs"/>
          <w:rtl/>
        </w:rPr>
      </w:pPr>
      <w:r>
        <w:rPr>
          <w:rtl/>
        </w:rPr>
        <w:tab/>
      </w:r>
      <w:r w:rsidRPr="00E15672">
        <w:rPr>
          <w:rtl/>
        </w:rPr>
        <w:endnoteRef/>
      </w:r>
      <w:r>
        <w:rPr>
          <w:rtl/>
        </w:rPr>
        <w:t>.</w:t>
      </w:r>
      <w:r>
        <w:rPr>
          <w:rtl/>
        </w:rPr>
        <w:tab/>
      </w:r>
      <w:r>
        <w:rPr>
          <w:rFonts w:hint="cs"/>
          <w:rtl/>
        </w:rPr>
        <w:t>בראשית ל, יא.</w:t>
      </w:r>
    </w:p>
  </w:endnote>
  <w:endnote w:id="5">
    <w:p w:rsidR="00F02560" w:rsidRDefault="00F02560" w:rsidP="00F02560">
      <w:pPr>
        <w:pStyle w:val="a4"/>
        <w:rPr>
          <w:rFonts w:hint="cs"/>
          <w:rtl/>
        </w:rPr>
      </w:pPr>
      <w:r>
        <w:rPr>
          <w:rtl/>
        </w:rPr>
        <w:tab/>
      </w:r>
      <w:r w:rsidRPr="00E15672">
        <w:rPr>
          <w:rtl/>
        </w:rPr>
        <w:endnoteRef/>
      </w:r>
      <w:r>
        <w:rPr>
          <w:rtl/>
        </w:rPr>
        <w:t>.</w:t>
      </w:r>
      <w:r>
        <w:rPr>
          <w:rtl/>
        </w:rPr>
        <w:tab/>
      </w:r>
      <w:r>
        <w:rPr>
          <w:rFonts w:hint="cs"/>
          <w:rtl/>
        </w:rPr>
        <w:t xml:space="preserve">אלא שיתרון הכיפה הוא בכך שהיא משרה השראה </w:t>
      </w:r>
      <w:proofErr w:type="spellStart"/>
      <w:r>
        <w:rPr>
          <w:rFonts w:hint="cs"/>
          <w:rtl/>
        </w:rPr>
        <w:t>אלקית</w:t>
      </w:r>
      <w:proofErr w:type="spellEnd"/>
      <w:r>
        <w:rPr>
          <w:rFonts w:hint="cs"/>
          <w:rtl/>
        </w:rPr>
        <w:t xml:space="preserve"> על הזיווג, בלי לגרום גם לחציצה גופנית כל שהיא בין בני הזוג, כפשוט (וראה יין המשמח </w:t>
      </w:r>
      <w:proofErr w:type="spellStart"/>
      <w:r>
        <w:rPr>
          <w:rFonts w:hint="cs"/>
          <w:rtl/>
        </w:rPr>
        <w:t>ח"ב</w:t>
      </w:r>
      <w:proofErr w:type="spellEnd"/>
      <w:r>
        <w:rPr>
          <w:rFonts w:hint="cs"/>
          <w:rtl/>
        </w:rPr>
        <w:t xml:space="preserve"> שער א בתורה "אהבה דוחקת הבשר" כי יש ממד בו בקשר האהבה המודע בין בני הזוג אין מקום גם להפרעה </w:t>
      </w:r>
      <w:proofErr w:type="spellStart"/>
      <w:r>
        <w:rPr>
          <w:rFonts w:hint="cs"/>
          <w:rtl/>
        </w:rPr>
        <w:t>אלקית</w:t>
      </w:r>
      <w:proofErr w:type="spellEnd"/>
      <w:r>
        <w:rPr>
          <w:rFonts w:hint="cs"/>
          <w:rtl/>
        </w:rPr>
        <w:t xml:space="preserve">, כביכול, ועל כן ראוי שההשראה </w:t>
      </w:r>
      <w:proofErr w:type="spellStart"/>
      <w:r>
        <w:rPr>
          <w:rFonts w:hint="cs"/>
          <w:rtl/>
        </w:rPr>
        <w:t>האלקית</w:t>
      </w:r>
      <w:proofErr w:type="spellEnd"/>
      <w:r>
        <w:rPr>
          <w:rFonts w:hint="cs"/>
          <w:rtl/>
        </w:rPr>
        <w:t xml:space="preserve"> תרחף ממעל ולא תגרום לחציצה בתווך, בין בני הזוג, ואכמ"ל).</w:t>
      </w:r>
    </w:p>
  </w:endnote>
  <w:endnote w:id="6">
    <w:p w:rsidR="00F02560" w:rsidRDefault="00F02560" w:rsidP="00F02560">
      <w:pPr>
        <w:pStyle w:val="a4"/>
        <w:rPr>
          <w:rFonts w:hint="cs"/>
          <w:rtl/>
        </w:rPr>
      </w:pPr>
      <w:r>
        <w:rPr>
          <w:rtl/>
        </w:rPr>
        <w:tab/>
      </w:r>
      <w:r w:rsidRPr="00E15672">
        <w:rPr>
          <w:rtl/>
        </w:rPr>
        <w:endnoteRef/>
      </w:r>
      <w:r>
        <w:rPr>
          <w:rtl/>
        </w:rPr>
        <w:t>.</w:t>
      </w:r>
      <w:r>
        <w:rPr>
          <w:rtl/>
        </w:rPr>
        <w:tab/>
      </w:r>
      <w:r>
        <w:rPr>
          <w:rFonts w:hint="cs"/>
          <w:rtl/>
        </w:rPr>
        <w:t>נדרים כ, ב.</w:t>
      </w:r>
    </w:p>
  </w:endnote>
  <w:endnote w:id="7">
    <w:p w:rsidR="00F02560" w:rsidRDefault="00F02560" w:rsidP="00F02560">
      <w:pPr>
        <w:pStyle w:val="a4"/>
        <w:rPr>
          <w:rFonts w:hint="cs"/>
          <w:rtl/>
        </w:rPr>
      </w:pPr>
      <w:r>
        <w:rPr>
          <w:rtl/>
        </w:rPr>
        <w:tab/>
      </w:r>
      <w:r w:rsidRPr="00E15672">
        <w:rPr>
          <w:rtl/>
        </w:rPr>
        <w:endnoteRef/>
      </w:r>
      <w:r>
        <w:rPr>
          <w:rtl/>
        </w:rPr>
        <w:t>.</w:t>
      </w:r>
      <w:r>
        <w:rPr>
          <w:rtl/>
        </w:rPr>
        <w:tab/>
      </w:r>
      <w:r>
        <w:rPr>
          <w:rFonts w:hint="cs"/>
          <w:rtl/>
        </w:rPr>
        <w:t xml:space="preserve">בתורה הקודמת </w:t>
      </w:r>
      <w:r>
        <w:rPr>
          <w:rtl/>
        </w:rPr>
        <w:t>–</w:t>
      </w:r>
      <w:r>
        <w:rPr>
          <w:rFonts w:hint="cs"/>
          <w:rtl/>
        </w:rPr>
        <w:t xml:space="preserve"> "והיו לבשר אחד".</w:t>
      </w:r>
    </w:p>
  </w:endnote>
  <w:endnote w:id="8">
    <w:p w:rsidR="00F02560" w:rsidRDefault="00F02560" w:rsidP="00F02560">
      <w:pPr>
        <w:pStyle w:val="a4"/>
        <w:rPr>
          <w:rFonts w:hint="cs"/>
          <w:rtl/>
        </w:rPr>
      </w:pPr>
      <w:r>
        <w:rPr>
          <w:rtl/>
        </w:rPr>
        <w:tab/>
      </w:r>
      <w:r w:rsidRPr="00E15672">
        <w:rPr>
          <w:rtl/>
        </w:rPr>
        <w:endnoteRef/>
      </w:r>
      <w:r>
        <w:rPr>
          <w:rtl/>
        </w:rPr>
        <w:t>.</w:t>
      </w:r>
      <w:r>
        <w:rPr>
          <w:rtl/>
        </w:rPr>
        <w:tab/>
      </w:r>
      <w:r>
        <w:rPr>
          <w:rFonts w:hint="cs"/>
          <w:rtl/>
        </w:rPr>
        <w:t>בראשית א, ה.</w:t>
      </w:r>
    </w:p>
  </w:endnote>
  <w:endnote w:id="9">
    <w:p w:rsidR="00F02560" w:rsidRDefault="00F02560" w:rsidP="00F02560">
      <w:pPr>
        <w:pStyle w:val="a4"/>
        <w:rPr>
          <w:rFonts w:hint="cs"/>
          <w:rtl/>
        </w:rPr>
      </w:pPr>
      <w:r>
        <w:rPr>
          <w:rtl/>
        </w:rPr>
        <w:tab/>
      </w:r>
      <w:r w:rsidRPr="00E15672">
        <w:rPr>
          <w:rtl/>
        </w:rPr>
        <w:endnoteRef/>
      </w:r>
      <w:r>
        <w:rPr>
          <w:rtl/>
        </w:rPr>
        <w:t>.</w:t>
      </w:r>
      <w:r>
        <w:rPr>
          <w:rtl/>
        </w:rPr>
        <w:tab/>
      </w:r>
      <w:proofErr w:type="spellStart"/>
      <w:r>
        <w:rPr>
          <w:rFonts w:hint="cs"/>
          <w:rtl/>
        </w:rPr>
        <w:t>שו"ע</w:t>
      </w:r>
      <w:proofErr w:type="spellEnd"/>
      <w:r>
        <w:rPr>
          <w:rFonts w:hint="cs"/>
          <w:rtl/>
        </w:rPr>
        <w:t xml:space="preserve"> </w:t>
      </w:r>
      <w:proofErr w:type="spellStart"/>
      <w:r>
        <w:rPr>
          <w:rFonts w:hint="cs"/>
          <w:rtl/>
        </w:rPr>
        <w:t>או"ח</w:t>
      </w:r>
      <w:proofErr w:type="spellEnd"/>
      <w:r>
        <w:rPr>
          <w:rFonts w:hint="cs"/>
          <w:rtl/>
        </w:rPr>
        <w:t xml:space="preserve"> סימן </w:t>
      </w:r>
      <w:proofErr w:type="spellStart"/>
      <w:r>
        <w:rPr>
          <w:rFonts w:hint="cs"/>
          <w:rtl/>
        </w:rPr>
        <w:t>רמ</w:t>
      </w:r>
      <w:proofErr w:type="spellEnd"/>
      <w:r>
        <w:rPr>
          <w:rFonts w:hint="cs"/>
          <w:rtl/>
        </w:rPr>
        <w:t xml:space="preserve"> סעיף ז (וראה נדרים כ, ב).</w:t>
      </w:r>
    </w:p>
  </w:endnote>
  <w:endnote w:id="10">
    <w:p w:rsidR="00F02560" w:rsidRDefault="00F02560" w:rsidP="00F02560">
      <w:pPr>
        <w:pStyle w:val="a4"/>
        <w:rPr>
          <w:rFonts w:hint="cs"/>
          <w:rtl/>
        </w:rPr>
      </w:pPr>
      <w:r>
        <w:rPr>
          <w:rtl/>
        </w:rPr>
        <w:tab/>
      </w:r>
      <w:r w:rsidRPr="00E15672">
        <w:rPr>
          <w:rtl/>
        </w:rPr>
        <w:endnoteRef/>
      </w:r>
      <w:r>
        <w:rPr>
          <w:rtl/>
        </w:rPr>
        <w:t>.</w:t>
      </w:r>
      <w:r>
        <w:rPr>
          <w:rtl/>
        </w:rPr>
        <w:tab/>
      </w:r>
      <w:r>
        <w:rPr>
          <w:rFonts w:hint="cs"/>
          <w:rtl/>
        </w:rPr>
        <w:t xml:space="preserve">בראשית א, ט (וראה בתורה הקודמת </w:t>
      </w:r>
      <w:r>
        <w:rPr>
          <w:rtl/>
        </w:rPr>
        <w:t>–</w:t>
      </w:r>
      <w:r>
        <w:rPr>
          <w:rFonts w:hint="cs"/>
          <w:rtl/>
        </w:rPr>
        <w:t xml:space="preserve"> "והיו לבשר אחד").</w:t>
      </w:r>
    </w:p>
  </w:endnote>
  <w:endnote w:id="11">
    <w:p w:rsidR="00F02560" w:rsidRDefault="00F02560" w:rsidP="00F02560">
      <w:pPr>
        <w:pStyle w:val="a4"/>
        <w:rPr>
          <w:rFonts w:hint="cs"/>
          <w:rtl/>
        </w:rPr>
      </w:pPr>
      <w:r>
        <w:rPr>
          <w:rtl/>
        </w:rPr>
        <w:tab/>
      </w:r>
      <w:r w:rsidRPr="00E15672">
        <w:rPr>
          <w:rtl/>
        </w:rPr>
        <w:endnoteRef/>
      </w:r>
      <w:r>
        <w:rPr>
          <w:rtl/>
        </w:rPr>
        <w:t>.</w:t>
      </w:r>
      <w:r>
        <w:rPr>
          <w:rtl/>
        </w:rPr>
        <w:tab/>
      </w:r>
      <w:r>
        <w:rPr>
          <w:rFonts w:hint="cs"/>
          <w:rtl/>
        </w:rPr>
        <w:t>מיכה ב, ט.</w:t>
      </w:r>
    </w:p>
  </w:endnote>
  <w:endnote w:id="12">
    <w:p w:rsidR="00F02560" w:rsidRDefault="00F02560" w:rsidP="00F02560">
      <w:pPr>
        <w:pStyle w:val="a4"/>
        <w:rPr>
          <w:rFonts w:hint="cs"/>
          <w:rtl/>
        </w:rPr>
      </w:pPr>
      <w:r>
        <w:rPr>
          <w:rtl/>
        </w:rPr>
        <w:tab/>
      </w:r>
      <w:r w:rsidRPr="00E15672">
        <w:rPr>
          <w:rtl/>
        </w:rPr>
        <w:endnoteRef/>
      </w:r>
      <w:r>
        <w:rPr>
          <w:rtl/>
        </w:rPr>
        <w:t>.</w:t>
      </w:r>
      <w:r>
        <w:rPr>
          <w:rtl/>
        </w:rPr>
        <w:tab/>
      </w:r>
      <w:r>
        <w:rPr>
          <w:rFonts w:hint="cs"/>
          <w:rtl/>
        </w:rPr>
        <w:t xml:space="preserve">עירובין </w:t>
      </w:r>
      <w:proofErr w:type="spellStart"/>
      <w:r>
        <w:rPr>
          <w:rFonts w:hint="cs"/>
          <w:rtl/>
        </w:rPr>
        <w:t>סג</w:t>
      </w:r>
      <w:proofErr w:type="spellEnd"/>
      <w:r>
        <w:rPr>
          <w:rFonts w:hint="cs"/>
          <w:rtl/>
        </w:rPr>
        <w:t>, ב.</w:t>
      </w:r>
    </w:p>
  </w:endnote>
  <w:endnote w:id="13">
    <w:p w:rsidR="00F02560" w:rsidRDefault="00F02560" w:rsidP="00F02560">
      <w:pPr>
        <w:pStyle w:val="a4"/>
        <w:rPr>
          <w:rFonts w:hint="cs"/>
        </w:rPr>
      </w:pPr>
      <w:r>
        <w:rPr>
          <w:rtl/>
        </w:rPr>
        <w:tab/>
      </w:r>
      <w:r w:rsidRPr="00E15672">
        <w:rPr>
          <w:rtl/>
        </w:rPr>
        <w:endnoteRef/>
      </w:r>
      <w:r>
        <w:rPr>
          <w:rtl/>
        </w:rPr>
        <w:t>.</w:t>
      </w:r>
      <w:r>
        <w:rPr>
          <w:rtl/>
        </w:rPr>
        <w:tab/>
      </w:r>
      <w:r>
        <w:rPr>
          <w:rFonts w:hint="cs"/>
          <w:rtl/>
        </w:rPr>
        <w:t xml:space="preserve">שבת קלח, ב (וראה במפרשים שם על </w:t>
      </w:r>
      <w:proofErr w:type="spellStart"/>
      <w:r>
        <w:rPr>
          <w:rFonts w:hint="cs"/>
          <w:rtl/>
        </w:rPr>
        <w:t>יחודה</w:t>
      </w:r>
      <w:proofErr w:type="spellEnd"/>
      <w:r>
        <w:rPr>
          <w:rFonts w:hint="cs"/>
          <w:rtl/>
        </w:rPr>
        <w:t xml:space="preserve"> של "</w:t>
      </w:r>
      <w:proofErr w:type="spellStart"/>
      <w:r>
        <w:rPr>
          <w:rFonts w:hint="cs"/>
          <w:rtl/>
        </w:rPr>
        <w:t>כילת</w:t>
      </w:r>
      <w:proofErr w:type="spellEnd"/>
      <w:r>
        <w:rPr>
          <w:rFonts w:hint="cs"/>
          <w:rtl/>
        </w:rPr>
        <w:t xml:space="preserve"> חתנים", המשמשת יותר ככיסוי מטה ופחות כאוהל הנטוי מעליה).</w:t>
      </w:r>
    </w:p>
  </w:endnote>
  <w:endnote w:id="14">
    <w:p w:rsidR="00F02560" w:rsidRDefault="00F02560" w:rsidP="00F02560">
      <w:pPr>
        <w:pStyle w:val="a4"/>
        <w:rPr>
          <w:rFonts w:hint="cs"/>
          <w:rtl/>
        </w:rPr>
      </w:pPr>
      <w:r>
        <w:rPr>
          <w:rtl/>
        </w:rPr>
        <w:tab/>
      </w:r>
      <w:r w:rsidRPr="00E15672">
        <w:rPr>
          <w:rtl/>
        </w:rPr>
        <w:endnoteRef/>
      </w:r>
      <w:r>
        <w:rPr>
          <w:rtl/>
        </w:rPr>
        <w:t>.</w:t>
      </w:r>
      <w:r>
        <w:rPr>
          <w:rtl/>
        </w:rPr>
        <w:tab/>
      </w:r>
      <w:r>
        <w:rPr>
          <w:rFonts w:hint="cs"/>
          <w:rtl/>
        </w:rPr>
        <w:t>ראה שכינה ביניהם פ"ב.</w:t>
      </w:r>
    </w:p>
  </w:endnote>
  <w:endnote w:id="15">
    <w:p w:rsidR="00F02560" w:rsidRDefault="00F02560" w:rsidP="00F02560">
      <w:pPr>
        <w:pStyle w:val="a4"/>
        <w:rPr>
          <w:rFonts w:hint="cs"/>
          <w:rtl/>
        </w:rPr>
      </w:pPr>
      <w:r>
        <w:rPr>
          <w:rtl/>
        </w:rPr>
        <w:tab/>
      </w:r>
      <w:r w:rsidRPr="00E15672">
        <w:rPr>
          <w:rtl/>
        </w:rPr>
        <w:endnoteRef/>
      </w:r>
      <w:r>
        <w:rPr>
          <w:rtl/>
        </w:rPr>
        <w:t>.</w:t>
      </w:r>
      <w:r>
        <w:rPr>
          <w:rtl/>
        </w:rPr>
        <w:tab/>
      </w:r>
      <w:r>
        <w:rPr>
          <w:rFonts w:hint="cs"/>
          <w:rtl/>
        </w:rPr>
        <w:t xml:space="preserve">אודות הדבור הטבעי, </w:t>
      </w:r>
      <w:proofErr w:type="spellStart"/>
      <w:r>
        <w:rPr>
          <w:rFonts w:hint="cs"/>
          <w:rtl/>
        </w:rPr>
        <w:t>המתדבר</w:t>
      </w:r>
      <w:proofErr w:type="spellEnd"/>
      <w:r>
        <w:rPr>
          <w:rFonts w:hint="cs"/>
          <w:rtl/>
        </w:rPr>
        <w:t xml:space="preserve"> מאליו, ראה הטבע היהודי עמ' נ-נב.</w:t>
      </w:r>
    </w:p>
  </w:endnote>
  <w:endnote w:id="16">
    <w:p w:rsidR="00F02560" w:rsidRDefault="00F02560" w:rsidP="00F02560">
      <w:pPr>
        <w:pStyle w:val="a4"/>
        <w:rPr>
          <w:rFonts w:hint="cs"/>
          <w:rtl/>
        </w:rPr>
      </w:pPr>
      <w:r>
        <w:rPr>
          <w:rtl/>
        </w:rPr>
        <w:tab/>
      </w:r>
      <w:r w:rsidRPr="00E15672">
        <w:rPr>
          <w:rtl/>
        </w:rPr>
        <w:endnoteRef/>
      </w:r>
      <w:r>
        <w:rPr>
          <w:rtl/>
        </w:rPr>
        <w:t>.</w:t>
      </w:r>
      <w:r>
        <w:rPr>
          <w:rtl/>
        </w:rPr>
        <w:tab/>
      </w:r>
      <w:r>
        <w:rPr>
          <w:rFonts w:hint="cs"/>
          <w:rtl/>
        </w:rPr>
        <w:t xml:space="preserve">ברכות ו, ב </w:t>
      </w:r>
      <w:r>
        <w:rPr>
          <w:rtl/>
        </w:rPr>
        <w:t>–</w:t>
      </w:r>
      <w:r>
        <w:rPr>
          <w:rFonts w:hint="cs"/>
          <w:rtl/>
        </w:rPr>
        <w:t xml:space="preserve"> וראה בתורה הקודמת, "והיו לבשר אחד".</w:t>
      </w:r>
    </w:p>
  </w:endnote>
  <w:endnote w:id="17">
    <w:p w:rsidR="00F02560" w:rsidRDefault="00F02560" w:rsidP="00F02560">
      <w:pPr>
        <w:pStyle w:val="a4"/>
        <w:rPr>
          <w:rFonts w:hint="cs"/>
        </w:rPr>
      </w:pPr>
      <w:r>
        <w:rPr>
          <w:rtl/>
        </w:rPr>
        <w:tab/>
      </w:r>
      <w:r w:rsidRPr="00E15672">
        <w:rPr>
          <w:rtl/>
        </w:rPr>
        <w:endnoteRef/>
      </w:r>
      <w:r>
        <w:rPr>
          <w:rtl/>
        </w:rPr>
        <w:t>.</w:t>
      </w:r>
      <w:r>
        <w:rPr>
          <w:rtl/>
        </w:rPr>
        <w:tab/>
      </w:r>
      <w:r>
        <w:rPr>
          <w:rFonts w:hint="cs"/>
          <w:rtl/>
        </w:rPr>
        <w:t xml:space="preserve">אודות המקום הרוחני בתוכו מתחוללת התפלה ראה הטבע היהודי עמ' </w:t>
      </w:r>
      <w:proofErr w:type="spellStart"/>
      <w:r>
        <w:rPr>
          <w:rFonts w:hint="cs"/>
          <w:rtl/>
        </w:rPr>
        <w:t>קמז</w:t>
      </w:r>
      <w:proofErr w:type="spellEnd"/>
      <w:r>
        <w:rPr>
          <w:rFonts w:hint="cs"/>
          <w:rtl/>
        </w:rPr>
        <w:t xml:space="preserve"> ואילך (</w:t>
      </w:r>
      <w:proofErr w:type="spellStart"/>
      <w:r>
        <w:rPr>
          <w:rFonts w:hint="cs"/>
          <w:rtl/>
        </w:rPr>
        <w:t>וש"נ</w:t>
      </w:r>
      <w:proofErr w:type="spellEnd"/>
      <w:r>
        <w:rPr>
          <w:rFonts w:hint="cs"/>
          <w:rtl/>
        </w:rPr>
        <w:t>).</w:t>
      </w:r>
    </w:p>
  </w:endnote>
  <w:endnote w:id="18">
    <w:p w:rsidR="00F02560" w:rsidRDefault="00F02560" w:rsidP="00F02560">
      <w:pPr>
        <w:pStyle w:val="a4"/>
        <w:rPr>
          <w:rFonts w:hint="cs"/>
          <w:rtl/>
        </w:rPr>
      </w:pPr>
      <w:r>
        <w:rPr>
          <w:rtl/>
        </w:rPr>
        <w:tab/>
      </w:r>
      <w:r w:rsidRPr="00E15672">
        <w:rPr>
          <w:rtl/>
        </w:rPr>
        <w:endnoteRef/>
      </w:r>
      <w:r>
        <w:rPr>
          <w:rtl/>
        </w:rPr>
        <w:t>.</w:t>
      </w:r>
      <w:r>
        <w:rPr>
          <w:rtl/>
        </w:rPr>
        <w:tab/>
      </w:r>
      <w:r>
        <w:rPr>
          <w:rFonts w:hint="cs"/>
          <w:rtl/>
        </w:rPr>
        <w:t xml:space="preserve">וראה הטבע היהודי מאמר "התפלה המתמדת" (ובפרט שם עמ' </w:t>
      </w:r>
      <w:proofErr w:type="spellStart"/>
      <w:r>
        <w:rPr>
          <w:rFonts w:hint="cs"/>
          <w:rtl/>
        </w:rPr>
        <w:t>קכט</w:t>
      </w:r>
      <w:proofErr w:type="spellEnd"/>
      <w:r>
        <w:rPr>
          <w:rFonts w:hint="cs"/>
          <w:rtl/>
        </w:rPr>
        <w:t xml:space="preserve"> ואילך).</w:t>
      </w:r>
    </w:p>
  </w:endnote>
  <w:endnote w:id="19">
    <w:p w:rsidR="00F02560" w:rsidRDefault="00F02560" w:rsidP="00F02560">
      <w:pPr>
        <w:pStyle w:val="a4"/>
        <w:rPr>
          <w:rFonts w:hint="cs"/>
        </w:rPr>
      </w:pPr>
      <w:r>
        <w:rPr>
          <w:rtl/>
        </w:rPr>
        <w:tab/>
      </w:r>
      <w:r w:rsidRPr="00E15672">
        <w:rPr>
          <w:rtl/>
        </w:rPr>
        <w:endnoteRef/>
      </w:r>
      <w:r>
        <w:rPr>
          <w:rtl/>
        </w:rPr>
        <w:t>.</w:t>
      </w:r>
      <w:r>
        <w:rPr>
          <w:rtl/>
        </w:rPr>
        <w:tab/>
      </w:r>
      <w:r>
        <w:rPr>
          <w:rFonts w:hint="cs"/>
          <w:rtl/>
        </w:rPr>
        <w:t>תהלים ו, ז.</w:t>
      </w:r>
    </w:p>
  </w:endnote>
  <w:endnote w:id="20">
    <w:p w:rsidR="00F02560" w:rsidRDefault="00F02560" w:rsidP="00F02560">
      <w:pPr>
        <w:pStyle w:val="a4"/>
        <w:rPr>
          <w:rFonts w:hint="cs"/>
          <w:rtl/>
        </w:rPr>
      </w:pPr>
      <w:r>
        <w:rPr>
          <w:rtl/>
        </w:rPr>
        <w:tab/>
      </w:r>
      <w:r w:rsidRPr="00E15672">
        <w:rPr>
          <w:rtl/>
        </w:rPr>
        <w:endnoteRef/>
      </w:r>
      <w:r>
        <w:rPr>
          <w:rtl/>
        </w:rPr>
        <w:t>.</w:t>
      </w:r>
      <w:r>
        <w:rPr>
          <w:rtl/>
        </w:rPr>
        <w:tab/>
      </w:r>
      <w:r>
        <w:rPr>
          <w:rFonts w:hint="cs"/>
          <w:rtl/>
        </w:rPr>
        <w:t xml:space="preserve">שיחות </w:t>
      </w:r>
      <w:proofErr w:type="spellStart"/>
      <w:r>
        <w:rPr>
          <w:rFonts w:hint="cs"/>
          <w:rtl/>
        </w:rPr>
        <w:t>הר"ן</w:t>
      </w:r>
      <w:proofErr w:type="spellEnd"/>
      <w:r>
        <w:rPr>
          <w:rFonts w:hint="cs"/>
          <w:rtl/>
        </w:rPr>
        <w:t xml:space="preserve"> סח.</w:t>
      </w:r>
    </w:p>
  </w:endnote>
  <w:endnote w:id="21">
    <w:p w:rsidR="00F02560" w:rsidRDefault="00F02560" w:rsidP="00F02560">
      <w:pPr>
        <w:pStyle w:val="a4"/>
        <w:rPr>
          <w:rFonts w:hint="cs"/>
          <w:rtl/>
        </w:rPr>
      </w:pPr>
      <w:r>
        <w:rPr>
          <w:rtl/>
        </w:rPr>
        <w:tab/>
      </w:r>
      <w:r w:rsidRPr="00E15672">
        <w:rPr>
          <w:rtl/>
        </w:rPr>
        <w:endnoteRef/>
      </w:r>
      <w:r>
        <w:rPr>
          <w:rtl/>
        </w:rPr>
        <w:t>.</w:t>
      </w:r>
      <w:r>
        <w:rPr>
          <w:rtl/>
        </w:rPr>
        <w:tab/>
      </w:r>
      <w:r>
        <w:rPr>
          <w:rFonts w:hint="cs"/>
          <w:rtl/>
        </w:rPr>
        <w:t xml:space="preserve">עיין שכינה ביניהם פ"ד </w:t>
      </w:r>
      <w:r>
        <w:rPr>
          <w:rFonts w:hint="eastAsia"/>
          <w:rtl/>
        </w:rPr>
        <w:t xml:space="preserve">– </w:t>
      </w:r>
      <w:r>
        <w:rPr>
          <w:rFonts w:hint="cs"/>
          <w:rtl/>
        </w:rPr>
        <w:t xml:space="preserve">בעיקר </w:t>
      </w:r>
      <w:r>
        <w:rPr>
          <w:rFonts w:hint="eastAsia"/>
          <w:rtl/>
        </w:rPr>
        <w:t xml:space="preserve">מעמ' </w:t>
      </w:r>
      <w:proofErr w:type="spellStart"/>
      <w:r>
        <w:rPr>
          <w:rFonts w:hint="cs"/>
          <w:rtl/>
        </w:rPr>
        <w:t>קכה</w:t>
      </w:r>
      <w:proofErr w:type="spellEnd"/>
      <w:r>
        <w:rPr>
          <w:rFonts w:hint="cs"/>
          <w:rtl/>
        </w:rPr>
        <w:t xml:space="preserve"> ואילך (ובהערה </w:t>
      </w:r>
      <w:proofErr w:type="spellStart"/>
      <w:r>
        <w:rPr>
          <w:rFonts w:hint="cs"/>
          <w:rtl/>
        </w:rPr>
        <w:t>יב</w:t>
      </w:r>
      <w:proofErr w:type="spellEnd"/>
      <w:r>
        <w:rPr>
          <w:rFonts w:hint="cs"/>
          <w:rtl/>
        </w:rPr>
        <w:t xml:space="preserve"> שם) – באריכות (ודוק ביין משמח </w:t>
      </w:r>
      <w:proofErr w:type="spellStart"/>
      <w:r>
        <w:rPr>
          <w:rFonts w:hint="cs"/>
          <w:rtl/>
        </w:rPr>
        <w:t>ח"ב</w:t>
      </w:r>
      <w:proofErr w:type="spellEnd"/>
      <w:r>
        <w:rPr>
          <w:rFonts w:hint="cs"/>
          <w:rtl/>
        </w:rPr>
        <w:t xml:space="preserve"> עמ' נא בסוד "ויתפלל בעדך כי נביא הוא").</w:t>
      </w:r>
    </w:p>
  </w:endnote>
  <w:endnote w:id="22">
    <w:p w:rsidR="00F02560" w:rsidRDefault="00F02560" w:rsidP="00F02560">
      <w:pPr>
        <w:pStyle w:val="a4"/>
        <w:rPr>
          <w:rFonts w:hint="cs"/>
          <w:rtl/>
        </w:rPr>
      </w:pPr>
      <w:r>
        <w:rPr>
          <w:rtl/>
        </w:rPr>
        <w:tab/>
      </w:r>
      <w:r w:rsidRPr="00E15672">
        <w:rPr>
          <w:rtl/>
        </w:rPr>
        <w:endnoteRef/>
      </w:r>
      <w:r>
        <w:rPr>
          <w:rtl/>
        </w:rPr>
        <w:t>.</w:t>
      </w:r>
      <w:r>
        <w:rPr>
          <w:rtl/>
        </w:rPr>
        <w:tab/>
      </w:r>
      <w:r>
        <w:rPr>
          <w:rFonts w:hint="cs"/>
          <w:rtl/>
        </w:rPr>
        <w:t xml:space="preserve">עמוס ד, </w:t>
      </w:r>
      <w:proofErr w:type="spellStart"/>
      <w:r>
        <w:rPr>
          <w:rFonts w:hint="cs"/>
          <w:rtl/>
        </w:rPr>
        <w:t>יג</w:t>
      </w:r>
      <w:proofErr w:type="spellEnd"/>
      <w:r>
        <w:rPr>
          <w:rFonts w:hint="cs"/>
          <w:rtl/>
        </w:rPr>
        <w:t>.</w:t>
      </w:r>
    </w:p>
  </w:endnote>
  <w:endnote w:id="23">
    <w:p w:rsidR="00F02560" w:rsidRDefault="00F02560" w:rsidP="00F02560">
      <w:pPr>
        <w:pStyle w:val="a4"/>
        <w:rPr>
          <w:rFonts w:hint="cs"/>
          <w:rtl/>
        </w:rPr>
      </w:pPr>
      <w:r>
        <w:rPr>
          <w:rtl/>
        </w:rPr>
        <w:tab/>
      </w:r>
      <w:r w:rsidRPr="00E15672">
        <w:rPr>
          <w:rtl/>
        </w:rPr>
        <w:endnoteRef/>
      </w:r>
      <w:r>
        <w:rPr>
          <w:rtl/>
        </w:rPr>
        <w:t>.</w:t>
      </w:r>
      <w:r>
        <w:rPr>
          <w:rtl/>
        </w:rPr>
        <w:tab/>
      </w:r>
      <w:r>
        <w:rPr>
          <w:rFonts w:hint="cs"/>
          <w:rtl/>
        </w:rPr>
        <w:t>חגיגה ה, ב.</w:t>
      </w:r>
    </w:p>
  </w:endnote>
  <w:endnote w:id="24">
    <w:p w:rsidR="00F02560" w:rsidRDefault="00F02560" w:rsidP="00F02560">
      <w:pPr>
        <w:pStyle w:val="a4"/>
        <w:rPr>
          <w:rFonts w:hint="cs"/>
        </w:rPr>
      </w:pPr>
      <w:r>
        <w:rPr>
          <w:rtl/>
        </w:rPr>
        <w:tab/>
      </w:r>
      <w:r w:rsidRPr="00E15672">
        <w:rPr>
          <w:rtl/>
        </w:rPr>
        <w:endnoteRef/>
      </w:r>
      <w:r>
        <w:rPr>
          <w:rtl/>
        </w:rPr>
        <w:t>.</w:t>
      </w:r>
      <w:r>
        <w:rPr>
          <w:rtl/>
        </w:rPr>
        <w:tab/>
      </w:r>
      <w:r>
        <w:rPr>
          <w:rFonts w:hint="cs"/>
          <w:rtl/>
        </w:rPr>
        <w:t>כמפורש בחגיגה שם אודות ההפרש בין "צריך לרצויה" ל"לא צריך לרצויה".</w:t>
      </w:r>
    </w:p>
  </w:endnote>
  <w:endnote w:id="25">
    <w:p w:rsidR="00F02560" w:rsidRDefault="00F02560" w:rsidP="00F02560">
      <w:pPr>
        <w:pStyle w:val="a4"/>
        <w:rPr>
          <w:rFonts w:hint="cs"/>
          <w:rtl/>
        </w:rPr>
      </w:pPr>
      <w:r>
        <w:rPr>
          <w:rtl/>
        </w:rPr>
        <w:tab/>
      </w:r>
      <w:r w:rsidRPr="00E15672">
        <w:rPr>
          <w:rtl/>
        </w:rPr>
        <w:endnoteRef/>
      </w:r>
      <w:r>
        <w:rPr>
          <w:rtl/>
        </w:rPr>
        <w:t>.</w:t>
      </w:r>
      <w:r>
        <w:rPr>
          <w:rtl/>
        </w:rPr>
        <w:tab/>
      </w:r>
      <w:r>
        <w:rPr>
          <w:rFonts w:hint="cs"/>
          <w:rtl/>
        </w:rPr>
        <w:t xml:space="preserve">ברכות </w:t>
      </w:r>
      <w:proofErr w:type="spellStart"/>
      <w:r>
        <w:rPr>
          <w:rFonts w:hint="cs"/>
          <w:rtl/>
        </w:rPr>
        <w:t>כו</w:t>
      </w:r>
      <w:proofErr w:type="spellEnd"/>
      <w:r>
        <w:rPr>
          <w:rFonts w:hint="cs"/>
          <w:rtl/>
        </w:rPr>
        <w:t>, ב.</w:t>
      </w:r>
    </w:p>
  </w:endnote>
  <w:endnote w:id="26">
    <w:p w:rsidR="00F02560" w:rsidRDefault="00F02560" w:rsidP="00F02560">
      <w:pPr>
        <w:pStyle w:val="a4"/>
        <w:rPr>
          <w:rFonts w:hint="cs"/>
          <w:rtl/>
        </w:rPr>
      </w:pPr>
      <w:r>
        <w:rPr>
          <w:rtl/>
        </w:rPr>
        <w:tab/>
      </w:r>
      <w:r w:rsidRPr="00E15672">
        <w:rPr>
          <w:rtl/>
        </w:rPr>
        <w:endnoteRef/>
      </w:r>
      <w:r>
        <w:rPr>
          <w:rtl/>
        </w:rPr>
        <w:t>.</w:t>
      </w:r>
      <w:r>
        <w:rPr>
          <w:rtl/>
        </w:rPr>
        <w:tab/>
      </w:r>
      <w:r>
        <w:rPr>
          <w:rFonts w:hint="cs"/>
          <w:rtl/>
        </w:rPr>
        <w:t xml:space="preserve">תהלים </w:t>
      </w:r>
      <w:proofErr w:type="spellStart"/>
      <w:r>
        <w:rPr>
          <w:rFonts w:hint="cs"/>
          <w:rtl/>
        </w:rPr>
        <w:t>יט</w:t>
      </w:r>
      <w:proofErr w:type="spellEnd"/>
      <w:r>
        <w:rPr>
          <w:rFonts w:hint="cs"/>
          <w:rtl/>
        </w:rPr>
        <w:t>, ג-ד.</w:t>
      </w:r>
    </w:p>
  </w:endnote>
  <w:endnote w:id="27">
    <w:p w:rsidR="00F02560" w:rsidRDefault="00F02560" w:rsidP="00F02560">
      <w:pPr>
        <w:pStyle w:val="a4"/>
        <w:rPr>
          <w:rFonts w:hint="cs"/>
          <w:rtl/>
        </w:rPr>
      </w:pPr>
      <w:r>
        <w:rPr>
          <w:rtl/>
        </w:rPr>
        <w:tab/>
      </w:r>
      <w:r w:rsidRPr="00E15672">
        <w:rPr>
          <w:rtl/>
        </w:rPr>
        <w:endnoteRef/>
      </w:r>
      <w:r>
        <w:rPr>
          <w:rtl/>
        </w:rPr>
        <w:t>.</w:t>
      </w:r>
      <w:r>
        <w:rPr>
          <w:rtl/>
        </w:rPr>
        <w:tab/>
      </w:r>
      <w:r>
        <w:rPr>
          <w:rFonts w:hint="cs"/>
          <w:rtl/>
        </w:rPr>
        <w:t xml:space="preserve">וכנ"ל בתורה "מצוות </w:t>
      </w:r>
      <w:proofErr w:type="spellStart"/>
      <w:r>
        <w:rPr>
          <w:rFonts w:hint="cs"/>
          <w:rtl/>
        </w:rPr>
        <w:t>היחוד</w:t>
      </w:r>
      <w:proofErr w:type="spellEnd"/>
      <w:r>
        <w:rPr>
          <w:rFonts w:hint="cs"/>
          <w:rtl/>
        </w:rPr>
        <w:t>".</w:t>
      </w:r>
    </w:p>
  </w:endnote>
  <w:endnote w:id="28">
    <w:p w:rsidR="00F02560" w:rsidRDefault="00F02560" w:rsidP="00F02560">
      <w:pPr>
        <w:pStyle w:val="a4"/>
        <w:rPr>
          <w:rFonts w:hint="cs"/>
          <w:rtl/>
        </w:rPr>
      </w:pPr>
      <w:r>
        <w:rPr>
          <w:rtl/>
        </w:rPr>
        <w:tab/>
      </w:r>
      <w:r w:rsidRPr="00E15672">
        <w:rPr>
          <w:rtl/>
        </w:rPr>
        <w:endnoteRef/>
      </w:r>
      <w:r>
        <w:rPr>
          <w:rtl/>
        </w:rPr>
        <w:t>.</w:t>
      </w:r>
      <w:r>
        <w:rPr>
          <w:rtl/>
        </w:rPr>
        <w:tab/>
      </w:r>
      <w:r>
        <w:rPr>
          <w:rFonts w:hint="cs"/>
          <w:rtl/>
        </w:rPr>
        <w:t xml:space="preserve">בראשית ב, כד (וראה בתורה הקודמת </w:t>
      </w:r>
      <w:r>
        <w:rPr>
          <w:rtl/>
        </w:rPr>
        <w:t>–</w:t>
      </w:r>
      <w:r>
        <w:rPr>
          <w:rFonts w:hint="cs"/>
          <w:rtl/>
        </w:rPr>
        <w:t xml:space="preserve"> "והיו לבשר אחד").</w:t>
      </w:r>
    </w:p>
  </w:endnote>
  <w:endnote w:id="29">
    <w:p w:rsidR="00F02560" w:rsidRDefault="00F02560" w:rsidP="00F02560">
      <w:pPr>
        <w:pStyle w:val="a4"/>
        <w:rPr>
          <w:rFonts w:hint="cs"/>
        </w:rPr>
      </w:pPr>
      <w:r>
        <w:rPr>
          <w:rtl/>
        </w:rPr>
        <w:tab/>
      </w:r>
      <w:r w:rsidRPr="00E15672">
        <w:rPr>
          <w:rtl/>
        </w:rPr>
        <w:endnoteRef/>
      </w:r>
      <w:r>
        <w:rPr>
          <w:rtl/>
        </w:rPr>
        <w:t>.</w:t>
      </w:r>
      <w:r>
        <w:rPr>
          <w:rtl/>
        </w:rPr>
        <w:tab/>
      </w:r>
      <w:r>
        <w:rPr>
          <w:rFonts w:hint="cs"/>
          <w:rtl/>
        </w:rPr>
        <w:t>וראה רמב"ן לבראשית ב, כד.</w:t>
      </w:r>
    </w:p>
  </w:endnote>
  <w:endnote w:id="30">
    <w:p w:rsidR="00F02560" w:rsidRDefault="00F02560" w:rsidP="00F02560">
      <w:pPr>
        <w:pStyle w:val="a4"/>
        <w:rPr>
          <w:rFonts w:hint="cs"/>
          <w:rtl/>
        </w:rPr>
      </w:pPr>
      <w:r>
        <w:rPr>
          <w:rtl/>
        </w:rPr>
        <w:tab/>
      </w:r>
      <w:r w:rsidRPr="00E15672">
        <w:rPr>
          <w:rtl/>
        </w:rPr>
        <w:endnoteRef/>
      </w:r>
      <w:r>
        <w:rPr>
          <w:rtl/>
        </w:rPr>
        <w:t>.</w:t>
      </w:r>
      <w:r>
        <w:rPr>
          <w:rtl/>
        </w:rPr>
        <w:tab/>
      </w:r>
      <w:r>
        <w:rPr>
          <w:rFonts w:hint="cs"/>
          <w:rtl/>
        </w:rPr>
        <w:t xml:space="preserve">סנהדרין </w:t>
      </w:r>
      <w:proofErr w:type="spellStart"/>
      <w:r>
        <w:rPr>
          <w:rFonts w:hint="cs"/>
          <w:rtl/>
        </w:rPr>
        <w:t>כב</w:t>
      </w:r>
      <w:proofErr w:type="spellEnd"/>
      <w:r>
        <w:rPr>
          <w:rFonts w:hint="cs"/>
          <w:rtl/>
        </w:rPr>
        <w:t>, ב (וראה באריכות בשער ב).</w:t>
      </w:r>
    </w:p>
  </w:endnote>
  <w:endnote w:id="31">
    <w:p w:rsidR="00F02560" w:rsidRPr="00BC64DF" w:rsidRDefault="00F02560" w:rsidP="00F02560">
      <w:pPr>
        <w:pStyle w:val="a4"/>
        <w:rPr>
          <w:rFonts w:hint="cs"/>
          <w:rtl/>
        </w:rPr>
      </w:pPr>
      <w:r>
        <w:rPr>
          <w:rtl/>
        </w:rPr>
        <w:tab/>
      </w:r>
      <w:r w:rsidRPr="00E15672">
        <w:rPr>
          <w:rtl/>
        </w:rPr>
        <w:endnoteRef/>
      </w:r>
      <w:r>
        <w:rPr>
          <w:rtl/>
        </w:rPr>
        <w:t>.</w:t>
      </w:r>
      <w:r>
        <w:rPr>
          <w:rtl/>
        </w:rPr>
        <w:tab/>
      </w:r>
      <w:r>
        <w:rPr>
          <w:rFonts w:hint="cs"/>
          <w:rtl/>
        </w:rPr>
        <w:t xml:space="preserve">ראה ירמיה </w:t>
      </w:r>
      <w:proofErr w:type="spellStart"/>
      <w:r>
        <w:rPr>
          <w:rFonts w:hint="cs"/>
          <w:rtl/>
        </w:rPr>
        <w:t>יח</w:t>
      </w:r>
      <w:proofErr w:type="spellEnd"/>
      <w:r>
        <w:rPr>
          <w:rFonts w:hint="cs"/>
          <w:rtl/>
        </w:rPr>
        <w:t>, ג-ז</w:t>
      </w:r>
      <w:r w:rsidRPr="00BC64DF">
        <w:rPr>
          <w:rFonts w:hint="cs"/>
          <w:rtl/>
        </w:rPr>
        <w:t>. ההבנה כי החיבוק והנישוק הם חלק חשוב מעשית הכלי-</w:t>
      </w:r>
      <w:proofErr w:type="spellStart"/>
      <w:r w:rsidRPr="00BC64DF">
        <w:rPr>
          <w:rFonts w:hint="cs"/>
          <w:rtl/>
        </w:rPr>
        <w:t>האשה</w:t>
      </w:r>
      <w:proofErr w:type="spellEnd"/>
      <w:r w:rsidRPr="00BC64DF">
        <w:rPr>
          <w:rFonts w:hint="cs"/>
          <w:rtl/>
        </w:rPr>
        <w:t xml:space="preserve"> מסבירה מדוע הפילגש </w:t>
      </w:r>
      <w:r w:rsidRPr="00BC64DF">
        <w:rPr>
          <w:rtl/>
        </w:rPr>
        <w:t>–</w:t>
      </w:r>
      <w:r w:rsidRPr="00BC64DF">
        <w:rPr>
          <w:rFonts w:hint="cs"/>
          <w:rtl/>
        </w:rPr>
        <w:t xml:space="preserve"> בה לא קיימים החיבוק והנישוק, כנ"ל </w:t>
      </w:r>
      <w:r w:rsidRPr="00BC64DF">
        <w:rPr>
          <w:rtl/>
        </w:rPr>
        <w:t>–</w:t>
      </w:r>
      <w:r w:rsidRPr="00BC64DF">
        <w:rPr>
          <w:rFonts w:hint="cs"/>
          <w:rtl/>
        </w:rPr>
        <w:t xml:space="preserve"> היא רק פלג-</w:t>
      </w:r>
      <w:proofErr w:type="spellStart"/>
      <w:r w:rsidRPr="00BC64DF">
        <w:rPr>
          <w:rFonts w:hint="cs"/>
          <w:rtl/>
        </w:rPr>
        <w:t>אשה</w:t>
      </w:r>
      <w:proofErr w:type="spellEnd"/>
      <w:r w:rsidRPr="00BC64DF">
        <w:rPr>
          <w:rFonts w:hint="cs"/>
          <w:rtl/>
        </w:rPr>
        <w:t>, ועשייתה אינה נגמרת.</w:t>
      </w:r>
    </w:p>
  </w:endnote>
  <w:endnote w:id="32">
    <w:p w:rsidR="00F02560" w:rsidRPr="00BC64DF" w:rsidRDefault="00F02560" w:rsidP="00F02560">
      <w:pPr>
        <w:pStyle w:val="a4"/>
        <w:rPr>
          <w:rFonts w:hint="cs"/>
        </w:rPr>
      </w:pPr>
      <w:r>
        <w:rPr>
          <w:rtl/>
        </w:rPr>
        <w:tab/>
      </w:r>
      <w:r w:rsidRPr="00E15672">
        <w:rPr>
          <w:rtl/>
        </w:rPr>
        <w:endnoteRef/>
      </w:r>
      <w:r>
        <w:rPr>
          <w:rtl/>
        </w:rPr>
        <w:t>.</w:t>
      </w:r>
      <w:r>
        <w:rPr>
          <w:rtl/>
        </w:rPr>
        <w:tab/>
      </w:r>
      <w:r w:rsidRPr="00BC64DF">
        <w:rPr>
          <w:rFonts w:hint="cs"/>
          <w:rtl/>
        </w:rPr>
        <w:t xml:space="preserve">רש"י לבראשית ב, כד (עפ"י סנהדרין נח, </w:t>
      </w:r>
      <w:r>
        <w:rPr>
          <w:rFonts w:hint="cs"/>
          <w:rtl/>
        </w:rPr>
        <w:t>א</w:t>
      </w:r>
      <w:r w:rsidRPr="00BC64DF">
        <w:rPr>
          <w:rFonts w:hint="cs"/>
          <w:rtl/>
        </w:rPr>
        <w:t>).</w:t>
      </w:r>
    </w:p>
  </w:endnote>
  <w:endnote w:id="33">
    <w:p w:rsidR="00F02560" w:rsidRPr="00BC64DF" w:rsidRDefault="00F02560" w:rsidP="00F02560">
      <w:pPr>
        <w:pStyle w:val="a4"/>
        <w:rPr>
          <w:rFonts w:hint="cs"/>
          <w:rtl/>
        </w:rPr>
      </w:pPr>
      <w:r>
        <w:rPr>
          <w:rtl/>
        </w:rPr>
        <w:tab/>
      </w:r>
      <w:r w:rsidRPr="00E15672">
        <w:rPr>
          <w:rtl/>
        </w:rPr>
        <w:endnoteRef/>
      </w:r>
      <w:r>
        <w:rPr>
          <w:rtl/>
        </w:rPr>
        <w:t>.</w:t>
      </w:r>
      <w:r>
        <w:rPr>
          <w:rtl/>
        </w:rPr>
        <w:tab/>
      </w:r>
      <w:r w:rsidRPr="00D0416F">
        <w:rPr>
          <w:rFonts w:hint="cs"/>
          <w:rtl/>
        </w:rPr>
        <w:t>ראה בראשית רבה יא, ו (ובכ"ד); פסיקתא רבתי ו</w:t>
      </w:r>
      <w:r>
        <w:rPr>
          <w:rFonts w:hint="cs"/>
          <w:rtl/>
        </w:rPr>
        <w:t xml:space="preserve">; </w:t>
      </w:r>
      <w:r w:rsidRPr="00D0416F">
        <w:rPr>
          <w:rFonts w:hint="cs"/>
          <w:rtl/>
        </w:rPr>
        <w:t xml:space="preserve">זהר ח"א </w:t>
      </w:r>
      <w:proofErr w:type="spellStart"/>
      <w:r w:rsidRPr="00D0416F">
        <w:rPr>
          <w:rFonts w:hint="cs"/>
          <w:rtl/>
        </w:rPr>
        <w:t>מז</w:t>
      </w:r>
      <w:proofErr w:type="spellEnd"/>
      <w:r w:rsidRPr="00D0416F">
        <w:rPr>
          <w:rFonts w:hint="cs"/>
          <w:rtl/>
        </w:rPr>
        <w:t>, ב.</w:t>
      </w:r>
    </w:p>
  </w:endnote>
  <w:endnote w:id="34">
    <w:p w:rsidR="00F02560" w:rsidRPr="00BC64DF" w:rsidRDefault="00F02560" w:rsidP="00F02560">
      <w:pPr>
        <w:pStyle w:val="a4"/>
        <w:rPr>
          <w:rFonts w:hint="cs"/>
        </w:rPr>
      </w:pPr>
      <w:r>
        <w:rPr>
          <w:rtl/>
        </w:rPr>
        <w:tab/>
      </w:r>
      <w:r w:rsidRPr="00E15672">
        <w:rPr>
          <w:rtl/>
        </w:rPr>
        <w:endnoteRef/>
      </w:r>
      <w:r>
        <w:rPr>
          <w:rtl/>
        </w:rPr>
        <w:t>.</w:t>
      </w:r>
      <w:r>
        <w:rPr>
          <w:rtl/>
        </w:rPr>
        <w:tab/>
      </w:r>
      <w:r>
        <w:rPr>
          <w:rFonts w:hint="cs"/>
          <w:rtl/>
        </w:rPr>
        <w:t>ראה נדה לא, א; סנהדרין ע, ב (</w:t>
      </w:r>
      <w:proofErr w:type="spellStart"/>
      <w:r>
        <w:rPr>
          <w:rFonts w:hint="cs"/>
          <w:rtl/>
        </w:rPr>
        <w:t>והשוה</w:t>
      </w:r>
      <w:proofErr w:type="spellEnd"/>
      <w:r>
        <w:rPr>
          <w:rFonts w:hint="cs"/>
          <w:rtl/>
        </w:rPr>
        <w:t xml:space="preserve"> לעיל שער ג בתורות מ"והאדם ידע את חוה אשתו" ואילך).</w:t>
      </w:r>
    </w:p>
  </w:endnote>
  <w:endnote w:id="35">
    <w:p w:rsidR="00F02560" w:rsidRPr="00BC64DF" w:rsidRDefault="00F02560" w:rsidP="00F02560">
      <w:pPr>
        <w:pStyle w:val="a4"/>
        <w:rPr>
          <w:rFonts w:hint="cs"/>
          <w:rtl/>
        </w:rPr>
      </w:pPr>
      <w:r>
        <w:rPr>
          <w:rtl/>
        </w:rPr>
        <w:tab/>
      </w:r>
      <w:r w:rsidRPr="00E15672">
        <w:rPr>
          <w:rtl/>
        </w:rPr>
        <w:endnoteRef/>
      </w:r>
      <w:r>
        <w:rPr>
          <w:rtl/>
        </w:rPr>
        <w:t>.</w:t>
      </w:r>
      <w:r>
        <w:rPr>
          <w:rtl/>
        </w:rPr>
        <w:tab/>
      </w:r>
      <w:r w:rsidRPr="00BC64DF">
        <w:rPr>
          <w:rFonts w:hint="cs"/>
          <w:rtl/>
        </w:rPr>
        <w:t xml:space="preserve">על שני ממדי המעשה בביאה ראה גם יין משמח </w:t>
      </w:r>
      <w:proofErr w:type="spellStart"/>
      <w:r w:rsidRPr="00BC64DF">
        <w:rPr>
          <w:rFonts w:hint="cs"/>
          <w:rtl/>
        </w:rPr>
        <w:t>ח"ב</w:t>
      </w:r>
      <w:proofErr w:type="spellEnd"/>
      <w:r w:rsidRPr="00BC64DF">
        <w:rPr>
          <w:rFonts w:hint="cs"/>
          <w:rtl/>
        </w:rPr>
        <w:t xml:space="preserve"> שער </w:t>
      </w:r>
      <w:r>
        <w:rPr>
          <w:rFonts w:hint="cs"/>
          <w:rtl/>
        </w:rPr>
        <w:t>ב</w:t>
      </w:r>
      <w:r w:rsidRPr="00BC64DF">
        <w:rPr>
          <w:rFonts w:hint="cs"/>
          <w:rtl/>
        </w:rPr>
        <w:t xml:space="preserve"> תורה "יחוד היין" (עמ' </w:t>
      </w:r>
      <w:proofErr w:type="spellStart"/>
      <w:r w:rsidRPr="00BC64DF">
        <w:rPr>
          <w:rFonts w:hint="cs"/>
          <w:rtl/>
        </w:rPr>
        <w:t>נג</w:t>
      </w:r>
      <w:proofErr w:type="spellEnd"/>
      <w:r w:rsidRPr="00BC64DF">
        <w:rPr>
          <w:rFonts w:hint="cs"/>
          <w:rtl/>
        </w:rPr>
        <w:t>).</w:t>
      </w:r>
    </w:p>
  </w:endnote>
  <w:endnote w:id="36">
    <w:p w:rsidR="00F02560" w:rsidRPr="00BC64DF" w:rsidRDefault="00F02560" w:rsidP="00F02560">
      <w:pPr>
        <w:pStyle w:val="a4"/>
        <w:rPr>
          <w:rFonts w:hint="cs"/>
          <w:rtl/>
        </w:rPr>
      </w:pPr>
      <w:r>
        <w:rPr>
          <w:rtl/>
        </w:rPr>
        <w:tab/>
      </w:r>
      <w:r w:rsidRPr="00E15672">
        <w:rPr>
          <w:rtl/>
        </w:rPr>
        <w:endnoteRef/>
      </w:r>
      <w:r>
        <w:rPr>
          <w:rtl/>
        </w:rPr>
        <w:t>.</w:t>
      </w:r>
      <w:r>
        <w:rPr>
          <w:rtl/>
        </w:rPr>
        <w:tab/>
      </w:r>
      <w:r>
        <w:rPr>
          <w:rFonts w:hint="cs"/>
          <w:rtl/>
        </w:rPr>
        <w:t xml:space="preserve">שמות </w:t>
      </w:r>
      <w:proofErr w:type="spellStart"/>
      <w:r>
        <w:rPr>
          <w:rFonts w:hint="cs"/>
          <w:rtl/>
        </w:rPr>
        <w:t>כא</w:t>
      </w:r>
      <w:proofErr w:type="spellEnd"/>
      <w:r>
        <w:rPr>
          <w:rFonts w:hint="cs"/>
          <w:rtl/>
        </w:rPr>
        <w:t>, ט.</w:t>
      </w:r>
    </w:p>
  </w:endnote>
  <w:endnote w:id="37">
    <w:p w:rsidR="00F02560" w:rsidRPr="00BC64DF" w:rsidRDefault="00F02560" w:rsidP="00F02560">
      <w:pPr>
        <w:pStyle w:val="a4"/>
        <w:rPr>
          <w:rFonts w:hint="cs"/>
          <w:rtl/>
        </w:rPr>
      </w:pPr>
      <w:r>
        <w:rPr>
          <w:rtl/>
        </w:rPr>
        <w:tab/>
      </w:r>
      <w:r w:rsidRPr="00E15672">
        <w:rPr>
          <w:rtl/>
        </w:rPr>
        <w:endnoteRef/>
      </w:r>
      <w:r>
        <w:rPr>
          <w:rtl/>
        </w:rPr>
        <w:t>.</w:t>
      </w:r>
      <w:r>
        <w:rPr>
          <w:rtl/>
        </w:rPr>
        <w:tab/>
      </w:r>
      <w:r>
        <w:rPr>
          <w:rFonts w:hint="cs"/>
          <w:rtl/>
        </w:rPr>
        <w:t>שם פסוק י.</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71D" w:rsidRDefault="00C7271D" w:rsidP="00F02560">
      <w:pPr>
        <w:spacing w:after="0" w:line="240" w:lineRule="auto"/>
      </w:pPr>
      <w:r>
        <w:separator/>
      </w:r>
    </w:p>
  </w:footnote>
  <w:footnote w:type="continuationSeparator" w:id="0">
    <w:p w:rsidR="00C7271D" w:rsidRDefault="00C7271D" w:rsidP="00F025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CA6"/>
    <w:rsid w:val="00061E65"/>
    <w:rsid w:val="006A4CA6"/>
    <w:rsid w:val="00AC2310"/>
    <w:rsid w:val="00C7271D"/>
    <w:rsid w:val="00F025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F02560"/>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F02560"/>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F02560"/>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F02560"/>
    <w:rPr>
      <w:rFonts w:cs="Miriam"/>
      <w:w w:val="100"/>
      <w:sz w:val="21"/>
      <w:szCs w:val="23"/>
    </w:rPr>
  </w:style>
  <w:style w:type="paragraph" w:styleId="a4">
    <w:name w:val="endnote text"/>
    <w:aliases w:val="Endnote Text"/>
    <w:basedOn w:val="a"/>
    <w:link w:val="a5"/>
    <w:autoRedefine/>
    <w:semiHidden/>
    <w:rsid w:val="00F02560"/>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F02560"/>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F02560"/>
    <w:rPr>
      <w:noProof/>
      <w:position w:val="-4"/>
      <w:szCs w:val="27"/>
      <w:vertAlign w:val="superscript"/>
    </w:rPr>
  </w:style>
  <w:style w:type="paragraph" w:customStyle="1" w:styleId="a8">
    <w:name w:val="פתיח תו"/>
    <w:basedOn w:val="a"/>
    <w:link w:val="a9"/>
    <w:rsid w:val="00F02560"/>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F02560"/>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F0256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F02560"/>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F02560"/>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F02560"/>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F02560"/>
    <w:rPr>
      <w:rFonts w:cs="Miriam"/>
      <w:w w:val="100"/>
      <w:sz w:val="21"/>
      <w:szCs w:val="23"/>
    </w:rPr>
  </w:style>
  <w:style w:type="paragraph" w:styleId="a4">
    <w:name w:val="endnote text"/>
    <w:aliases w:val="Endnote Text"/>
    <w:basedOn w:val="a"/>
    <w:link w:val="a5"/>
    <w:autoRedefine/>
    <w:semiHidden/>
    <w:rsid w:val="00F02560"/>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F02560"/>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F02560"/>
    <w:rPr>
      <w:noProof/>
      <w:position w:val="-4"/>
      <w:szCs w:val="27"/>
      <w:vertAlign w:val="superscript"/>
    </w:rPr>
  </w:style>
  <w:style w:type="paragraph" w:customStyle="1" w:styleId="a8">
    <w:name w:val="פתיח תו"/>
    <w:basedOn w:val="a"/>
    <w:link w:val="a9"/>
    <w:rsid w:val="00F02560"/>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F02560"/>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F025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752</Words>
  <Characters>3762</Characters>
  <Application>Microsoft Office Word</Application>
  <DocSecurity>0</DocSecurity>
  <Lines>31</Lines>
  <Paragraphs>9</Paragraphs>
  <ScaleCrop>false</ScaleCrop>
  <Company/>
  <LinksUpToDate>false</LinksUpToDate>
  <CharactersWithSpaces>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2017-08-14T22:44:00Z</dcterms:created>
  <dcterms:modified xsi:type="dcterms:W3CDTF">2017-08-14T22:44:00Z</dcterms:modified>
</cp:coreProperties>
</file>