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6E5" w:rsidRPr="00DE7874" w:rsidRDefault="005636E5" w:rsidP="005636E5">
      <w:pPr>
        <w:pStyle w:val="2"/>
        <w:rPr>
          <w:rFonts w:hint="cs"/>
          <w:rtl/>
        </w:rPr>
      </w:pPr>
      <w:bookmarkStart w:id="0" w:name="_Toc145068687"/>
      <w:bookmarkStart w:id="1" w:name="_Ref145069160"/>
      <w:r>
        <w:rPr>
          <w:w w:val="100"/>
          <w:rtl/>
        </w:rPr>
        <w:drawing>
          <wp:anchor distT="0" distB="0" distL="114300" distR="114300" simplePos="0" relativeHeight="251659264" behindDoc="1" locked="0" layoutInCell="1" allowOverlap="1">
            <wp:simplePos x="0" y="0"/>
            <wp:positionH relativeFrom="column">
              <wp:posOffset>2143125</wp:posOffset>
            </wp:positionH>
            <wp:positionV relativeFrom="paragraph">
              <wp:posOffset>676275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7874">
        <w:rPr>
          <w:rFonts w:hint="cs"/>
          <w:rtl/>
        </w:rPr>
        <w:t>שארה כסותה ועונתה בסוד</w:t>
      </w:r>
      <w:r>
        <w:rPr>
          <w:rFonts w:hint="eastAsia"/>
          <w:rtl/>
        </w:rPr>
        <w:t> </w:t>
      </w:r>
      <w:r w:rsidRPr="00DE7874">
        <w:rPr>
          <w:rFonts w:hint="cs"/>
          <w:rtl/>
        </w:rPr>
        <w:t>ההריון</w:t>
      </w:r>
      <w:bookmarkEnd w:id="0"/>
      <w:bookmarkEnd w:id="1"/>
    </w:p>
    <w:p w:rsidR="005636E5" w:rsidRPr="00115A08" w:rsidRDefault="005636E5" w:rsidP="005636E5">
      <w:pPr>
        <w:keepNext/>
        <w:framePr w:dropCap="drop" w:lines="2" w:hSpace="57" w:wrap="around" w:vAnchor="text" w:hAnchor="text" w:xAlign="right"/>
        <w:spacing w:after="0" w:line="760" w:lineRule="exact"/>
        <w:textAlignment w:val="baseline"/>
        <w:rPr>
          <w:rStyle w:val="a9"/>
          <w:rtl/>
        </w:rPr>
      </w:pPr>
      <w:r w:rsidRPr="00115A08">
        <w:rPr>
          <w:rStyle w:val="a9"/>
          <w:rFonts w:hint="cs"/>
          <w:rtl/>
        </w:rPr>
        <w:t>ה</w:t>
      </w:r>
    </w:p>
    <w:p w:rsidR="005636E5" w:rsidRDefault="005636E5" w:rsidP="005636E5">
      <w:pPr>
        <w:rPr>
          <w:rFonts w:hint="cs"/>
          <w:rtl/>
        </w:rPr>
      </w:pPr>
      <w:r>
        <w:rPr>
          <w:rFonts w:hint="cs"/>
          <w:rtl/>
        </w:rPr>
        <w:t>רמב"ן</w:t>
      </w:r>
      <w:r w:rsidRPr="005316B5">
        <w:rPr>
          <w:rStyle w:val="a6"/>
          <w:rtl/>
        </w:rPr>
        <w:endnoteReference w:id="1"/>
      </w:r>
      <w:r>
        <w:rPr>
          <w:rFonts w:hint="cs"/>
          <w:rtl/>
        </w:rPr>
        <w:t xml:space="preserve"> מפרש כי "שארה"</w:t>
      </w:r>
      <w:r w:rsidRPr="005316B5">
        <w:rPr>
          <w:rStyle w:val="a6"/>
          <w:rtl/>
        </w:rPr>
        <w:endnoteReference w:id="2"/>
      </w:r>
      <w:r>
        <w:rPr>
          <w:rFonts w:hint="cs"/>
          <w:rtl/>
        </w:rPr>
        <w:t xml:space="preserve"> היינו החיוב ל"קרוב בשר" בין האיש ואשתו במהלך הזיווג (כאשר "כסותה" היינו קיום הזיווג בכסות נאותה על מטה כבודה, </w:t>
      </w:r>
      <w:proofErr w:type="spellStart"/>
      <w:r>
        <w:rPr>
          <w:rFonts w:hint="cs"/>
          <w:rtl/>
        </w:rPr>
        <w:t>ו"ע</w:t>
      </w:r>
      <w:r w:rsidRPr="00384FA2">
        <w:rPr>
          <w:rFonts w:hint="cs"/>
          <w:spacing w:val="-10"/>
          <w:rtl/>
        </w:rPr>
        <w:t>ֹ</w:t>
      </w:r>
      <w:r>
        <w:rPr>
          <w:rFonts w:hint="cs"/>
          <w:rtl/>
        </w:rPr>
        <w:t>נתה</w:t>
      </w:r>
      <w:proofErr w:type="spellEnd"/>
      <w:r>
        <w:rPr>
          <w:rFonts w:hint="cs"/>
          <w:rtl/>
        </w:rPr>
        <w:t xml:space="preserve">" היינו עצם הזיווג), וכותב כי "הוא מן </w:t>
      </w:r>
      <w:proofErr w:type="spellStart"/>
      <w:r>
        <w:rPr>
          <w:rFonts w:hint="cs"/>
          <w:rtl/>
        </w:rPr>
        <w:t>הענין</w:t>
      </w:r>
      <w:proofErr w:type="spellEnd"/>
      <w:r>
        <w:rPr>
          <w:rFonts w:hint="cs"/>
          <w:rtl/>
        </w:rPr>
        <w:t xml:space="preserve"> שאמר 'ודבק באשתו והיו לבשר אחד'</w:t>
      </w:r>
      <w:r w:rsidRPr="005316B5">
        <w:rPr>
          <w:rStyle w:val="a6"/>
          <w:rtl/>
        </w:rPr>
        <w:endnoteReference w:id="3"/>
      </w:r>
      <w:r>
        <w:rPr>
          <w:rFonts w:hint="cs"/>
          <w:rtl/>
        </w:rPr>
        <w:t xml:space="preserve">". והנה, על פי פירוש רש"י כי "והיו לבשר אחד" מתחולל בלידת ילד </w:t>
      </w:r>
      <w:r>
        <w:rPr>
          <w:rtl/>
        </w:rPr>
        <w:t>–</w:t>
      </w:r>
      <w:r>
        <w:rPr>
          <w:rFonts w:hint="cs"/>
          <w:rtl/>
        </w:rPr>
        <w:t xml:space="preserve"> "הולד נוצר על ידי שניהם, ושם נעשה בשרם אחד" </w:t>
      </w:r>
      <w:r>
        <w:rPr>
          <w:rtl/>
        </w:rPr>
        <w:t>–</w:t>
      </w:r>
      <w:r>
        <w:rPr>
          <w:rFonts w:hint="cs"/>
          <w:rtl/>
        </w:rPr>
        <w:t xml:space="preserve"> יש לדרוש את "שארה כסותה וע</w:t>
      </w:r>
      <w:r w:rsidRPr="00384FA2">
        <w:rPr>
          <w:rFonts w:hint="cs"/>
          <w:spacing w:val="-10"/>
          <w:rtl/>
        </w:rPr>
        <w:t>ֹ</w:t>
      </w:r>
      <w:r>
        <w:rPr>
          <w:rFonts w:hint="cs"/>
          <w:rtl/>
        </w:rPr>
        <w:t xml:space="preserve">נתה" כ"חותם המתהפך" המתייחס לתהליך </w:t>
      </w:r>
      <w:proofErr w:type="spellStart"/>
      <w:r>
        <w:rPr>
          <w:rFonts w:hint="cs"/>
          <w:rtl/>
        </w:rPr>
        <w:t>ההריון</w:t>
      </w:r>
      <w:proofErr w:type="spellEnd"/>
      <w:r>
        <w:rPr>
          <w:rFonts w:hint="cs"/>
          <w:rtl/>
        </w:rPr>
        <w:t xml:space="preserve"> והלידה:</w:t>
      </w:r>
    </w:p>
    <w:p w:rsidR="005636E5" w:rsidRDefault="005636E5" w:rsidP="005636E5">
      <w:pPr>
        <w:rPr>
          <w:rFonts w:hint="cs"/>
          <w:rtl/>
        </w:rPr>
      </w:pPr>
      <w:r>
        <w:rPr>
          <w:rFonts w:hint="cs"/>
          <w:rtl/>
        </w:rPr>
        <w:t xml:space="preserve">"שארה" </w:t>
      </w:r>
      <w:r>
        <w:rPr>
          <w:rtl/>
        </w:rPr>
        <w:t>–</w:t>
      </w:r>
      <w:r>
        <w:rPr>
          <w:rFonts w:hint="cs"/>
          <w:rtl/>
        </w:rPr>
        <w:t xml:space="preserve"> קירוב ודבקות הבשר בעת הזיווג </w:t>
      </w:r>
      <w:r>
        <w:rPr>
          <w:rtl/>
        </w:rPr>
        <w:t>–</w:t>
      </w:r>
      <w:r>
        <w:rPr>
          <w:rFonts w:hint="cs"/>
          <w:rtl/>
        </w:rPr>
        <w:t xml:space="preserve"> רומז לתכלית של "והיו לבשר אחד", אשר תתקיים רק עם לידת הילד. לפי זה, התודעה התכליתית של קיום מצות "פרו ורבו"</w:t>
      </w:r>
      <w:r w:rsidRPr="005316B5">
        <w:rPr>
          <w:rStyle w:val="a6"/>
          <w:rtl/>
        </w:rPr>
        <w:endnoteReference w:id="4"/>
      </w:r>
      <w:r>
        <w:rPr>
          <w:rFonts w:hint="cs"/>
          <w:rtl/>
        </w:rPr>
        <w:t xml:space="preserve"> מנחה את הזיווג כבר מראשיתו</w:t>
      </w:r>
      <w:r w:rsidRPr="005316B5">
        <w:rPr>
          <w:rStyle w:val="a6"/>
          <w:rtl/>
        </w:rPr>
        <w:endnoteReference w:id="5"/>
      </w:r>
      <w:r>
        <w:rPr>
          <w:rFonts w:hint="cs"/>
          <w:rtl/>
        </w:rPr>
        <w:t>. זו תופעה של "סוף מעשה במחשבה תחלה"</w:t>
      </w:r>
      <w:r w:rsidRPr="005316B5">
        <w:rPr>
          <w:rStyle w:val="a6"/>
          <w:rtl/>
        </w:rPr>
        <w:endnoteReference w:id="6"/>
      </w:r>
      <w:r>
        <w:rPr>
          <w:rFonts w:hint="cs"/>
          <w:rtl/>
        </w:rPr>
        <w:t xml:space="preserve"> </w:t>
      </w:r>
      <w:r>
        <w:rPr>
          <w:rtl/>
        </w:rPr>
        <w:t>–</w:t>
      </w:r>
      <w:r>
        <w:rPr>
          <w:rFonts w:hint="cs"/>
          <w:rtl/>
        </w:rPr>
        <w:t xml:space="preserve"> כאשר הפרט הראשון של הזיווג שואף כבר אל תכלית המכוון של </w:t>
      </w:r>
      <w:proofErr w:type="spellStart"/>
      <w:r>
        <w:rPr>
          <w:rFonts w:hint="cs"/>
          <w:rtl/>
        </w:rPr>
        <w:t>היחוד</w:t>
      </w:r>
      <w:proofErr w:type="spellEnd"/>
      <w:r>
        <w:rPr>
          <w:rFonts w:hint="cs"/>
          <w:rtl/>
        </w:rPr>
        <w:t xml:space="preserve"> כולו. ואכן, קירוב הבשר </w:t>
      </w:r>
      <w:r>
        <w:rPr>
          <w:rtl/>
        </w:rPr>
        <w:t>–</w:t>
      </w:r>
      <w:r>
        <w:rPr>
          <w:rFonts w:hint="cs"/>
          <w:rtl/>
        </w:rPr>
        <w:t xml:space="preserve"> שעיקרו נתינת הדעת הגמורה של האיש על אשתו </w:t>
      </w:r>
      <w:r>
        <w:rPr>
          <w:rtl/>
        </w:rPr>
        <w:t>–</w:t>
      </w:r>
      <w:r>
        <w:rPr>
          <w:rFonts w:hint="cs"/>
          <w:rtl/>
        </w:rPr>
        <w:t xml:space="preserve"> הוא הזיווג במדרגת המחשבה</w:t>
      </w:r>
      <w:bookmarkStart w:id="2" w:name="_Ref144211558"/>
      <w:r w:rsidRPr="005316B5">
        <w:rPr>
          <w:rStyle w:val="a6"/>
          <w:rtl/>
        </w:rPr>
        <w:endnoteReference w:id="7"/>
      </w:r>
      <w:bookmarkEnd w:id="2"/>
      <w:r>
        <w:rPr>
          <w:rFonts w:hint="cs"/>
          <w:rtl/>
        </w:rPr>
        <w:t xml:space="preserve">, </w:t>
      </w:r>
      <w:proofErr w:type="spellStart"/>
      <w:r>
        <w:rPr>
          <w:rFonts w:hint="cs"/>
          <w:rtl/>
        </w:rPr>
        <w:t>וה"מחשבה</w:t>
      </w:r>
      <w:proofErr w:type="spellEnd"/>
      <w:r>
        <w:rPr>
          <w:rFonts w:hint="cs"/>
          <w:rtl/>
        </w:rPr>
        <w:t xml:space="preserve"> תחלה" הזו שואפת ל"סוף מעשה" של לידת הילד (שיהיה שאר בשר נוסף במשפחה</w:t>
      </w:r>
      <w:r w:rsidRPr="005316B5">
        <w:rPr>
          <w:rStyle w:val="a6"/>
          <w:rtl/>
        </w:rPr>
        <w:endnoteReference w:id="8"/>
      </w:r>
      <w:r>
        <w:rPr>
          <w:rFonts w:hint="cs"/>
          <w:rtl/>
        </w:rPr>
        <w:t xml:space="preserve">). ועוד, עיקר ההקפדה של נתינת המחשבה על בת הזוג, ללא כל דבר שיסיח את הדעת ממנה (ובכך יגרום ל'בגידה' תודעתית של האיש באשתו, ח"ו), היא ביחס לילדים </w:t>
      </w:r>
      <w:proofErr w:type="spellStart"/>
      <w:r>
        <w:rPr>
          <w:rFonts w:hint="cs"/>
          <w:rtl/>
        </w:rPr>
        <w:t>שיוולדו</w:t>
      </w:r>
      <w:proofErr w:type="spellEnd"/>
      <w:r>
        <w:rPr>
          <w:rFonts w:hint="cs"/>
          <w:rtl/>
        </w:rPr>
        <w:t xml:space="preserve"> </w:t>
      </w:r>
      <w:r>
        <w:rPr>
          <w:rtl/>
        </w:rPr>
        <w:t>–</w:t>
      </w:r>
      <w:r>
        <w:rPr>
          <w:rFonts w:hint="cs"/>
          <w:rtl/>
        </w:rPr>
        <w:t xml:space="preserve"> "כדי שלא </w:t>
      </w:r>
      <w:proofErr w:type="spellStart"/>
      <w:r>
        <w:rPr>
          <w:rFonts w:hint="cs"/>
          <w:rtl/>
        </w:rPr>
        <w:t>יתן</w:t>
      </w:r>
      <w:proofErr w:type="spellEnd"/>
      <w:r>
        <w:rPr>
          <w:rFonts w:hint="cs"/>
          <w:rtl/>
        </w:rPr>
        <w:t xml:space="preserve"> דעתו באשה אחרת ונמצאו בניו באין לידי ממזרות"</w:t>
      </w:r>
      <w:bookmarkStart w:id="3" w:name="_Ref144211593"/>
      <w:r w:rsidRPr="005316B5">
        <w:rPr>
          <w:rStyle w:val="a6"/>
          <w:rtl/>
        </w:rPr>
        <w:endnoteReference w:id="9"/>
      </w:r>
      <w:bookmarkEnd w:id="3"/>
      <w:r>
        <w:rPr>
          <w:rFonts w:hint="cs"/>
          <w:rtl/>
        </w:rPr>
        <w:t xml:space="preserve"> (בהיותם מ"בני תשע מדות"</w:t>
      </w:r>
      <w:r w:rsidRPr="006272A5">
        <w:rPr>
          <w:rStyle w:val="a6"/>
          <w:rtl/>
        </w:rPr>
        <w:fldChar w:fldCharType="begin"/>
      </w:r>
      <w:r w:rsidRPr="006272A5">
        <w:rPr>
          <w:rStyle w:val="a6"/>
          <w:rtl/>
        </w:rPr>
        <w:instrText xml:space="preserve"> </w:instrText>
      </w:r>
      <w:r w:rsidRPr="006272A5">
        <w:rPr>
          <w:rStyle w:val="a6"/>
          <w:rFonts w:hint="cs"/>
        </w:rPr>
        <w:instrText>NOTEREF</w:instrText>
      </w:r>
      <w:r w:rsidRPr="006272A5">
        <w:rPr>
          <w:rStyle w:val="a6"/>
          <w:rFonts w:hint="cs"/>
          <w:rtl/>
        </w:rPr>
        <w:instrText xml:space="preserve"> _</w:instrText>
      </w:r>
      <w:r w:rsidRPr="006272A5">
        <w:rPr>
          <w:rStyle w:val="a6"/>
          <w:rFonts w:hint="cs"/>
        </w:rPr>
        <w:instrText>Ref144211593 \h</w:instrText>
      </w:r>
      <w:r w:rsidRPr="006272A5">
        <w:rPr>
          <w:rStyle w:val="a6"/>
          <w:rtl/>
        </w:rPr>
        <w:instrText xml:space="preserve"> </w:instrText>
      </w:r>
      <w:r w:rsidRPr="006272A5">
        <w:rPr>
          <w:rStyle w:val="a6"/>
        </w:rPr>
      </w:r>
      <w:r>
        <w:rPr>
          <w:rStyle w:val="a6"/>
          <w:rtl/>
        </w:rPr>
        <w:instrText xml:space="preserve"> \* </w:instrText>
      </w:r>
      <w:r>
        <w:rPr>
          <w:rStyle w:val="a6"/>
        </w:rPr>
        <w:instrText>MERGEFORMAT</w:instrText>
      </w:r>
      <w:r>
        <w:rPr>
          <w:rStyle w:val="a6"/>
          <w:rtl/>
        </w:rPr>
        <w:instrText xml:space="preserve"> </w:instrText>
      </w:r>
      <w:r w:rsidRPr="006272A5">
        <w:rPr>
          <w:rStyle w:val="a6"/>
          <w:rtl/>
        </w:rPr>
        <w:fldChar w:fldCharType="separate"/>
      </w:r>
      <w:r>
        <w:rPr>
          <w:rStyle w:val="a6"/>
          <w:rtl/>
        </w:rPr>
        <w:t>ט</w:t>
      </w:r>
      <w:r w:rsidRPr="006272A5">
        <w:rPr>
          <w:rStyle w:val="a6"/>
          <w:rtl/>
        </w:rPr>
        <w:fldChar w:fldCharType="end"/>
      </w:r>
      <w:r>
        <w:rPr>
          <w:rFonts w:hint="cs"/>
          <w:rtl/>
        </w:rPr>
        <w:t xml:space="preserve"> ח"ו)</w:t>
      </w:r>
      <w:r w:rsidRPr="006272A5">
        <w:rPr>
          <w:rStyle w:val="a6"/>
          <w:rtl/>
        </w:rPr>
        <w:fldChar w:fldCharType="begin"/>
      </w:r>
      <w:r w:rsidRPr="006272A5">
        <w:rPr>
          <w:rStyle w:val="a6"/>
          <w:rtl/>
        </w:rPr>
        <w:instrText xml:space="preserve"> </w:instrText>
      </w:r>
      <w:r w:rsidRPr="006272A5">
        <w:rPr>
          <w:rStyle w:val="a6"/>
          <w:rFonts w:hint="cs"/>
        </w:rPr>
        <w:instrText>NOTEREF</w:instrText>
      </w:r>
      <w:r w:rsidRPr="006272A5">
        <w:rPr>
          <w:rStyle w:val="a6"/>
          <w:rFonts w:hint="cs"/>
          <w:rtl/>
        </w:rPr>
        <w:instrText xml:space="preserve"> _</w:instrText>
      </w:r>
      <w:r w:rsidRPr="006272A5">
        <w:rPr>
          <w:rStyle w:val="a6"/>
          <w:rFonts w:hint="cs"/>
        </w:rPr>
        <w:instrText>Ref144211558 \h</w:instrText>
      </w:r>
      <w:r w:rsidRPr="006272A5">
        <w:rPr>
          <w:rStyle w:val="a6"/>
          <w:rtl/>
        </w:rPr>
        <w:instrText xml:space="preserve"> </w:instrText>
      </w:r>
      <w:r w:rsidRPr="006272A5">
        <w:rPr>
          <w:rStyle w:val="a6"/>
        </w:rPr>
      </w:r>
      <w:r>
        <w:rPr>
          <w:rStyle w:val="a6"/>
          <w:rtl/>
        </w:rPr>
        <w:instrText xml:space="preserve"> \* </w:instrText>
      </w:r>
      <w:r>
        <w:rPr>
          <w:rStyle w:val="a6"/>
        </w:rPr>
        <w:instrText>MERGEFORMAT</w:instrText>
      </w:r>
      <w:r>
        <w:rPr>
          <w:rStyle w:val="a6"/>
          <w:rtl/>
        </w:rPr>
        <w:instrText xml:space="preserve"> </w:instrText>
      </w:r>
      <w:r w:rsidRPr="006272A5">
        <w:rPr>
          <w:rStyle w:val="a6"/>
          <w:rtl/>
        </w:rPr>
        <w:fldChar w:fldCharType="separate"/>
      </w:r>
      <w:r>
        <w:rPr>
          <w:rStyle w:val="a6"/>
          <w:rtl/>
        </w:rPr>
        <w:t>ז</w:t>
      </w:r>
      <w:r w:rsidRPr="006272A5">
        <w:rPr>
          <w:rStyle w:val="a6"/>
          <w:rtl/>
        </w:rPr>
        <w:fldChar w:fldCharType="end"/>
      </w:r>
      <w:r>
        <w:rPr>
          <w:rFonts w:hint="cs"/>
          <w:rtl/>
        </w:rPr>
        <w:t>. הסרת כל המחיצות בין בני הזוג, המבטאת את ההתמסרות הגמורה של האיש לאשתו</w:t>
      </w:r>
      <w:bookmarkStart w:id="4" w:name="_Ref144211823"/>
      <w:r w:rsidRPr="005316B5">
        <w:rPr>
          <w:rStyle w:val="a6"/>
          <w:rtl/>
        </w:rPr>
        <w:endnoteReference w:id="10"/>
      </w:r>
      <w:bookmarkEnd w:id="4"/>
      <w:r>
        <w:rPr>
          <w:rFonts w:hint="cs"/>
          <w:rtl/>
        </w:rPr>
        <w:t>, היא המעודדת אותם 'להשקיע' ביצירה משותפת ובכך לקשור את גורלם באופן נצחי ומוחלט.</w:t>
      </w:r>
    </w:p>
    <w:p w:rsidR="005636E5" w:rsidRDefault="005636E5" w:rsidP="005636E5">
      <w:pPr>
        <w:rPr>
          <w:rFonts w:hint="cs"/>
          <w:rtl/>
        </w:rPr>
      </w:pPr>
      <w:r>
        <w:rPr>
          <w:rFonts w:hint="cs"/>
          <w:rtl/>
        </w:rPr>
        <w:t xml:space="preserve">השלב השני </w:t>
      </w:r>
      <w:r>
        <w:rPr>
          <w:rtl/>
        </w:rPr>
        <w:t>–</w:t>
      </w:r>
      <w:r>
        <w:rPr>
          <w:rFonts w:hint="cs"/>
          <w:rtl/>
        </w:rPr>
        <w:t xml:space="preserve"> "כסותה" </w:t>
      </w:r>
      <w:r>
        <w:rPr>
          <w:rtl/>
        </w:rPr>
        <w:t>–</w:t>
      </w:r>
      <w:r>
        <w:rPr>
          <w:rFonts w:hint="cs"/>
          <w:rtl/>
        </w:rPr>
        <w:t xml:space="preserve"> מתייחס לתקופת </w:t>
      </w:r>
      <w:proofErr w:type="spellStart"/>
      <w:r>
        <w:rPr>
          <w:rFonts w:hint="cs"/>
          <w:rtl/>
        </w:rPr>
        <w:t>ההריון</w:t>
      </w:r>
      <w:proofErr w:type="spellEnd"/>
      <w:r>
        <w:rPr>
          <w:rFonts w:hint="cs"/>
          <w:rtl/>
        </w:rPr>
        <w:t xml:space="preserve">, בה מכסה השליה את הילד-השאר ומזינה אותו בכל משך גידולו ברחם האם. במהלך הזיווג הכסות יוצרת אוירה שוויונית המעודדת את </w:t>
      </w:r>
      <w:proofErr w:type="spellStart"/>
      <w:r>
        <w:rPr>
          <w:rFonts w:hint="cs"/>
          <w:rtl/>
        </w:rPr>
        <w:t>האשה</w:t>
      </w:r>
      <w:proofErr w:type="spellEnd"/>
      <w:r>
        <w:rPr>
          <w:rFonts w:hint="cs"/>
          <w:rtl/>
        </w:rPr>
        <w:t xml:space="preserve"> לחשוף את </w:t>
      </w:r>
      <w:proofErr w:type="spellStart"/>
      <w:r>
        <w:rPr>
          <w:rFonts w:hint="cs"/>
          <w:rtl/>
        </w:rPr>
        <w:t>מאוויה</w:t>
      </w:r>
      <w:proofErr w:type="spellEnd"/>
      <w:r>
        <w:rPr>
          <w:rFonts w:hint="cs"/>
          <w:rtl/>
        </w:rPr>
        <w:t xml:space="preserve"> ותכונותיה</w:t>
      </w:r>
      <w:r w:rsidRPr="00067D26">
        <w:rPr>
          <w:rStyle w:val="a6"/>
          <w:rtl/>
        </w:rPr>
        <w:fldChar w:fldCharType="begin"/>
      </w:r>
      <w:r w:rsidRPr="00067D26">
        <w:rPr>
          <w:rStyle w:val="a6"/>
          <w:rtl/>
        </w:rPr>
        <w:instrText xml:space="preserve"> </w:instrText>
      </w:r>
      <w:r w:rsidRPr="00067D26">
        <w:rPr>
          <w:rStyle w:val="a6"/>
          <w:rFonts w:hint="cs"/>
        </w:rPr>
        <w:instrText>NOTEREF</w:instrText>
      </w:r>
      <w:r w:rsidRPr="00067D26">
        <w:rPr>
          <w:rStyle w:val="a6"/>
          <w:rFonts w:hint="cs"/>
          <w:rtl/>
        </w:rPr>
        <w:instrText xml:space="preserve"> _</w:instrText>
      </w:r>
      <w:r w:rsidRPr="00067D26">
        <w:rPr>
          <w:rStyle w:val="a6"/>
          <w:rFonts w:hint="cs"/>
        </w:rPr>
        <w:instrText>Ref144211823 \h</w:instrText>
      </w:r>
      <w:r w:rsidRPr="00067D26">
        <w:rPr>
          <w:rStyle w:val="a6"/>
          <w:rtl/>
        </w:rPr>
        <w:instrText xml:space="preserve"> </w:instrText>
      </w:r>
      <w:r w:rsidRPr="00067D26">
        <w:rPr>
          <w:rStyle w:val="a6"/>
        </w:rPr>
      </w:r>
      <w:r>
        <w:rPr>
          <w:rStyle w:val="a6"/>
        </w:rPr>
        <w:instrText xml:space="preserve"> \* MERGEFORMAT </w:instrText>
      </w:r>
      <w:r w:rsidRPr="00067D26">
        <w:rPr>
          <w:rStyle w:val="a6"/>
          <w:rtl/>
        </w:rPr>
        <w:fldChar w:fldCharType="separate"/>
      </w:r>
      <w:r>
        <w:rPr>
          <w:rStyle w:val="a6"/>
          <w:rtl/>
        </w:rPr>
        <w:t>י</w:t>
      </w:r>
      <w:r w:rsidRPr="00067D26">
        <w:rPr>
          <w:rStyle w:val="a6"/>
          <w:rtl/>
        </w:rPr>
        <w:fldChar w:fldCharType="end"/>
      </w:r>
      <w:r>
        <w:rPr>
          <w:rFonts w:hint="cs"/>
          <w:rtl/>
        </w:rPr>
        <w:t xml:space="preserve">, והדבר משליך על יכולתה לטפח ולהזין ברחמה את העובר במשך ימי </w:t>
      </w:r>
      <w:proofErr w:type="spellStart"/>
      <w:r>
        <w:rPr>
          <w:rFonts w:hint="cs"/>
          <w:rtl/>
        </w:rPr>
        <w:t>ההריון</w:t>
      </w:r>
      <w:proofErr w:type="spellEnd"/>
      <w:r>
        <w:rPr>
          <w:rFonts w:hint="cs"/>
          <w:rtl/>
        </w:rPr>
        <w:t xml:space="preserve"> (בהם היא מתפקדת </w:t>
      </w:r>
      <w:proofErr w:type="spellStart"/>
      <w:r>
        <w:rPr>
          <w:rFonts w:hint="cs"/>
          <w:rtl/>
        </w:rPr>
        <w:t>כאמא</w:t>
      </w:r>
      <w:proofErr w:type="spellEnd"/>
      <w:r>
        <w:rPr>
          <w:rFonts w:hint="cs"/>
          <w:rtl/>
        </w:rPr>
        <w:t xml:space="preserve">, </w:t>
      </w:r>
      <w:proofErr w:type="spellStart"/>
      <w:r>
        <w:rPr>
          <w:rFonts w:hint="cs"/>
          <w:rtl/>
        </w:rPr>
        <w:t>השוה</w:t>
      </w:r>
      <w:proofErr w:type="spellEnd"/>
      <w:r>
        <w:rPr>
          <w:rFonts w:hint="cs"/>
          <w:rtl/>
        </w:rPr>
        <w:t xml:space="preserve"> בתפקידיה ויכולותיה לאבא, ולא כאשה-מקבלת בלבד, החשה ש"לית לה מגרמה כלום"</w:t>
      </w:r>
      <w:r w:rsidRPr="005316B5">
        <w:rPr>
          <w:rStyle w:val="a6"/>
          <w:rtl/>
        </w:rPr>
        <w:endnoteReference w:id="11"/>
      </w:r>
      <w:r>
        <w:rPr>
          <w:rFonts w:hint="cs"/>
          <w:rtl/>
        </w:rPr>
        <w:t xml:space="preserve"> והיא תלויה כל כולה במה שיעניק לה בעלה). ועוד יש לומר כי דברי האהבה והחסד, המתאפשרים בזכות המקום האינטימי שיוצרת הכסות סביב האיש </w:t>
      </w:r>
      <w:proofErr w:type="spellStart"/>
      <w:r>
        <w:rPr>
          <w:rFonts w:hint="cs"/>
          <w:rtl/>
        </w:rPr>
        <w:t>והאשה</w:t>
      </w:r>
      <w:proofErr w:type="spellEnd"/>
      <w:r w:rsidRPr="006272A5">
        <w:rPr>
          <w:rStyle w:val="a6"/>
          <w:rtl/>
        </w:rPr>
        <w:fldChar w:fldCharType="begin"/>
      </w:r>
      <w:r w:rsidRPr="006272A5">
        <w:rPr>
          <w:rStyle w:val="a6"/>
          <w:rtl/>
        </w:rPr>
        <w:instrText xml:space="preserve"> </w:instrText>
      </w:r>
      <w:r w:rsidRPr="006272A5">
        <w:rPr>
          <w:rStyle w:val="a6"/>
          <w:rFonts w:hint="cs"/>
        </w:rPr>
        <w:instrText>NOTEREF</w:instrText>
      </w:r>
      <w:r w:rsidRPr="006272A5">
        <w:rPr>
          <w:rStyle w:val="a6"/>
          <w:rFonts w:hint="cs"/>
          <w:rtl/>
        </w:rPr>
        <w:instrText xml:space="preserve"> _</w:instrText>
      </w:r>
      <w:r w:rsidRPr="006272A5">
        <w:rPr>
          <w:rStyle w:val="a6"/>
          <w:rFonts w:hint="cs"/>
        </w:rPr>
        <w:instrText>Ref144211558 \h</w:instrText>
      </w:r>
      <w:r w:rsidRPr="006272A5">
        <w:rPr>
          <w:rStyle w:val="a6"/>
          <w:rtl/>
        </w:rPr>
        <w:instrText xml:space="preserve"> </w:instrText>
      </w:r>
      <w:r w:rsidRPr="006272A5">
        <w:rPr>
          <w:rStyle w:val="a6"/>
        </w:rPr>
      </w:r>
      <w:r>
        <w:rPr>
          <w:rStyle w:val="a6"/>
          <w:rtl/>
        </w:rPr>
        <w:instrText xml:space="preserve"> \* </w:instrText>
      </w:r>
      <w:r>
        <w:rPr>
          <w:rStyle w:val="a6"/>
        </w:rPr>
        <w:instrText>MERGEFORMAT</w:instrText>
      </w:r>
      <w:r>
        <w:rPr>
          <w:rStyle w:val="a6"/>
          <w:rtl/>
        </w:rPr>
        <w:instrText xml:space="preserve"> </w:instrText>
      </w:r>
      <w:r w:rsidRPr="006272A5">
        <w:rPr>
          <w:rStyle w:val="a6"/>
          <w:rtl/>
        </w:rPr>
        <w:fldChar w:fldCharType="separate"/>
      </w:r>
      <w:r>
        <w:rPr>
          <w:rStyle w:val="a6"/>
          <w:rtl/>
        </w:rPr>
        <w:t>ז</w:t>
      </w:r>
      <w:r w:rsidRPr="006272A5">
        <w:rPr>
          <w:rStyle w:val="a6"/>
          <w:rtl/>
        </w:rPr>
        <w:fldChar w:fldCharType="end"/>
      </w:r>
      <w:r>
        <w:rPr>
          <w:rFonts w:hint="cs"/>
          <w:rtl/>
        </w:rPr>
        <w:t xml:space="preserve">, הם המגדלים והמטפחים את העובר ברחמה של האם </w:t>
      </w:r>
      <w:r>
        <w:rPr>
          <w:rtl/>
        </w:rPr>
        <w:t>–</w:t>
      </w:r>
      <w:r>
        <w:rPr>
          <w:rFonts w:hint="cs"/>
          <w:rtl/>
        </w:rPr>
        <w:t xml:space="preserve"> עובר שבין הוריו קיים דבור של חיבה ניזון מהם ומתפתח בבריאות ובשמחה (כשם שדברי שבח ועידוד חשובים דווקא לקטן שטרם התבגר, הגדל וצומח בזכות העידוד שהוא מקבל, כשם שהוא נמנע מדברים רעים מתוך דברי בקורת שהוא שומע</w:t>
      </w:r>
      <w:r w:rsidRPr="005316B5">
        <w:rPr>
          <w:rStyle w:val="a6"/>
          <w:rtl/>
        </w:rPr>
        <w:endnoteReference w:id="12"/>
      </w:r>
      <w:r>
        <w:rPr>
          <w:rFonts w:hint="cs"/>
          <w:rtl/>
        </w:rPr>
        <w:t>).</w:t>
      </w:r>
    </w:p>
    <w:p w:rsidR="005636E5" w:rsidRDefault="005636E5" w:rsidP="005636E5">
      <w:pPr>
        <w:rPr>
          <w:rFonts w:hint="cs"/>
          <w:rtl/>
        </w:rPr>
      </w:pPr>
      <w:r>
        <w:rPr>
          <w:rFonts w:hint="cs"/>
          <w:rtl/>
        </w:rPr>
        <w:t xml:space="preserve">הפרט השלישי בפסוק </w:t>
      </w:r>
      <w:r>
        <w:rPr>
          <w:rtl/>
        </w:rPr>
        <w:t>–</w:t>
      </w:r>
      <w:r>
        <w:rPr>
          <w:rFonts w:hint="cs"/>
          <w:rtl/>
        </w:rPr>
        <w:t xml:space="preserve"> "ע</w:t>
      </w:r>
      <w:r w:rsidRPr="00384FA2">
        <w:rPr>
          <w:rFonts w:hint="cs"/>
          <w:spacing w:val="-10"/>
          <w:rtl/>
        </w:rPr>
        <w:t>ֹ</w:t>
      </w:r>
      <w:r>
        <w:rPr>
          <w:rFonts w:hint="cs"/>
          <w:rtl/>
        </w:rPr>
        <w:t xml:space="preserve">נתה" </w:t>
      </w:r>
      <w:r>
        <w:rPr>
          <w:rtl/>
        </w:rPr>
        <w:t>–</w:t>
      </w:r>
      <w:r>
        <w:rPr>
          <w:rFonts w:hint="cs"/>
          <w:rtl/>
        </w:rPr>
        <w:t xml:space="preserve"> הוא, כמובן, עצם הביאה המחוללת את </w:t>
      </w:r>
      <w:proofErr w:type="spellStart"/>
      <w:r>
        <w:rPr>
          <w:rFonts w:hint="cs"/>
          <w:rtl/>
        </w:rPr>
        <w:t>ההריון</w:t>
      </w:r>
      <w:proofErr w:type="spellEnd"/>
      <w:r>
        <w:rPr>
          <w:rFonts w:hint="cs"/>
          <w:rtl/>
        </w:rPr>
        <w:t xml:space="preserve"> והלידה. השלב האחרון של עצם הביאה הוא השלב הראשון במהלך </w:t>
      </w:r>
      <w:proofErr w:type="spellStart"/>
      <w:r>
        <w:rPr>
          <w:rFonts w:hint="cs"/>
          <w:rtl/>
        </w:rPr>
        <w:t>ההריון</w:t>
      </w:r>
      <w:proofErr w:type="spellEnd"/>
      <w:r>
        <w:rPr>
          <w:rFonts w:hint="cs"/>
          <w:rtl/>
        </w:rPr>
        <w:t xml:space="preserve"> </w:t>
      </w:r>
      <w:r>
        <w:rPr>
          <w:rtl/>
        </w:rPr>
        <w:t>–</w:t>
      </w:r>
      <w:r>
        <w:rPr>
          <w:rFonts w:hint="cs"/>
          <w:rtl/>
        </w:rPr>
        <w:t xml:space="preserve"> רגע ההתעברות. העונה היא הזיווג </w:t>
      </w:r>
      <w:r>
        <w:rPr>
          <w:rFonts w:hint="cs"/>
          <w:rtl/>
        </w:rPr>
        <w:lastRenderedPageBreak/>
        <w:t>במעשה, והמעשה העיקרי הוא עצם עשית-יצירת הולד</w:t>
      </w:r>
      <w:r w:rsidRPr="006272A5">
        <w:rPr>
          <w:rStyle w:val="a6"/>
          <w:rtl/>
        </w:rPr>
        <w:fldChar w:fldCharType="begin"/>
      </w:r>
      <w:r w:rsidRPr="006272A5">
        <w:rPr>
          <w:rStyle w:val="a6"/>
          <w:rtl/>
        </w:rPr>
        <w:instrText xml:space="preserve"> </w:instrText>
      </w:r>
      <w:r w:rsidRPr="006272A5">
        <w:rPr>
          <w:rStyle w:val="a6"/>
          <w:rFonts w:hint="cs"/>
        </w:rPr>
        <w:instrText>NOTEREF</w:instrText>
      </w:r>
      <w:r w:rsidRPr="006272A5">
        <w:rPr>
          <w:rStyle w:val="a6"/>
          <w:rFonts w:hint="cs"/>
          <w:rtl/>
        </w:rPr>
        <w:instrText xml:space="preserve"> _</w:instrText>
      </w:r>
      <w:r w:rsidRPr="006272A5">
        <w:rPr>
          <w:rStyle w:val="a6"/>
          <w:rFonts w:hint="cs"/>
        </w:rPr>
        <w:instrText>Ref144211558 \h</w:instrText>
      </w:r>
      <w:r w:rsidRPr="006272A5">
        <w:rPr>
          <w:rStyle w:val="a6"/>
          <w:rtl/>
        </w:rPr>
        <w:instrText xml:space="preserve"> </w:instrText>
      </w:r>
      <w:r w:rsidRPr="006272A5">
        <w:rPr>
          <w:rStyle w:val="a6"/>
        </w:rPr>
      </w:r>
      <w:r>
        <w:rPr>
          <w:rStyle w:val="a6"/>
          <w:rtl/>
        </w:rPr>
        <w:instrText xml:space="preserve"> \* </w:instrText>
      </w:r>
      <w:r>
        <w:rPr>
          <w:rStyle w:val="a6"/>
        </w:rPr>
        <w:instrText>MERGEFORMAT</w:instrText>
      </w:r>
      <w:r>
        <w:rPr>
          <w:rStyle w:val="a6"/>
          <w:rtl/>
        </w:rPr>
        <w:instrText xml:space="preserve"> </w:instrText>
      </w:r>
      <w:r w:rsidRPr="006272A5">
        <w:rPr>
          <w:rStyle w:val="a6"/>
          <w:rtl/>
        </w:rPr>
        <w:fldChar w:fldCharType="separate"/>
      </w:r>
      <w:r>
        <w:rPr>
          <w:rStyle w:val="a6"/>
          <w:rtl/>
        </w:rPr>
        <w:t>ז</w:t>
      </w:r>
      <w:r w:rsidRPr="006272A5">
        <w:rPr>
          <w:rStyle w:val="a6"/>
          <w:rtl/>
        </w:rPr>
        <w:fldChar w:fldCharType="end"/>
      </w:r>
      <w:r>
        <w:rPr>
          <w:rFonts w:hint="cs"/>
          <w:rtl/>
        </w:rPr>
        <w:t>. כאשר ה</w:t>
      </w:r>
      <w:r w:rsidRPr="00E84990">
        <w:rPr>
          <w:rStyle w:val="a3"/>
          <w:rFonts w:hint="cs"/>
          <w:rtl/>
        </w:rPr>
        <w:t>עונה</w:t>
      </w:r>
      <w:r>
        <w:rPr>
          <w:rFonts w:hint="cs"/>
          <w:rtl/>
        </w:rPr>
        <w:t xml:space="preserve"> באה לאחר הקדמת השלבים של "שארה" ו"כסותה", שאזי היא </w:t>
      </w:r>
      <w:r w:rsidRPr="00E84990">
        <w:rPr>
          <w:rStyle w:val="a3"/>
          <w:rFonts w:hint="cs"/>
          <w:rtl/>
        </w:rPr>
        <w:t>מענה</w:t>
      </w:r>
      <w:r>
        <w:rPr>
          <w:rFonts w:hint="cs"/>
          <w:rtl/>
        </w:rPr>
        <w:t xml:space="preserve"> </w:t>
      </w:r>
      <w:proofErr w:type="spellStart"/>
      <w:r>
        <w:rPr>
          <w:rFonts w:hint="cs"/>
          <w:rtl/>
        </w:rPr>
        <w:t>אמיתי</w:t>
      </w:r>
      <w:proofErr w:type="spellEnd"/>
      <w:r>
        <w:rPr>
          <w:rFonts w:hint="cs"/>
          <w:rtl/>
        </w:rPr>
        <w:t xml:space="preserve"> לרצונותיה של </w:t>
      </w:r>
      <w:proofErr w:type="spellStart"/>
      <w:r>
        <w:rPr>
          <w:rFonts w:hint="cs"/>
          <w:rtl/>
        </w:rPr>
        <w:t>האשה</w:t>
      </w:r>
      <w:proofErr w:type="spellEnd"/>
      <w:r w:rsidRPr="00067D26">
        <w:rPr>
          <w:rStyle w:val="a6"/>
          <w:rtl/>
        </w:rPr>
        <w:fldChar w:fldCharType="begin"/>
      </w:r>
      <w:r w:rsidRPr="00067D26">
        <w:rPr>
          <w:rStyle w:val="a6"/>
          <w:rtl/>
        </w:rPr>
        <w:instrText xml:space="preserve"> </w:instrText>
      </w:r>
      <w:r w:rsidRPr="00067D26">
        <w:rPr>
          <w:rStyle w:val="a6"/>
          <w:rFonts w:hint="cs"/>
        </w:rPr>
        <w:instrText>NOTEREF</w:instrText>
      </w:r>
      <w:r w:rsidRPr="00067D26">
        <w:rPr>
          <w:rStyle w:val="a6"/>
          <w:rFonts w:hint="cs"/>
          <w:rtl/>
        </w:rPr>
        <w:instrText xml:space="preserve"> _</w:instrText>
      </w:r>
      <w:r w:rsidRPr="00067D26">
        <w:rPr>
          <w:rStyle w:val="a6"/>
          <w:rFonts w:hint="cs"/>
        </w:rPr>
        <w:instrText>Ref144211823 \h</w:instrText>
      </w:r>
      <w:r w:rsidRPr="00067D26">
        <w:rPr>
          <w:rStyle w:val="a6"/>
          <w:rtl/>
        </w:rPr>
        <w:instrText xml:space="preserve"> </w:instrText>
      </w:r>
      <w:r w:rsidRPr="00067D26">
        <w:rPr>
          <w:rStyle w:val="a6"/>
        </w:rPr>
      </w:r>
      <w:r>
        <w:rPr>
          <w:rStyle w:val="a6"/>
        </w:rPr>
        <w:instrText xml:space="preserve"> \* MERGEFORMAT </w:instrText>
      </w:r>
      <w:r w:rsidRPr="00067D26">
        <w:rPr>
          <w:rStyle w:val="a6"/>
          <w:rtl/>
        </w:rPr>
        <w:fldChar w:fldCharType="separate"/>
      </w:r>
      <w:r>
        <w:rPr>
          <w:rStyle w:val="a6"/>
          <w:rtl/>
        </w:rPr>
        <w:t>י</w:t>
      </w:r>
      <w:r w:rsidRPr="00067D26">
        <w:rPr>
          <w:rStyle w:val="a6"/>
          <w:rtl/>
        </w:rPr>
        <w:fldChar w:fldCharType="end"/>
      </w:r>
      <w:r>
        <w:rPr>
          <w:rFonts w:hint="cs"/>
          <w:rtl/>
        </w:rPr>
        <w:t xml:space="preserve">, זוכים שתתעבר </w:t>
      </w:r>
      <w:proofErr w:type="spellStart"/>
      <w:r>
        <w:rPr>
          <w:rFonts w:hint="cs"/>
          <w:rtl/>
        </w:rPr>
        <w:t>ב"זרעא</w:t>
      </w:r>
      <w:proofErr w:type="spellEnd"/>
      <w:r>
        <w:rPr>
          <w:rFonts w:hint="cs"/>
          <w:rtl/>
        </w:rPr>
        <w:t xml:space="preserve"> </w:t>
      </w:r>
      <w:proofErr w:type="spellStart"/>
      <w:r>
        <w:rPr>
          <w:rFonts w:hint="cs"/>
          <w:rtl/>
        </w:rPr>
        <w:t>חיא</w:t>
      </w:r>
      <w:proofErr w:type="spellEnd"/>
      <w:r>
        <w:rPr>
          <w:rFonts w:hint="cs"/>
          <w:rtl/>
        </w:rPr>
        <w:t xml:space="preserve"> </w:t>
      </w:r>
      <w:proofErr w:type="spellStart"/>
      <w:r>
        <w:rPr>
          <w:rFonts w:hint="cs"/>
          <w:rtl/>
        </w:rPr>
        <w:t>וקימא</w:t>
      </w:r>
      <w:proofErr w:type="spellEnd"/>
      <w:r>
        <w:rPr>
          <w:rFonts w:hint="cs"/>
          <w:rtl/>
        </w:rPr>
        <w:t xml:space="preserve">" (ילדים מתקיימים מ"עלמא </w:t>
      </w:r>
      <w:proofErr w:type="spellStart"/>
      <w:r>
        <w:rPr>
          <w:rFonts w:hint="cs"/>
          <w:rtl/>
        </w:rPr>
        <w:t>דדכורא</w:t>
      </w:r>
      <w:proofErr w:type="spellEnd"/>
      <w:r>
        <w:rPr>
          <w:rFonts w:hint="cs"/>
          <w:rtl/>
        </w:rPr>
        <w:t>"</w:t>
      </w:r>
      <w:r w:rsidRPr="005316B5">
        <w:rPr>
          <w:rStyle w:val="a6"/>
          <w:rtl/>
        </w:rPr>
        <w:endnoteReference w:id="13"/>
      </w:r>
      <w:r>
        <w:rPr>
          <w:rFonts w:hint="cs"/>
          <w:rtl/>
        </w:rPr>
        <w:t>, שהרי כאשר "</w:t>
      </w:r>
      <w:proofErr w:type="spellStart"/>
      <w:r>
        <w:rPr>
          <w:rFonts w:hint="cs"/>
          <w:rtl/>
        </w:rPr>
        <w:t>אשה</w:t>
      </w:r>
      <w:proofErr w:type="spellEnd"/>
      <w:r>
        <w:rPr>
          <w:rFonts w:hint="cs"/>
          <w:rtl/>
        </w:rPr>
        <w:t xml:space="preserve"> מזרעת תחלה </w:t>
      </w:r>
      <w:r>
        <w:rPr>
          <w:rtl/>
        </w:rPr>
        <w:t>–</w:t>
      </w:r>
      <w:r>
        <w:rPr>
          <w:rFonts w:hint="cs"/>
          <w:rtl/>
        </w:rPr>
        <w:t xml:space="preserve"> יולדת זכר"</w:t>
      </w:r>
      <w:r w:rsidRPr="005316B5">
        <w:rPr>
          <w:rStyle w:val="a6"/>
          <w:rtl/>
        </w:rPr>
        <w:endnoteReference w:id="14"/>
      </w:r>
      <w:r>
        <w:rPr>
          <w:rFonts w:hint="cs"/>
          <w:rtl/>
        </w:rPr>
        <w:t>).</w:t>
      </w:r>
    </w:p>
    <w:p w:rsidR="005636E5" w:rsidRPr="003D45DA" w:rsidRDefault="005636E5" w:rsidP="005636E5">
      <w:pPr>
        <w:rPr>
          <w:rFonts w:hint="cs"/>
          <w:rtl/>
        </w:rPr>
      </w:pPr>
      <w:r w:rsidRPr="003D45DA">
        <w:rPr>
          <w:rFonts w:hint="cs"/>
          <w:rtl/>
        </w:rPr>
        <w:t>[ויש לדרוש כי כאשר מקיימים "שארה כסותה וע</w:t>
      </w:r>
      <w:r w:rsidRPr="00384FA2">
        <w:rPr>
          <w:rFonts w:hint="cs"/>
          <w:spacing w:val="-10"/>
          <w:rtl/>
        </w:rPr>
        <w:t>ֹ</w:t>
      </w:r>
      <w:r w:rsidRPr="003D45DA">
        <w:rPr>
          <w:rFonts w:hint="cs"/>
          <w:rtl/>
        </w:rPr>
        <w:t xml:space="preserve">נתה" כדבעי, על פי המבואר כאן, אזי זוכים ל"לא יגרע" בהריון, כאשר </w:t>
      </w:r>
      <w:proofErr w:type="spellStart"/>
      <w:r w:rsidRPr="003D45DA">
        <w:rPr>
          <w:rFonts w:hint="cs"/>
          <w:rtl/>
        </w:rPr>
        <w:t>האשה</w:t>
      </w:r>
      <w:proofErr w:type="spellEnd"/>
      <w:r w:rsidRPr="003D45DA">
        <w:rPr>
          <w:rFonts w:hint="cs"/>
          <w:rtl/>
        </w:rPr>
        <w:t xml:space="preserve"> ממלאת את ימי הריונה ויולדת ולד שלם ובריא. חז"ל</w:t>
      </w:r>
      <w:r w:rsidRPr="005316B5">
        <w:rPr>
          <w:rStyle w:val="a6"/>
          <w:rtl/>
        </w:rPr>
        <w:endnoteReference w:id="15"/>
      </w:r>
      <w:r w:rsidRPr="003D45DA">
        <w:rPr>
          <w:rFonts w:hint="cs"/>
          <w:rtl/>
        </w:rPr>
        <w:t xml:space="preserve"> מלמדים כי מנין ימי </w:t>
      </w:r>
      <w:proofErr w:type="spellStart"/>
      <w:r w:rsidRPr="003D45DA">
        <w:rPr>
          <w:rFonts w:hint="cs"/>
          <w:rtl/>
        </w:rPr>
        <w:t>ההריון</w:t>
      </w:r>
      <w:proofErr w:type="spellEnd"/>
      <w:r w:rsidRPr="003D45DA">
        <w:rPr>
          <w:rFonts w:hint="cs"/>
          <w:rtl/>
        </w:rPr>
        <w:t xml:space="preserve"> הוא בין </w:t>
      </w:r>
      <w:proofErr w:type="spellStart"/>
      <w:r w:rsidRPr="003D45DA">
        <w:rPr>
          <w:rFonts w:hint="cs"/>
          <w:b/>
          <w:bCs/>
          <w:sz w:val="28"/>
          <w:szCs w:val="28"/>
          <w:rtl/>
        </w:rPr>
        <w:t>רעא</w:t>
      </w:r>
      <w:proofErr w:type="spellEnd"/>
      <w:r w:rsidRPr="003D45DA">
        <w:rPr>
          <w:rFonts w:hint="cs"/>
          <w:rtl/>
        </w:rPr>
        <w:t xml:space="preserve"> (</w:t>
      </w:r>
      <w:proofErr w:type="spellStart"/>
      <w:r w:rsidRPr="003D45DA">
        <w:rPr>
          <w:rFonts w:hint="cs"/>
          <w:rtl/>
        </w:rPr>
        <w:t>כמנין</w:t>
      </w:r>
      <w:proofErr w:type="spellEnd"/>
      <w:r w:rsidRPr="003D45DA">
        <w:rPr>
          <w:rFonts w:hint="cs"/>
          <w:rtl/>
        </w:rPr>
        <w:t xml:space="preserve"> </w:t>
      </w:r>
      <w:r w:rsidRPr="003D45DA">
        <w:rPr>
          <w:rFonts w:hint="cs"/>
          <w:b/>
          <w:bCs/>
          <w:sz w:val="28"/>
          <w:szCs w:val="28"/>
          <w:rtl/>
        </w:rPr>
        <w:t>הריון</w:t>
      </w:r>
      <w:r w:rsidRPr="003D45DA">
        <w:rPr>
          <w:rFonts w:hint="cs"/>
          <w:rtl/>
        </w:rPr>
        <w:t>) ל-</w:t>
      </w:r>
      <w:proofErr w:type="spellStart"/>
      <w:r w:rsidRPr="003D45DA">
        <w:rPr>
          <w:rFonts w:hint="cs"/>
          <w:b/>
          <w:bCs/>
          <w:sz w:val="28"/>
          <w:szCs w:val="28"/>
          <w:rtl/>
        </w:rPr>
        <w:t>רעג</w:t>
      </w:r>
      <w:proofErr w:type="spellEnd"/>
      <w:r w:rsidRPr="003D45DA">
        <w:rPr>
          <w:rFonts w:hint="cs"/>
          <w:rtl/>
        </w:rPr>
        <w:t xml:space="preserve"> </w:t>
      </w:r>
      <w:r w:rsidRPr="003D45DA">
        <w:rPr>
          <w:rFonts w:hint="eastAsia"/>
          <w:rtl/>
        </w:rPr>
        <w:t xml:space="preserve">– תלוי </w:t>
      </w:r>
      <w:r w:rsidRPr="003D45DA">
        <w:rPr>
          <w:rFonts w:hint="cs"/>
          <w:rtl/>
        </w:rPr>
        <w:t>ב</w:t>
      </w:r>
      <w:r w:rsidRPr="003D45DA">
        <w:rPr>
          <w:rFonts w:hint="eastAsia"/>
          <w:rtl/>
        </w:rPr>
        <w:t xml:space="preserve">זמן </w:t>
      </w:r>
      <w:r w:rsidRPr="003D45DA">
        <w:rPr>
          <w:rFonts w:hint="cs"/>
          <w:rtl/>
        </w:rPr>
        <w:t>ה</w:t>
      </w:r>
      <w:r w:rsidRPr="003D45DA">
        <w:rPr>
          <w:rFonts w:hint="eastAsia"/>
          <w:rtl/>
        </w:rPr>
        <w:t>קליט</w:t>
      </w:r>
      <w:r w:rsidRPr="003D45DA">
        <w:rPr>
          <w:rFonts w:hint="cs"/>
          <w:rtl/>
        </w:rPr>
        <w:t xml:space="preserve">ה, המתחוללת </w:t>
      </w:r>
      <w:r w:rsidRPr="003D45DA">
        <w:rPr>
          <w:rFonts w:hint="eastAsia"/>
          <w:rtl/>
        </w:rPr>
        <w:t>בשלשת הימים הראשונים שאחר הביאה.</w:t>
      </w:r>
      <w:r w:rsidRPr="003D45DA">
        <w:rPr>
          <w:rFonts w:hint="cs"/>
          <w:rtl/>
        </w:rPr>
        <w:t xml:space="preserve"> אכן, בדור האחרון מצינו כי פעמים </w:t>
      </w:r>
      <w:proofErr w:type="spellStart"/>
      <w:r w:rsidRPr="003D45DA">
        <w:rPr>
          <w:rFonts w:hint="cs"/>
          <w:rtl/>
        </w:rPr>
        <w:t>שההריון</w:t>
      </w:r>
      <w:proofErr w:type="spellEnd"/>
      <w:r w:rsidRPr="003D45DA">
        <w:rPr>
          <w:rFonts w:hint="cs"/>
          <w:rtl/>
        </w:rPr>
        <w:t xml:space="preserve"> מתאחר, ואין לחוש להתארכות </w:t>
      </w:r>
      <w:proofErr w:type="spellStart"/>
      <w:r w:rsidRPr="003D45DA">
        <w:rPr>
          <w:rFonts w:hint="cs"/>
          <w:rtl/>
        </w:rPr>
        <w:t>ההריון</w:t>
      </w:r>
      <w:proofErr w:type="spellEnd"/>
      <w:r w:rsidRPr="003D45DA">
        <w:rPr>
          <w:rFonts w:hint="cs"/>
          <w:rtl/>
        </w:rPr>
        <w:t xml:space="preserve"> עד </w:t>
      </w:r>
      <w:r w:rsidRPr="003D45DA">
        <w:rPr>
          <w:rFonts w:hint="cs"/>
          <w:b/>
          <w:bCs/>
          <w:sz w:val="28"/>
          <w:szCs w:val="28"/>
          <w:rtl/>
        </w:rPr>
        <w:t>יגרע</w:t>
      </w:r>
      <w:r w:rsidRPr="003D45DA">
        <w:rPr>
          <w:rFonts w:hint="cs"/>
          <w:rtl/>
        </w:rPr>
        <w:t xml:space="preserve"> ימים </w:t>
      </w:r>
      <w:r w:rsidRPr="003D45DA">
        <w:rPr>
          <w:rtl/>
        </w:rPr>
        <w:t>–</w:t>
      </w:r>
      <w:r w:rsidRPr="003D45DA">
        <w:rPr>
          <w:rFonts w:hint="cs"/>
          <w:rtl/>
        </w:rPr>
        <w:t xml:space="preserve"> </w:t>
      </w:r>
      <w:r w:rsidRPr="003D45DA">
        <w:rPr>
          <w:rFonts w:hint="cs"/>
          <w:b/>
          <w:bCs/>
          <w:sz w:val="28"/>
          <w:szCs w:val="28"/>
          <w:rtl/>
        </w:rPr>
        <w:t>מ</w:t>
      </w:r>
      <w:r w:rsidRPr="003D45DA">
        <w:rPr>
          <w:rFonts w:hint="cs"/>
          <w:rtl/>
        </w:rPr>
        <w:t xml:space="preserve"> שבועות ו-</w:t>
      </w:r>
      <w:r w:rsidRPr="003D45DA">
        <w:rPr>
          <w:rFonts w:hint="cs"/>
          <w:b/>
          <w:bCs/>
          <w:sz w:val="28"/>
          <w:szCs w:val="28"/>
          <w:rtl/>
        </w:rPr>
        <w:t>ג</w:t>
      </w:r>
      <w:r w:rsidRPr="003D45DA">
        <w:rPr>
          <w:rFonts w:hint="cs"/>
          <w:rtl/>
        </w:rPr>
        <w:t xml:space="preserve"> ימים – והדבר "לא יגרע" ח"ו משלמותו ובריאותו של הולד.]</w:t>
      </w:r>
    </w:p>
    <w:p w:rsidR="005636E5" w:rsidRDefault="005636E5" w:rsidP="005636E5">
      <w:pPr>
        <w:rPr>
          <w:rFonts w:hint="cs"/>
          <w:rtl/>
        </w:rPr>
      </w:pPr>
      <w:r>
        <w:rPr>
          <w:rFonts w:hint="cs"/>
          <w:rtl/>
        </w:rPr>
        <w:t xml:space="preserve">ב"חותם מתהפך" זה ניתן לדרוש גם את שלשת ביטויי האחדות שבמעשה בראשית </w:t>
      </w:r>
      <w:r>
        <w:rPr>
          <w:rtl/>
        </w:rPr>
        <w:t>–</w:t>
      </w:r>
      <w:r>
        <w:rPr>
          <w:rFonts w:hint="cs"/>
          <w:rtl/>
        </w:rPr>
        <w:t xml:space="preserve"> "יום אחד"</w:t>
      </w:r>
      <w:r w:rsidRPr="005316B5">
        <w:rPr>
          <w:rStyle w:val="a6"/>
          <w:rtl/>
        </w:rPr>
        <w:endnoteReference w:id="16"/>
      </w:r>
      <w:r>
        <w:rPr>
          <w:rFonts w:hint="cs"/>
          <w:rtl/>
        </w:rPr>
        <w:t>, "מקום אחד"</w:t>
      </w:r>
      <w:r w:rsidRPr="005316B5">
        <w:rPr>
          <w:rStyle w:val="a6"/>
          <w:rtl/>
        </w:rPr>
        <w:endnoteReference w:id="17"/>
      </w:r>
      <w:r>
        <w:rPr>
          <w:rFonts w:hint="cs"/>
          <w:rtl/>
        </w:rPr>
        <w:t>, "בשר אחד"</w:t>
      </w:r>
      <w:r w:rsidRPr="005316B5">
        <w:rPr>
          <w:rStyle w:val="a6"/>
          <w:rtl/>
        </w:rPr>
        <w:endnoteReference w:id="18"/>
      </w:r>
      <w:r>
        <w:rPr>
          <w:rFonts w:hint="cs"/>
          <w:rtl/>
        </w:rPr>
        <w:t xml:space="preserve"> </w:t>
      </w:r>
      <w:r>
        <w:rPr>
          <w:rtl/>
        </w:rPr>
        <w:t>–</w:t>
      </w:r>
      <w:r>
        <w:rPr>
          <w:rFonts w:hint="cs"/>
          <w:rtl/>
        </w:rPr>
        <w:t xml:space="preserve"> בסדר מהופך</w:t>
      </w:r>
      <w:r w:rsidRPr="005316B5">
        <w:rPr>
          <w:rStyle w:val="a6"/>
          <w:rtl/>
        </w:rPr>
        <w:endnoteReference w:id="19"/>
      </w:r>
      <w:r>
        <w:rPr>
          <w:rFonts w:hint="cs"/>
          <w:rtl/>
        </w:rPr>
        <w:t>: "שארה" הוא קירוב הבשר עד לשלמות של "והיו לבשר אחד" בלידת הילד. הכסות יוצרת "מקום אחד", המתבטא גם ביצירת מקום מתאים להתפתחות העובר ברחם האם (המכונה "אותו מקום" בלשון חז"ל</w:t>
      </w:r>
      <w:r w:rsidRPr="005316B5">
        <w:rPr>
          <w:rStyle w:val="a6"/>
          <w:rtl/>
        </w:rPr>
        <w:endnoteReference w:id="20"/>
      </w:r>
      <w:r>
        <w:rPr>
          <w:rFonts w:hint="cs"/>
          <w:rtl/>
        </w:rPr>
        <w:t xml:space="preserve">). העונה, עצם רגע העיבור, היא ה"יום אחד" בו מתחילה יצירת הילד (וכנודע שיצירת הולד היא בסוד אור-מים-רקיע הרמוז בשני הימים הראשונים של מעשה בראשית, החל מבריאת האור ב"יום אחד"). לפי דרשה זו "יום אחד" רומז גם לזמן המיוחד של קליטת הזרע ויצירת הולד </w:t>
      </w:r>
      <w:r>
        <w:rPr>
          <w:rtl/>
        </w:rPr>
        <w:t>–</w:t>
      </w:r>
      <w:r>
        <w:rPr>
          <w:rFonts w:hint="cs"/>
          <w:rtl/>
        </w:rPr>
        <w:t xml:space="preserve"> זמן המשפיע על מזלו ואורחות חייו של הילד</w:t>
      </w:r>
      <w:r w:rsidRPr="005316B5">
        <w:rPr>
          <w:rStyle w:val="a6"/>
          <w:rtl/>
        </w:rPr>
        <w:endnoteReference w:id="21"/>
      </w:r>
      <w:r>
        <w:rPr>
          <w:rFonts w:hint="cs"/>
          <w:rtl/>
        </w:rPr>
        <w:t xml:space="preserve"> </w:t>
      </w:r>
      <w:r>
        <w:rPr>
          <w:rtl/>
        </w:rPr>
        <w:t>–</w:t>
      </w:r>
      <w:r>
        <w:rPr>
          <w:rFonts w:hint="cs"/>
          <w:rtl/>
        </w:rPr>
        <w:t xml:space="preserve"> כאשר לפי זה דגש מיוחד במצות "ע</w:t>
      </w:r>
      <w:r w:rsidRPr="00384FA2">
        <w:rPr>
          <w:rFonts w:hint="cs"/>
          <w:spacing w:val="-10"/>
          <w:rtl/>
        </w:rPr>
        <w:t>ֹ</w:t>
      </w:r>
      <w:r>
        <w:rPr>
          <w:rFonts w:hint="cs"/>
          <w:rtl/>
        </w:rPr>
        <w:t xml:space="preserve">נתה" הוא הרגישות לתזמון, לעונה המתאימה ביותר ל"עת דודים" של האיש </w:t>
      </w:r>
      <w:proofErr w:type="spellStart"/>
      <w:r>
        <w:rPr>
          <w:rFonts w:hint="cs"/>
          <w:rtl/>
        </w:rPr>
        <w:t>והאשה</w:t>
      </w:r>
      <w:proofErr w:type="spellEnd"/>
      <w:r w:rsidRPr="005316B5">
        <w:rPr>
          <w:rStyle w:val="a6"/>
          <w:rtl/>
        </w:rPr>
        <w:endnoteReference w:id="22"/>
      </w:r>
      <w:r>
        <w:rPr>
          <w:rFonts w:hint="cs"/>
          <w:rtl/>
        </w:rPr>
        <w:t xml:space="preserve"> (ואזי, כפי ששלשת ביטויי האחדות במעשה בראשית מביעים את האחדות בעולם-שנה-נפש, כך גם בזיווג "שארה כסותה וע</w:t>
      </w:r>
      <w:r w:rsidRPr="00384FA2">
        <w:rPr>
          <w:rFonts w:hint="cs"/>
          <w:spacing w:val="-10"/>
          <w:rtl/>
        </w:rPr>
        <w:t>ֹ</w:t>
      </w:r>
      <w:r>
        <w:rPr>
          <w:rFonts w:hint="cs"/>
          <w:rtl/>
        </w:rPr>
        <w:t>נתה" היינו הקרבה הנכונה בנפש, במקום ובזמן).</w:t>
      </w:r>
    </w:p>
    <w:p w:rsidR="005F4A47" w:rsidRDefault="000E0093">
      <w:bookmarkStart w:id="5" w:name="_GoBack"/>
      <w:bookmarkEnd w:id="5"/>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093" w:rsidRDefault="000E0093" w:rsidP="005636E5">
      <w:pPr>
        <w:spacing w:after="0" w:line="240" w:lineRule="auto"/>
      </w:pPr>
      <w:r>
        <w:separator/>
      </w:r>
    </w:p>
  </w:endnote>
  <w:endnote w:type="continuationSeparator" w:id="0">
    <w:p w:rsidR="000E0093" w:rsidRDefault="000E0093" w:rsidP="005636E5">
      <w:pPr>
        <w:spacing w:after="0" w:line="240" w:lineRule="auto"/>
      </w:pPr>
      <w:r>
        <w:continuationSeparator/>
      </w:r>
    </w:p>
  </w:endnote>
  <w:endnote w:id="1">
    <w:p w:rsidR="005636E5" w:rsidRPr="00BC64DF" w:rsidRDefault="005636E5" w:rsidP="005636E5">
      <w:pPr>
        <w:pStyle w:val="a4"/>
        <w:rPr>
          <w:rFonts w:hint="cs"/>
          <w:rtl/>
        </w:rPr>
      </w:pPr>
      <w:r>
        <w:rPr>
          <w:rtl/>
        </w:rPr>
        <w:tab/>
      </w:r>
      <w:r w:rsidRPr="00E15672">
        <w:rPr>
          <w:rtl/>
        </w:rPr>
        <w:endnoteRef/>
      </w:r>
      <w:r>
        <w:rPr>
          <w:rtl/>
        </w:rPr>
        <w:t>.</w:t>
      </w:r>
      <w:r>
        <w:rPr>
          <w:rtl/>
        </w:rPr>
        <w:tab/>
      </w:r>
      <w:r w:rsidRPr="00BC64DF">
        <w:rPr>
          <w:rFonts w:hint="cs"/>
          <w:rtl/>
        </w:rPr>
        <w:t xml:space="preserve">שמות </w:t>
      </w:r>
      <w:proofErr w:type="spellStart"/>
      <w:r w:rsidRPr="00BC64DF">
        <w:rPr>
          <w:rFonts w:hint="cs"/>
          <w:rtl/>
        </w:rPr>
        <w:t>כא</w:t>
      </w:r>
      <w:proofErr w:type="spellEnd"/>
      <w:r w:rsidRPr="00BC64DF">
        <w:rPr>
          <w:rFonts w:hint="cs"/>
          <w:rtl/>
        </w:rPr>
        <w:t xml:space="preserve">, ט. </w:t>
      </w:r>
    </w:p>
  </w:endnote>
  <w:endnote w:id="2">
    <w:p w:rsidR="005636E5" w:rsidRPr="00BC64DF" w:rsidRDefault="005636E5" w:rsidP="005636E5">
      <w:pPr>
        <w:pStyle w:val="a4"/>
        <w:rPr>
          <w:rFonts w:hint="cs"/>
          <w:rtl/>
        </w:rPr>
      </w:pPr>
      <w:r>
        <w:rPr>
          <w:rtl/>
        </w:rPr>
        <w:tab/>
      </w:r>
      <w:r w:rsidRPr="00E15672">
        <w:rPr>
          <w:rtl/>
        </w:rPr>
        <w:endnoteRef/>
      </w:r>
      <w:r>
        <w:rPr>
          <w:rtl/>
        </w:rPr>
        <w:t>.</w:t>
      </w:r>
      <w:r>
        <w:rPr>
          <w:rtl/>
        </w:rPr>
        <w:tab/>
      </w:r>
      <w:r w:rsidRPr="00BC64DF">
        <w:rPr>
          <w:rFonts w:hint="cs"/>
          <w:rtl/>
        </w:rPr>
        <w:t>שם פסוק י.</w:t>
      </w:r>
    </w:p>
  </w:endnote>
  <w:endnote w:id="3">
    <w:p w:rsidR="005636E5" w:rsidRPr="00BC64DF" w:rsidRDefault="005636E5" w:rsidP="005636E5">
      <w:pPr>
        <w:pStyle w:val="a4"/>
        <w:rPr>
          <w:rFonts w:hint="cs"/>
          <w:rtl/>
        </w:rPr>
      </w:pPr>
      <w:r>
        <w:rPr>
          <w:rtl/>
        </w:rPr>
        <w:tab/>
      </w:r>
      <w:r w:rsidRPr="00E15672">
        <w:rPr>
          <w:rtl/>
        </w:rPr>
        <w:endnoteRef/>
      </w:r>
      <w:r>
        <w:rPr>
          <w:rtl/>
        </w:rPr>
        <w:t>.</w:t>
      </w:r>
      <w:r>
        <w:rPr>
          <w:rtl/>
        </w:rPr>
        <w:tab/>
      </w:r>
      <w:r w:rsidRPr="00BC64DF">
        <w:rPr>
          <w:rFonts w:hint="cs"/>
          <w:rtl/>
        </w:rPr>
        <w:t>בראשית ב, כד.</w:t>
      </w:r>
    </w:p>
  </w:endnote>
  <w:endnote w:id="4">
    <w:p w:rsidR="005636E5" w:rsidRPr="00BC64DF" w:rsidRDefault="005636E5" w:rsidP="005636E5">
      <w:pPr>
        <w:pStyle w:val="a4"/>
        <w:rPr>
          <w:rFonts w:hint="cs"/>
          <w:rtl/>
        </w:rPr>
      </w:pPr>
      <w:r>
        <w:rPr>
          <w:rtl/>
        </w:rPr>
        <w:tab/>
      </w:r>
      <w:r w:rsidRPr="00E15672">
        <w:rPr>
          <w:rtl/>
        </w:rPr>
        <w:endnoteRef/>
      </w:r>
      <w:r>
        <w:rPr>
          <w:rtl/>
        </w:rPr>
        <w:t>.</w:t>
      </w:r>
      <w:r>
        <w:rPr>
          <w:rtl/>
        </w:rPr>
        <w:tab/>
      </w:r>
      <w:r w:rsidRPr="00BC64DF">
        <w:rPr>
          <w:rFonts w:hint="cs"/>
          <w:rtl/>
        </w:rPr>
        <w:t xml:space="preserve">בראשית א, </w:t>
      </w:r>
      <w:proofErr w:type="spellStart"/>
      <w:r w:rsidRPr="00BC64DF">
        <w:rPr>
          <w:rFonts w:hint="cs"/>
          <w:rtl/>
        </w:rPr>
        <w:t>כח</w:t>
      </w:r>
      <w:proofErr w:type="spellEnd"/>
      <w:r w:rsidRPr="00BC64DF">
        <w:rPr>
          <w:rFonts w:hint="cs"/>
          <w:rtl/>
        </w:rPr>
        <w:t>.</w:t>
      </w:r>
    </w:p>
  </w:endnote>
  <w:endnote w:id="5">
    <w:p w:rsidR="005636E5" w:rsidRPr="00BC64DF" w:rsidRDefault="005636E5" w:rsidP="005636E5">
      <w:pPr>
        <w:pStyle w:val="a4"/>
        <w:rPr>
          <w:rFonts w:hint="cs"/>
          <w:rtl/>
        </w:rPr>
      </w:pPr>
      <w:r>
        <w:rPr>
          <w:rtl/>
        </w:rPr>
        <w:tab/>
      </w:r>
      <w:r w:rsidRPr="00E15672">
        <w:rPr>
          <w:rtl/>
        </w:rPr>
        <w:endnoteRef/>
      </w:r>
      <w:r>
        <w:rPr>
          <w:rtl/>
        </w:rPr>
        <w:t>.</w:t>
      </w:r>
      <w:r>
        <w:rPr>
          <w:rtl/>
        </w:rPr>
        <w:tab/>
      </w:r>
      <w:r w:rsidRPr="00BC64DF">
        <w:rPr>
          <w:rFonts w:hint="cs"/>
          <w:rtl/>
        </w:rPr>
        <w:t xml:space="preserve">וראה </w:t>
      </w:r>
      <w:r>
        <w:rPr>
          <w:rFonts w:hint="cs"/>
          <w:rtl/>
        </w:rPr>
        <w:t xml:space="preserve">שכינה ביניהם עמ' </w:t>
      </w:r>
      <w:proofErr w:type="spellStart"/>
      <w:r>
        <w:rPr>
          <w:rFonts w:hint="cs"/>
          <w:rtl/>
        </w:rPr>
        <w:t>יב</w:t>
      </w:r>
      <w:proofErr w:type="spellEnd"/>
      <w:r>
        <w:rPr>
          <w:rFonts w:hint="cs"/>
          <w:rtl/>
        </w:rPr>
        <w:t xml:space="preserve"> (ויין משמח ח"א שער ה בתורה "שלש מצוות הנישואין" </w:t>
      </w:r>
      <w:proofErr w:type="spellStart"/>
      <w:r>
        <w:rPr>
          <w:rFonts w:hint="cs"/>
          <w:rtl/>
        </w:rPr>
        <w:t>ובנסמן</w:t>
      </w:r>
      <w:proofErr w:type="spellEnd"/>
      <w:r>
        <w:rPr>
          <w:rFonts w:hint="cs"/>
          <w:rtl/>
        </w:rPr>
        <w:t xml:space="preserve"> שם)</w:t>
      </w:r>
      <w:r w:rsidRPr="00BC64DF">
        <w:rPr>
          <w:rFonts w:hint="cs"/>
          <w:rtl/>
        </w:rPr>
        <w:t xml:space="preserve"> כי "פרו ורבו" היא התכלית של כל מצוות הנישואין, שהן בגדר 'הכשר מצוה' אליה.</w:t>
      </w:r>
    </w:p>
  </w:endnote>
  <w:endnote w:id="6">
    <w:p w:rsidR="005636E5" w:rsidRPr="00BC64DF" w:rsidRDefault="005636E5" w:rsidP="005636E5">
      <w:pPr>
        <w:pStyle w:val="a4"/>
        <w:rPr>
          <w:rFonts w:hint="cs"/>
          <w:rtl/>
        </w:rPr>
      </w:pPr>
      <w:r>
        <w:rPr>
          <w:rtl/>
        </w:rPr>
        <w:tab/>
      </w:r>
      <w:r w:rsidRPr="00E15672">
        <w:rPr>
          <w:rtl/>
        </w:rPr>
        <w:endnoteRef/>
      </w:r>
      <w:r>
        <w:rPr>
          <w:rtl/>
        </w:rPr>
        <w:t>.</w:t>
      </w:r>
      <w:r>
        <w:rPr>
          <w:rtl/>
        </w:rPr>
        <w:tab/>
      </w:r>
      <w:r>
        <w:rPr>
          <w:rFonts w:hint="cs"/>
          <w:rtl/>
        </w:rPr>
        <w:t>מתוך פיוט "לכה דודי".</w:t>
      </w:r>
    </w:p>
  </w:endnote>
  <w:endnote w:id="7">
    <w:p w:rsidR="005636E5" w:rsidRPr="00BC64DF" w:rsidRDefault="005636E5" w:rsidP="005636E5">
      <w:pPr>
        <w:pStyle w:val="a4"/>
        <w:rPr>
          <w:rFonts w:hint="cs"/>
          <w:rtl/>
        </w:rPr>
      </w:pPr>
      <w:r>
        <w:rPr>
          <w:rtl/>
        </w:rPr>
        <w:tab/>
      </w:r>
      <w:r w:rsidRPr="00E15672">
        <w:rPr>
          <w:rtl/>
        </w:rPr>
        <w:endnoteRef/>
      </w:r>
      <w:r>
        <w:rPr>
          <w:rtl/>
        </w:rPr>
        <w:t>.</w:t>
      </w:r>
      <w:r>
        <w:rPr>
          <w:rtl/>
        </w:rPr>
        <w:tab/>
      </w:r>
      <w:r w:rsidRPr="00BC64DF">
        <w:rPr>
          <w:rFonts w:hint="cs"/>
          <w:rtl/>
        </w:rPr>
        <w:t>כנ"ל בתורה "זיווג במחשבה דבור ומעשה".</w:t>
      </w:r>
    </w:p>
  </w:endnote>
  <w:endnote w:id="8">
    <w:p w:rsidR="005636E5" w:rsidRDefault="005636E5" w:rsidP="005636E5">
      <w:pPr>
        <w:pStyle w:val="a4"/>
        <w:rPr>
          <w:rFonts w:hint="cs"/>
          <w:rtl/>
        </w:rPr>
      </w:pPr>
      <w:r>
        <w:rPr>
          <w:rtl/>
        </w:rPr>
        <w:tab/>
      </w:r>
      <w:r w:rsidRPr="00E15672">
        <w:rPr>
          <w:rtl/>
        </w:rPr>
        <w:endnoteRef/>
      </w:r>
      <w:r>
        <w:rPr>
          <w:rtl/>
        </w:rPr>
        <w:t>.</w:t>
      </w:r>
      <w:r>
        <w:rPr>
          <w:rtl/>
        </w:rPr>
        <w:tab/>
      </w:r>
      <w:r>
        <w:rPr>
          <w:rFonts w:hint="cs"/>
          <w:rtl/>
        </w:rPr>
        <w:t>כמתאים לפירושו הראשון של הרמב"ן ל"שארה".</w:t>
      </w:r>
    </w:p>
  </w:endnote>
  <w:endnote w:id="9">
    <w:p w:rsidR="005636E5" w:rsidRPr="00BC64DF" w:rsidRDefault="005636E5" w:rsidP="005636E5">
      <w:pPr>
        <w:pStyle w:val="a4"/>
        <w:rPr>
          <w:rFonts w:hint="cs"/>
        </w:rPr>
      </w:pPr>
      <w:r>
        <w:rPr>
          <w:rtl/>
        </w:rPr>
        <w:tab/>
      </w:r>
      <w:r w:rsidRPr="00E15672">
        <w:rPr>
          <w:rtl/>
        </w:rPr>
        <w:endnoteRef/>
      </w:r>
      <w:r>
        <w:rPr>
          <w:rtl/>
        </w:rPr>
        <w:t>.</w:t>
      </w:r>
      <w:r>
        <w:rPr>
          <w:rtl/>
        </w:rPr>
        <w:tab/>
      </w:r>
      <w:r w:rsidRPr="00BC64DF">
        <w:rPr>
          <w:rFonts w:hint="cs"/>
          <w:rtl/>
        </w:rPr>
        <w:t>על פי נדרים כ, ב.</w:t>
      </w:r>
    </w:p>
  </w:endnote>
  <w:endnote w:id="10">
    <w:p w:rsidR="005636E5" w:rsidRPr="00BC64DF" w:rsidRDefault="005636E5" w:rsidP="005636E5">
      <w:pPr>
        <w:pStyle w:val="a4"/>
        <w:rPr>
          <w:rFonts w:hint="cs"/>
          <w:rtl/>
        </w:rPr>
      </w:pPr>
      <w:r>
        <w:rPr>
          <w:rtl/>
        </w:rPr>
        <w:tab/>
      </w:r>
      <w:r w:rsidRPr="00E15672">
        <w:rPr>
          <w:rtl/>
        </w:rPr>
        <w:endnoteRef/>
      </w:r>
      <w:r>
        <w:rPr>
          <w:rtl/>
        </w:rPr>
        <w:t>.</w:t>
      </w:r>
      <w:r>
        <w:rPr>
          <w:rtl/>
        </w:rPr>
        <w:tab/>
      </w:r>
      <w:r w:rsidRPr="00BC64DF">
        <w:rPr>
          <w:rFonts w:hint="cs"/>
          <w:rtl/>
        </w:rPr>
        <w:t xml:space="preserve">כנ"ל בתורה "מצוות </w:t>
      </w:r>
      <w:proofErr w:type="spellStart"/>
      <w:r w:rsidRPr="00BC64DF">
        <w:rPr>
          <w:rFonts w:hint="cs"/>
          <w:rtl/>
        </w:rPr>
        <w:t>היחוד</w:t>
      </w:r>
      <w:proofErr w:type="spellEnd"/>
      <w:r w:rsidRPr="00BC64DF">
        <w:rPr>
          <w:rFonts w:hint="cs"/>
          <w:rtl/>
        </w:rPr>
        <w:t>".</w:t>
      </w:r>
    </w:p>
  </w:endnote>
  <w:endnote w:id="11">
    <w:p w:rsidR="005636E5" w:rsidRPr="00BC64DF" w:rsidRDefault="005636E5" w:rsidP="005636E5">
      <w:pPr>
        <w:pStyle w:val="a4"/>
        <w:rPr>
          <w:rFonts w:hint="cs"/>
          <w:rtl/>
        </w:rPr>
      </w:pPr>
      <w:r>
        <w:rPr>
          <w:rtl/>
        </w:rPr>
        <w:tab/>
      </w:r>
      <w:r w:rsidRPr="00E15672">
        <w:rPr>
          <w:rtl/>
        </w:rPr>
        <w:endnoteRef/>
      </w:r>
      <w:r>
        <w:rPr>
          <w:rtl/>
        </w:rPr>
        <w:t>.</w:t>
      </w:r>
      <w:r>
        <w:rPr>
          <w:rtl/>
        </w:rPr>
        <w:tab/>
      </w:r>
      <w:r>
        <w:rPr>
          <w:rFonts w:hint="cs"/>
          <w:rtl/>
        </w:rPr>
        <w:t xml:space="preserve">ראה זהר </w:t>
      </w:r>
      <w:proofErr w:type="spellStart"/>
      <w:r>
        <w:rPr>
          <w:rFonts w:hint="cs"/>
          <w:rtl/>
        </w:rPr>
        <w:t>ח"ב</w:t>
      </w:r>
      <w:proofErr w:type="spellEnd"/>
      <w:r>
        <w:rPr>
          <w:rFonts w:hint="cs"/>
          <w:rtl/>
        </w:rPr>
        <w:t xml:space="preserve"> </w:t>
      </w:r>
      <w:proofErr w:type="spellStart"/>
      <w:r>
        <w:rPr>
          <w:rFonts w:hint="cs"/>
          <w:rtl/>
        </w:rPr>
        <w:t>רטו</w:t>
      </w:r>
      <w:proofErr w:type="spellEnd"/>
      <w:r>
        <w:rPr>
          <w:rFonts w:hint="cs"/>
          <w:rtl/>
        </w:rPr>
        <w:t>, א.</w:t>
      </w:r>
    </w:p>
  </w:endnote>
  <w:endnote w:id="12">
    <w:p w:rsidR="005636E5" w:rsidRPr="00BC64DF" w:rsidRDefault="005636E5" w:rsidP="005636E5">
      <w:pPr>
        <w:pStyle w:val="a4"/>
        <w:rPr>
          <w:rFonts w:hint="cs"/>
          <w:rtl/>
        </w:rPr>
      </w:pPr>
      <w:r>
        <w:rPr>
          <w:rtl/>
        </w:rPr>
        <w:tab/>
      </w:r>
      <w:r w:rsidRPr="00E15672">
        <w:rPr>
          <w:rtl/>
        </w:rPr>
        <w:endnoteRef/>
      </w:r>
      <w:r>
        <w:rPr>
          <w:rtl/>
        </w:rPr>
        <w:t>.</w:t>
      </w:r>
      <w:r>
        <w:rPr>
          <w:rtl/>
        </w:rPr>
        <w:tab/>
      </w:r>
      <w:r w:rsidRPr="00BC64DF">
        <w:rPr>
          <w:rFonts w:hint="cs"/>
          <w:rtl/>
        </w:rPr>
        <w:t xml:space="preserve">וראה </w:t>
      </w:r>
      <w:r>
        <w:rPr>
          <w:rFonts w:hint="cs"/>
          <w:rtl/>
        </w:rPr>
        <w:t>בתנאי השביעי ב</w:t>
      </w:r>
      <w:r w:rsidRPr="00BC64DF">
        <w:rPr>
          <w:rFonts w:hint="cs"/>
          <w:rtl/>
        </w:rPr>
        <w:t xml:space="preserve">כללי החינוך וההדרכה </w:t>
      </w:r>
      <w:r>
        <w:rPr>
          <w:rFonts w:hint="cs"/>
          <w:rtl/>
        </w:rPr>
        <w:t xml:space="preserve">(ונתבאר בסוד הוי' </w:t>
      </w:r>
      <w:proofErr w:type="spellStart"/>
      <w:r>
        <w:rPr>
          <w:rFonts w:hint="cs"/>
          <w:rtl/>
        </w:rPr>
        <w:t>ליראיו</w:t>
      </w:r>
      <w:proofErr w:type="spellEnd"/>
      <w:r>
        <w:rPr>
          <w:rFonts w:hint="cs"/>
          <w:rtl/>
        </w:rPr>
        <w:t xml:space="preserve"> עמ' </w:t>
      </w:r>
      <w:proofErr w:type="spellStart"/>
      <w:r>
        <w:rPr>
          <w:rFonts w:hint="cs"/>
          <w:rtl/>
        </w:rPr>
        <w:t>שכג</w:t>
      </w:r>
      <w:proofErr w:type="spellEnd"/>
      <w:r>
        <w:rPr>
          <w:rFonts w:hint="cs"/>
          <w:rtl/>
        </w:rPr>
        <w:t>-שכד)</w:t>
      </w:r>
      <w:r w:rsidRPr="00BC64DF">
        <w:rPr>
          <w:rFonts w:hint="cs"/>
          <w:rtl/>
        </w:rPr>
        <w:t>.</w:t>
      </w:r>
    </w:p>
  </w:endnote>
  <w:endnote w:id="13">
    <w:p w:rsidR="005636E5" w:rsidRPr="00BC64DF" w:rsidRDefault="005636E5" w:rsidP="005636E5">
      <w:pPr>
        <w:pStyle w:val="a4"/>
        <w:rPr>
          <w:rFonts w:hint="cs"/>
        </w:rPr>
      </w:pPr>
      <w:r>
        <w:rPr>
          <w:rtl/>
        </w:rPr>
        <w:tab/>
      </w:r>
      <w:r w:rsidRPr="00E15672">
        <w:rPr>
          <w:rtl/>
        </w:rPr>
        <w:endnoteRef/>
      </w:r>
      <w:r>
        <w:rPr>
          <w:rtl/>
        </w:rPr>
        <w:t>.</w:t>
      </w:r>
      <w:r>
        <w:rPr>
          <w:rtl/>
        </w:rPr>
        <w:tab/>
      </w:r>
      <w:r w:rsidRPr="00BC64DF">
        <w:rPr>
          <w:rFonts w:hint="cs"/>
          <w:rtl/>
        </w:rPr>
        <w:t xml:space="preserve">ראה </w:t>
      </w:r>
      <w:r>
        <w:rPr>
          <w:rFonts w:hint="cs"/>
          <w:rtl/>
        </w:rPr>
        <w:t xml:space="preserve">בעתה </w:t>
      </w:r>
      <w:proofErr w:type="spellStart"/>
      <w:r>
        <w:rPr>
          <w:rFonts w:hint="cs"/>
          <w:rtl/>
        </w:rPr>
        <w:t>אחישנה</w:t>
      </w:r>
      <w:proofErr w:type="spellEnd"/>
      <w:r>
        <w:rPr>
          <w:rFonts w:hint="cs"/>
          <w:rtl/>
        </w:rPr>
        <w:t xml:space="preserve"> </w:t>
      </w:r>
      <w:proofErr w:type="spellStart"/>
      <w:r>
        <w:rPr>
          <w:rFonts w:hint="cs"/>
          <w:rtl/>
        </w:rPr>
        <w:t>רעז-רעט</w:t>
      </w:r>
      <w:proofErr w:type="spellEnd"/>
      <w:r w:rsidRPr="00BC64DF">
        <w:rPr>
          <w:rFonts w:hint="cs"/>
          <w:rtl/>
        </w:rPr>
        <w:t>.</w:t>
      </w:r>
    </w:p>
  </w:endnote>
  <w:endnote w:id="14">
    <w:p w:rsidR="005636E5" w:rsidRPr="00BC64DF" w:rsidRDefault="005636E5" w:rsidP="005636E5">
      <w:pPr>
        <w:pStyle w:val="a4"/>
        <w:rPr>
          <w:rFonts w:hint="cs"/>
          <w:rtl/>
        </w:rPr>
      </w:pPr>
      <w:r>
        <w:rPr>
          <w:rtl/>
        </w:rPr>
        <w:tab/>
      </w:r>
      <w:r w:rsidRPr="00E15672">
        <w:rPr>
          <w:rtl/>
        </w:rPr>
        <w:endnoteRef/>
      </w:r>
      <w:r>
        <w:rPr>
          <w:rtl/>
        </w:rPr>
        <w:t>.</w:t>
      </w:r>
      <w:r>
        <w:rPr>
          <w:rtl/>
        </w:rPr>
        <w:tab/>
      </w:r>
      <w:r>
        <w:rPr>
          <w:rFonts w:hint="cs"/>
          <w:rtl/>
        </w:rPr>
        <w:t>נדה לא, א.</w:t>
      </w:r>
    </w:p>
  </w:endnote>
  <w:endnote w:id="15">
    <w:p w:rsidR="005636E5" w:rsidRDefault="005636E5" w:rsidP="005636E5">
      <w:pPr>
        <w:pStyle w:val="a4"/>
        <w:rPr>
          <w:rFonts w:hint="cs"/>
          <w:rtl/>
        </w:rPr>
      </w:pPr>
      <w:r>
        <w:rPr>
          <w:rtl/>
        </w:rPr>
        <w:tab/>
      </w:r>
      <w:r w:rsidRPr="00E15672">
        <w:rPr>
          <w:rtl/>
        </w:rPr>
        <w:endnoteRef/>
      </w:r>
      <w:r>
        <w:rPr>
          <w:rtl/>
        </w:rPr>
        <w:t>.</w:t>
      </w:r>
      <w:r>
        <w:rPr>
          <w:rtl/>
        </w:rPr>
        <w:tab/>
      </w:r>
      <w:r>
        <w:rPr>
          <w:rFonts w:hint="cs"/>
          <w:rtl/>
        </w:rPr>
        <w:t>נדה לח, א.</w:t>
      </w:r>
    </w:p>
  </w:endnote>
  <w:endnote w:id="16">
    <w:p w:rsidR="005636E5" w:rsidRPr="00BC64DF" w:rsidRDefault="005636E5" w:rsidP="005636E5">
      <w:pPr>
        <w:pStyle w:val="a4"/>
        <w:rPr>
          <w:rFonts w:hint="cs"/>
        </w:rPr>
      </w:pPr>
      <w:r>
        <w:rPr>
          <w:rtl/>
        </w:rPr>
        <w:tab/>
      </w:r>
      <w:r w:rsidRPr="00E15672">
        <w:rPr>
          <w:rtl/>
        </w:rPr>
        <w:endnoteRef/>
      </w:r>
      <w:r>
        <w:rPr>
          <w:rtl/>
        </w:rPr>
        <w:t>.</w:t>
      </w:r>
      <w:r>
        <w:rPr>
          <w:rtl/>
        </w:rPr>
        <w:tab/>
      </w:r>
      <w:r>
        <w:rPr>
          <w:rFonts w:hint="cs"/>
          <w:rtl/>
        </w:rPr>
        <w:t>בראשית א, ה.</w:t>
      </w:r>
    </w:p>
  </w:endnote>
  <w:endnote w:id="17">
    <w:p w:rsidR="005636E5" w:rsidRPr="00BC64DF" w:rsidRDefault="005636E5" w:rsidP="005636E5">
      <w:pPr>
        <w:pStyle w:val="a4"/>
        <w:rPr>
          <w:rFonts w:hint="cs"/>
        </w:rPr>
      </w:pPr>
      <w:r>
        <w:rPr>
          <w:rtl/>
        </w:rPr>
        <w:tab/>
      </w:r>
      <w:r w:rsidRPr="00E15672">
        <w:rPr>
          <w:rtl/>
        </w:rPr>
        <w:endnoteRef/>
      </w:r>
      <w:r>
        <w:rPr>
          <w:rtl/>
        </w:rPr>
        <w:t>.</w:t>
      </w:r>
      <w:r>
        <w:rPr>
          <w:rtl/>
        </w:rPr>
        <w:tab/>
      </w:r>
      <w:r>
        <w:rPr>
          <w:rFonts w:hint="cs"/>
          <w:rtl/>
        </w:rPr>
        <w:t>שם פסוק ט.</w:t>
      </w:r>
    </w:p>
  </w:endnote>
  <w:endnote w:id="18">
    <w:p w:rsidR="005636E5" w:rsidRPr="00BC64DF" w:rsidRDefault="005636E5" w:rsidP="005636E5">
      <w:pPr>
        <w:pStyle w:val="a4"/>
        <w:rPr>
          <w:rFonts w:hint="cs"/>
        </w:rPr>
      </w:pPr>
      <w:r>
        <w:rPr>
          <w:rtl/>
        </w:rPr>
        <w:tab/>
      </w:r>
      <w:r w:rsidRPr="00E15672">
        <w:rPr>
          <w:rtl/>
        </w:rPr>
        <w:endnoteRef/>
      </w:r>
      <w:r>
        <w:rPr>
          <w:rtl/>
        </w:rPr>
        <w:t>.</w:t>
      </w:r>
      <w:r>
        <w:rPr>
          <w:rtl/>
        </w:rPr>
        <w:tab/>
      </w:r>
      <w:r>
        <w:rPr>
          <w:rFonts w:hint="cs"/>
          <w:rtl/>
        </w:rPr>
        <w:t>שם ב, כד.</w:t>
      </w:r>
    </w:p>
  </w:endnote>
  <w:endnote w:id="19">
    <w:p w:rsidR="005636E5" w:rsidRPr="00BC64DF" w:rsidRDefault="005636E5" w:rsidP="005636E5">
      <w:pPr>
        <w:pStyle w:val="a4"/>
        <w:rPr>
          <w:rFonts w:hint="cs"/>
          <w:rtl/>
        </w:rPr>
      </w:pPr>
      <w:r>
        <w:rPr>
          <w:rtl/>
        </w:rPr>
        <w:tab/>
      </w:r>
      <w:r w:rsidRPr="00E15672">
        <w:rPr>
          <w:rtl/>
        </w:rPr>
        <w:endnoteRef/>
      </w:r>
      <w:r>
        <w:rPr>
          <w:rtl/>
        </w:rPr>
        <w:t>.</w:t>
      </w:r>
      <w:r>
        <w:rPr>
          <w:rtl/>
        </w:rPr>
        <w:tab/>
      </w:r>
      <w:r w:rsidRPr="00BC64DF">
        <w:rPr>
          <w:rFonts w:hint="cs"/>
          <w:rtl/>
        </w:rPr>
        <w:t>וראה לעיל בתורה "והיו לבשר אחד".</w:t>
      </w:r>
    </w:p>
  </w:endnote>
  <w:endnote w:id="20">
    <w:p w:rsidR="005636E5" w:rsidRDefault="005636E5" w:rsidP="005636E5">
      <w:pPr>
        <w:pStyle w:val="a4"/>
        <w:rPr>
          <w:rFonts w:hint="cs"/>
          <w:rtl/>
        </w:rPr>
      </w:pPr>
      <w:r>
        <w:rPr>
          <w:rtl/>
        </w:rPr>
        <w:tab/>
      </w:r>
      <w:r w:rsidRPr="00E15672">
        <w:rPr>
          <w:rtl/>
        </w:rPr>
        <w:endnoteRef/>
      </w:r>
      <w:r>
        <w:rPr>
          <w:rtl/>
        </w:rPr>
        <w:t>.</w:t>
      </w:r>
      <w:r>
        <w:rPr>
          <w:rtl/>
        </w:rPr>
        <w:tab/>
      </w:r>
      <w:r>
        <w:rPr>
          <w:rFonts w:hint="cs"/>
          <w:rtl/>
        </w:rPr>
        <w:t>ראה לדוגמה – נדרים כ, א.</w:t>
      </w:r>
    </w:p>
  </w:endnote>
  <w:endnote w:id="21">
    <w:p w:rsidR="005636E5" w:rsidRPr="00BC64DF" w:rsidRDefault="005636E5" w:rsidP="005636E5">
      <w:pPr>
        <w:pStyle w:val="a4"/>
        <w:rPr>
          <w:rFonts w:hint="cs"/>
          <w:rtl/>
        </w:rPr>
      </w:pPr>
      <w:r>
        <w:rPr>
          <w:rtl/>
        </w:rPr>
        <w:tab/>
      </w:r>
      <w:r w:rsidRPr="00E15672">
        <w:rPr>
          <w:rtl/>
        </w:rPr>
        <w:endnoteRef/>
      </w:r>
      <w:r>
        <w:rPr>
          <w:rtl/>
        </w:rPr>
        <w:t>.</w:t>
      </w:r>
      <w:r>
        <w:rPr>
          <w:rtl/>
        </w:rPr>
        <w:tab/>
      </w:r>
      <w:r w:rsidRPr="00BC64DF">
        <w:rPr>
          <w:rFonts w:hint="cs"/>
          <w:rtl/>
        </w:rPr>
        <w:t xml:space="preserve">ראה </w:t>
      </w:r>
      <w:r>
        <w:rPr>
          <w:rFonts w:hint="cs"/>
          <w:rtl/>
        </w:rPr>
        <w:t xml:space="preserve">בספר </w:t>
      </w:r>
      <w:r>
        <w:t>The Mystery of Marriage</w:t>
      </w:r>
      <w:r>
        <w:rPr>
          <w:rFonts w:hint="cs"/>
          <w:rtl/>
        </w:rPr>
        <w:t xml:space="preserve"> עמ' 325 ואילך</w:t>
      </w:r>
      <w:r w:rsidRPr="00BC64DF">
        <w:rPr>
          <w:rFonts w:hint="cs"/>
          <w:rtl/>
        </w:rPr>
        <w:t>.</w:t>
      </w:r>
    </w:p>
  </w:endnote>
  <w:endnote w:id="22">
    <w:p w:rsidR="005636E5" w:rsidRPr="00BC64DF" w:rsidRDefault="005636E5" w:rsidP="005636E5">
      <w:pPr>
        <w:pStyle w:val="a4"/>
        <w:rPr>
          <w:rFonts w:hint="cs"/>
          <w:rtl/>
        </w:rPr>
      </w:pPr>
      <w:r>
        <w:rPr>
          <w:rtl/>
        </w:rPr>
        <w:tab/>
      </w:r>
      <w:r w:rsidRPr="00E15672">
        <w:rPr>
          <w:rtl/>
        </w:rPr>
        <w:endnoteRef/>
      </w:r>
      <w:r>
        <w:rPr>
          <w:rtl/>
        </w:rPr>
        <w:t>.</w:t>
      </w:r>
      <w:r>
        <w:rPr>
          <w:rtl/>
        </w:rPr>
        <w:tab/>
      </w:r>
      <w:r w:rsidRPr="00BC64DF">
        <w:rPr>
          <w:rFonts w:hint="cs"/>
          <w:rtl/>
        </w:rPr>
        <w:t xml:space="preserve">וראה אבן עזרא לשמות </w:t>
      </w:r>
      <w:proofErr w:type="spellStart"/>
      <w:r w:rsidRPr="00BC64DF">
        <w:rPr>
          <w:rFonts w:hint="cs"/>
          <w:rtl/>
        </w:rPr>
        <w:t>כא</w:t>
      </w:r>
      <w:proofErr w:type="spellEnd"/>
      <w:r w:rsidRPr="00BC64DF">
        <w:rPr>
          <w:rFonts w:hint="cs"/>
          <w:rtl/>
        </w:rPr>
        <w:t>, י (ודוק גם בפירוש דברי הרמב"ן שנתבארו כאן).</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093" w:rsidRDefault="000E0093" w:rsidP="005636E5">
      <w:pPr>
        <w:spacing w:after="0" w:line="240" w:lineRule="auto"/>
      </w:pPr>
      <w:r>
        <w:separator/>
      </w:r>
    </w:p>
  </w:footnote>
  <w:footnote w:type="continuationSeparator" w:id="0">
    <w:p w:rsidR="000E0093" w:rsidRDefault="000E0093" w:rsidP="005636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50E"/>
    <w:rsid w:val="00061E65"/>
    <w:rsid w:val="000E0093"/>
    <w:rsid w:val="005636E5"/>
    <w:rsid w:val="00AC2310"/>
    <w:rsid w:val="00FB25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5636E5"/>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5636E5"/>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5636E5"/>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5636E5"/>
    <w:rPr>
      <w:rFonts w:cs="Miriam"/>
      <w:w w:val="100"/>
      <w:sz w:val="21"/>
      <w:szCs w:val="23"/>
    </w:rPr>
  </w:style>
  <w:style w:type="paragraph" w:styleId="a4">
    <w:name w:val="endnote text"/>
    <w:aliases w:val="Endnote Text"/>
    <w:basedOn w:val="a"/>
    <w:link w:val="a5"/>
    <w:autoRedefine/>
    <w:semiHidden/>
    <w:rsid w:val="005636E5"/>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5636E5"/>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5636E5"/>
    <w:rPr>
      <w:noProof/>
      <w:position w:val="-4"/>
      <w:szCs w:val="27"/>
      <w:vertAlign w:val="superscript"/>
    </w:rPr>
  </w:style>
  <w:style w:type="paragraph" w:customStyle="1" w:styleId="a8">
    <w:name w:val="פתיח תו"/>
    <w:basedOn w:val="a"/>
    <w:link w:val="a9"/>
    <w:rsid w:val="005636E5"/>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5636E5"/>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5636E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5636E5"/>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5636E5"/>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5636E5"/>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5636E5"/>
    <w:rPr>
      <w:rFonts w:cs="Miriam"/>
      <w:w w:val="100"/>
      <w:sz w:val="21"/>
      <w:szCs w:val="23"/>
    </w:rPr>
  </w:style>
  <w:style w:type="paragraph" w:styleId="a4">
    <w:name w:val="endnote text"/>
    <w:aliases w:val="Endnote Text"/>
    <w:basedOn w:val="a"/>
    <w:link w:val="a5"/>
    <w:autoRedefine/>
    <w:semiHidden/>
    <w:rsid w:val="005636E5"/>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5636E5"/>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5636E5"/>
    <w:rPr>
      <w:noProof/>
      <w:position w:val="-4"/>
      <w:szCs w:val="27"/>
      <w:vertAlign w:val="superscript"/>
    </w:rPr>
  </w:style>
  <w:style w:type="paragraph" w:customStyle="1" w:styleId="a8">
    <w:name w:val="פתיח תו"/>
    <w:basedOn w:val="a"/>
    <w:link w:val="a9"/>
    <w:rsid w:val="005636E5"/>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5636E5"/>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5636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90;\&#1513;&#1506;&#1512;%20&#1512;&#1489;&#1497;&#1506;&#1497;%20&#1513;&#1488;&#1512;&#1492;%20&#1499;&#1505;&#1493;&#1514;&#1492;%20&#1493;&#1506;&#1493;&#1504;&#1514;&#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663</Words>
  <Characters>3315</Characters>
  <Application>Microsoft Office Word</Application>
  <DocSecurity>0</DocSecurity>
  <Lines>27</Lines>
  <Paragraphs>7</Paragraphs>
  <ScaleCrop>false</ScaleCrop>
  <Company/>
  <LinksUpToDate>false</LinksUpToDate>
  <CharactersWithSpaces>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2017-08-14T22:44:00Z</dcterms:created>
  <dcterms:modified xsi:type="dcterms:W3CDTF">2017-08-14T22:44:00Z</dcterms:modified>
</cp:coreProperties>
</file>