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7D" w:rsidRPr="00DE7874" w:rsidRDefault="00252A7D" w:rsidP="00252A7D">
      <w:pPr>
        <w:pStyle w:val="2"/>
        <w:rPr>
          <w:rFonts w:hint="cs"/>
          <w:rtl/>
        </w:rPr>
      </w:pPr>
      <w:bookmarkStart w:id="0" w:name="_Toc145068688"/>
      <w:bookmarkStart w:id="1" w:name="_Ref145069161"/>
      <w:r w:rsidRPr="00DE7874">
        <w:rPr>
          <w:rFonts w:hint="cs"/>
          <w:rtl/>
        </w:rPr>
        <w:t>"עצם מעצמי ובשר מבשרי"</w:t>
      </w:r>
      <w:bookmarkEnd w:id="0"/>
      <w:bookmarkEnd w:id="1"/>
    </w:p>
    <w:p w:rsidR="00252A7D" w:rsidRPr="00115A08" w:rsidRDefault="00252A7D" w:rsidP="00252A7D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115A08">
        <w:rPr>
          <w:rStyle w:val="a9"/>
          <w:rFonts w:hint="cs"/>
          <w:rtl/>
        </w:rPr>
        <w:t>ע</w:t>
      </w:r>
    </w:p>
    <w:p w:rsidR="00252A7D" w:rsidRDefault="00252A7D" w:rsidP="00252A7D">
      <w:pPr>
        <w:rPr>
          <w:rFonts w:hint="cs"/>
          <w:rtl/>
        </w:rPr>
      </w:pPr>
      <w:r>
        <w:rPr>
          <w:rFonts w:hint="cs"/>
          <w:rtl/>
        </w:rPr>
        <w:t>ל הפסוק "שארה… לא יגרע"</w:t>
      </w:r>
      <w:r w:rsidRPr="005316B5">
        <w:rPr>
          <w:rStyle w:val="a6"/>
          <w:rtl/>
        </w:rPr>
        <w:endnoteReference w:id="1"/>
      </w:r>
      <w:r>
        <w:rPr>
          <w:rFonts w:hint="cs"/>
          <w:rtl/>
        </w:rPr>
        <w:t xml:space="preserve"> דרשו חז"ל כי "זו קרוב בשר"</w:t>
      </w:r>
      <w:r w:rsidRPr="005316B5">
        <w:rPr>
          <w:rStyle w:val="a6"/>
          <w:rtl/>
        </w:rPr>
        <w:endnoteReference w:id="2"/>
      </w:r>
      <w:r>
        <w:rPr>
          <w:rFonts w:hint="cs"/>
          <w:rtl/>
        </w:rPr>
        <w:t>, והרמב"ן</w:t>
      </w:r>
      <w:r w:rsidRPr="005316B5">
        <w:rPr>
          <w:rStyle w:val="a6"/>
          <w:rtl/>
        </w:rPr>
        <w:endnoteReference w:id="3"/>
      </w:r>
      <w:r>
        <w:rPr>
          <w:rFonts w:hint="cs"/>
          <w:rtl/>
        </w:rPr>
        <w:t xml:space="preserve"> הרחיב </w:t>
      </w:r>
      <w:proofErr w:type="spellStart"/>
      <w:r>
        <w:rPr>
          <w:rFonts w:hint="cs"/>
          <w:rtl/>
        </w:rPr>
        <w:t>בענין</w:t>
      </w:r>
      <w:proofErr w:type="spellEnd"/>
      <w:r>
        <w:rPr>
          <w:rFonts w:hint="cs"/>
          <w:rtl/>
        </w:rPr>
        <w:t xml:space="preserve"> זה וביאר (בפירושו השני) כי פירוש </w:t>
      </w:r>
      <w:proofErr w:type="spellStart"/>
      <w:r>
        <w:rPr>
          <w:rFonts w:hint="cs"/>
          <w:rtl/>
        </w:rPr>
        <w:t>המצוה</w:t>
      </w:r>
      <w:proofErr w:type="spellEnd"/>
      <w:r>
        <w:rPr>
          <w:rFonts w:hint="cs"/>
          <w:rtl/>
        </w:rPr>
        <w:t xml:space="preserve"> הוא "שלא ימנע ממנו בשרה, כלומר הבשר הראוי לה, והוא בשר הבעל אשר הוא עמה לבשר אחד". לפי זה, בשרו של האיש מכונה בפסוק "בשרהּ" </w:t>
      </w:r>
      <w:r>
        <w:rPr>
          <w:rtl/>
        </w:rPr>
        <w:t>–</w:t>
      </w:r>
      <w:r>
        <w:rPr>
          <w:rFonts w:hint="cs"/>
          <w:rtl/>
        </w:rPr>
        <w:t xml:space="preserve"> הבשר הראוי והשייך לאשה </w:t>
      </w:r>
      <w:r>
        <w:rPr>
          <w:rtl/>
        </w:rPr>
        <w:t>–</w:t>
      </w:r>
      <w:r>
        <w:rPr>
          <w:rFonts w:hint="cs"/>
          <w:rtl/>
        </w:rPr>
        <w:t xml:space="preserve"> ובכל זיווג יש ממד של 'השבת </w:t>
      </w:r>
      <w:proofErr w:type="spellStart"/>
      <w:r>
        <w:rPr>
          <w:rFonts w:hint="cs"/>
          <w:rtl/>
        </w:rPr>
        <w:t>אבידה</w:t>
      </w:r>
      <w:proofErr w:type="spellEnd"/>
      <w:r>
        <w:rPr>
          <w:rFonts w:hint="cs"/>
          <w:rtl/>
        </w:rPr>
        <w:t xml:space="preserve">', כאשר האיש מעניק-מחזיר לאשה את בשרהּ שלה. מדוע בשרו של האיש הוא "שארהּ"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>?</w:t>
      </w:r>
    </w:p>
    <w:p w:rsidR="00252A7D" w:rsidRDefault="00252A7D" w:rsidP="00252A7D">
      <w:pPr>
        <w:rPr>
          <w:rFonts w:hint="cs"/>
          <w:rtl/>
        </w:rPr>
      </w:pPr>
      <w:r>
        <w:rPr>
          <w:rFonts w:hint="cs"/>
          <w:rtl/>
        </w:rPr>
        <w:t xml:space="preserve">אדם הראשון אמר על חוה </w:t>
      </w:r>
      <w:r>
        <w:rPr>
          <w:rtl/>
        </w:rPr>
        <w:t>–</w:t>
      </w:r>
      <w:r>
        <w:rPr>
          <w:rFonts w:hint="cs"/>
          <w:rtl/>
        </w:rPr>
        <w:t xml:space="preserve"> וכך כל איש מזהה ביחס לאשתו </w:t>
      </w:r>
      <w:r>
        <w:rPr>
          <w:rtl/>
        </w:rPr>
        <w:t>–</w:t>
      </w:r>
      <w:r>
        <w:rPr>
          <w:rFonts w:hint="cs"/>
          <w:rtl/>
        </w:rPr>
        <w:t xml:space="preserve"> "זאת הפעם עצם מעצמי ובשר מבשרי"</w:t>
      </w:r>
      <w:r w:rsidRPr="005316B5">
        <w:rPr>
          <w:rStyle w:val="a6"/>
          <w:rtl/>
        </w:rPr>
        <w:endnoteReference w:id="4"/>
      </w:r>
      <w:r>
        <w:rPr>
          <w:rFonts w:hint="cs"/>
          <w:rtl/>
        </w:rPr>
        <w:t xml:space="preserve"> (ומוסיפה התורה ש"על כן [בשל היות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עצם מעצמיו ובשר מבשרו] </w:t>
      </w:r>
      <w:proofErr w:type="spellStart"/>
      <w:r>
        <w:rPr>
          <w:rFonts w:hint="cs"/>
          <w:rtl/>
        </w:rPr>
        <w:t>יעזב</w:t>
      </w:r>
      <w:proofErr w:type="spellEnd"/>
      <w:r>
        <w:rPr>
          <w:rFonts w:hint="cs"/>
          <w:rtl/>
        </w:rPr>
        <w:t xml:space="preserve"> איש את אביו ואת אמו ודבק באשתו והיו לבשר אחד"</w:t>
      </w:r>
      <w:r w:rsidRPr="005316B5">
        <w:rPr>
          <w:rStyle w:val="a6"/>
          <w:rtl/>
        </w:rPr>
        <w:endnoteReference w:id="5"/>
      </w:r>
      <w:r>
        <w:rPr>
          <w:rFonts w:hint="cs"/>
          <w:rtl/>
        </w:rPr>
        <w:t xml:space="preserve">). אם כן, גם באיש וגם באשה יש חלקי עצם ובשר המשלימים אלו את אלו </w:t>
      </w:r>
      <w:r>
        <w:rPr>
          <w:rtl/>
        </w:rPr>
        <w:t>–</w:t>
      </w:r>
      <w:r>
        <w:rPr>
          <w:rFonts w:hint="cs"/>
          <w:rtl/>
        </w:rPr>
        <w:t xml:space="preserve"> חלק "מעצמי" ו"מבשרי" של האיש נמצא אצל אשתו. אמנם, בפרטות יש לומר כי עיקרו של האיש הוא בחינת ה"עצם"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ועיקר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היא בחינת ה"בשר" (שעל כן </w:t>
      </w:r>
      <w:proofErr w:type="spellStart"/>
      <w:r>
        <w:rPr>
          <w:rFonts w:hint="cs"/>
          <w:rtl/>
        </w:rPr>
        <w:t>בולד</w:t>
      </w:r>
      <w:proofErr w:type="spellEnd"/>
      <w:r>
        <w:rPr>
          <w:rFonts w:hint="cs"/>
          <w:rtl/>
        </w:rPr>
        <w:t xml:space="preserve"> המשותף האב הוא הנותן את ה"לובן שבו", שממנו העצמות, והאם היא הנותנת את ה"אודם שבו", שממנו הבשר</w:t>
      </w:r>
      <w:r w:rsidRPr="005316B5">
        <w:rPr>
          <w:rStyle w:val="a6"/>
          <w:rtl/>
        </w:rPr>
        <w:endnoteReference w:id="6"/>
      </w:r>
      <w:r>
        <w:rPr>
          <w:rFonts w:hint="cs"/>
          <w:rtl/>
        </w:rPr>
        <w:t xml:space="preserve">). לפי זה, בשרו של האיש שייך בעצם לאשה, שהיא בחינת "בשר" בכללות (וממילא עצמותיה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שייכות בעצם לאיש, שהוא בחינת "עצם" בכללות).</w:t>
      </w:r>
    </w:p>
    <w:p w:rsidR="00252A7D" w:rsidRDefault="00252A7D" w:rsidP="00252A7D">
      <w:pPr>
        <w:rPr>
          <w:rFonts w:hint="cs"/>
          <w:rtl/>
        </w:rPr>
      </w:pPr>
      <w:r>
        <w:rPr>
          <w:rFonts w:hint="cs"/>
          <w:rtl/>
        </w:rPr>
        <w:t xml:space="preserve">מיסודות תורת </w:t>
      </w:r>
      <w:proofErr w:type="spellStart"/>
      <w:r>
        <w:rPr>
          <w:rFonts w:hint="cs"/>
          <w:rtl/>
        </w:rPr>
        <w:t>הרש"ש</w:t>
      </w:r>
      <w:proofErr w:type="spellEnd"/>
      <w:r>
        <w:rPr>
          <w:rFonts w:hint="cs"/>
          <w:rtl/>
        </w:rPr>
        <w:t xml:space="preserve"> כי בכל מקום בו יש </w:t>
      </w:r>
      <w:proofErr w:type="spellStart"/>
      <w:r>
        <w:rPr>
          <w:rFonts w:hint="cs"/>
          <w:rtl/>
        </w:rPr>
        <w:t>התכללות</w:t>
      </w:r>
      <w:proofErr w:type="spellEnd"/>
      <w:r>
        <w:rPr>
          <w:rFonts w:hint="cs"/>
          <w:rtl/>
        </w:rPr>
        <w:t xml:space="preserve"> בין שנים </w:t>
      </w:r>
      <w:r>
        <w:rPr>
          <w:rtl/>
        </w:rPr>
        <w:t>–</w:t>
      </w:r>
      <w:r>
        <w:rPr>
          <w:rFonts w:hint="cs"/>
          <w:rtl/>
        </w:rPr>
        <w:t xml:space="preserve"> כאשר כל אחד כולל בחינה מזולתו (כדוגמת איש ואשה, המורכבים מ"איש שבאיש", "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שבאיש", "איש שבאשה" ו"אשה שבאשה") </w:t>
      </w:r>
      <w:r>
        <w:rPr>
          <w:rtl/>
        </w:rPr>
        <w:t>–</w:t>
      </w:r>
      <w:r>
        <w:rPr>
          <w:rFonts w:hint="cs"/>
          <w:rtl/>
        </w:rPr>
        <w:t xml:space="preserve"> התיקון השלם הוא כאשר הם 'מחליפים' את הניצוצות שבהם וכל אחד מקבץ את הניצוצות השייכים לו</w:t>
      </w:r>
      <w:r w:rsidRPr="005316B5">
        <w:rPr>
          <w:rStyle w:val="a6"/>
          <w:rtl/>
        </w:rPr>
        <w:endnoteReference w:id="7"/>
      </w:r>
      <w:r>
        <w:rPr>
          <w:rFonts w:hint="cs"/>
          <w:rtl/>
        </w:rPr>
        <w:t xml:space="preserve"> (כאשר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נותנת לאיש את ה"איש שבאשה" והוא נותן לה את ה"אשה שבאיש"). בדרך זו, שלמות התיקון של האיש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Fonts w:hint="cs"/>
          <w:rtl/>
        </w:rPr>
        <w:t xml:space="preserve"> הוא כאשר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נותנת את ה"עצם" שבה לאיש, ואילו הוא נותן את ה"בשר" שבו לאשה. דבר זה מתחולל בזיווג, בו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נותנת את </w:t>
      </w:r>
      <w:r w:rsidRPr="00E84990">
        <w:rPr>
          <w:rStyle w:val="a3"/>
          <w:rFonts w:hint="cs"/>
          <w:rtl/>
        </w:rPr>
        <w:t>עצמה</w:t>
      </w:r>
      <w:r>
        <w:rPr>
          <w:rFonts w:hint="cs"/>
          <w:rtl/>
        </w:rPr>
        <w:t xml:space="preserve"> לאיש בהתמסרות מלאה, ובכך מחזירה לו את ה"</w:t>
      </w:r>
      <w:r w:rsidRPr="00E84990">
        <w:rPr>
          <w:rStyle w:val="a3"/>
          <w:rFonts w:hint="cs"/>
          <w:rtl/>
        </w:rPr>
        <w:t>עצם</w:t>
      </w:r>
      <w:r>
        <w:rPr>
          <w:rFonts w:hint="cs"/>
          <w:rtl/>
        </w:rPr>
        <w:t xml:space="preserve"> </w:t>
      </w:r>
      <w:r w:rsidRPr="00E84990">
        <w:rPr>
          <w:rStyle w:val="a3"/>
          <w:rFonts w:hint="cs"/>
          <w:rtl/>
        </w:rPr>
        <w:t>מעצמי</w:t>
      </w:r>
      <w:r>
        <w:rPr>
          <w:rFonts w:hint="cs"/>
          <w:rtl/>
        </w:rPr>
        <w:t xml:space="preserve">" שנמצא בה, ובתגובה להתמסרות זו מצווה האיש להתמסר לאשתו ולתת לה את כל בשרו (שהוא בעצם שארהּ-בשרהּ), לבל תהיה רק בבחינה החלקית של "בשר </w:t>
      </w:r>
      <w:r w:rsidRPr="00E84990">
        <w:rPr>
          <w:rStyle w:val="a3"/>
          <w:rFonts w:hint="cs"/>
          <w:rtl/>
        </w:rPr>
        <w:t>מ</w:t>
      </w:r>
      <w:r>
        <w:rPr>
          <w:rFonts w:hint="cs"/>
          <w:rtl/>
        </w:rPr>
        <w:t xml:space="preserve">בשרי", אלא תכלול את כל בשרו בשלמות של "בשר </w:t>
      </w:r>
      <w:r w:rsidRPr="00B02D0F">
        <w:rPr>
          <w:rFonts w:hint="cs"/>
          <w:rtl/>
        </w:rPr>
        <w:t xml:space="preserve">אחד" (וכאשר </w:t>
      </w:r>
      <w:proofErr w:type="spellStart"/>
      <w:r w:rsidRPr="00B02D0F">
        <w:rPr>
          <w:rFonts w:hint="cs"/>
          <w:rtl/>
        </w:rPr>
        <w:t>האשה</w:t>
      </w:r>
      <w:proofErr w:type="spellEnd"/>
      <w:r w:rsidRPr="00B02D0F">
        <w:rPr>
          <w:rFonts w:hint="cs"/>
          <w:rtl/>
        </w:rPr>
        <w:t xml:space="preserve"> כוללת את כל בשרו של האיש הוא יכול לומר לה בשלמות</w:t>
      </w:r>
      <w:r>
        <w:rPr>
          <w:rFonts w:hint="cs"/>
          <w:rtl/>
        </w:rPr>
        <w:t>:</w:t>
      </w:r>
      <w:r w:rsidRPr="00B02D0F">
        <w:rPr>
          <w:rFonts w:hint="cs"/>
          <w:rtl/>
        </w:rPr>
        <w:t xml:space="preserve"> </w:t>
      </w:r>
      <w:r w:rsidRPr="00B02D0F">
        <w:rPr>
          <w:rFonts w:hint="cs"/>
          <w:b/>
          <w:bCs/>
          <w:sz w:val="28"/>
          <w:szCs w:val="28"/>
          <w:rtl/>
        </w:rPr>
        <w:t>את</w:t>
      </w:r>
      <w:r w:rsidRPr="00B02D0F">
        <w:rPr>
          <w:rFonts w:hint="cs"/>
          <w:rtl/>
        </w:rPr>
        <w:t xml:space="preserve"> </w:t>
      </w:r>
      <w:r w:rsidRPr="00B02D0F">
        <w:rPr>
          <w:rFonts w:hint="cs"/>
          <w:b/>
          <w:bCs/>
          <w:sz w:val="28"/>
          <w:szCs w:val="28"/>
          <w:rtl/>
        </w:rPr>
        <w:t>בשרי</w:t>
      </w:r>
      <w:r w:rsidRPr="00B02D0F">
        <w:rPr>
          <w:rFonts w:hint="cs"/>
          <w:rtl/>
        </w:rPr>
        <w:t xml:space="preserve"> – אותיות "</w:t>
      </w:r>
      <w:r w:rsidRPr="00B02D0F">
        <w:rPr>
          <w:rFonts w:hint="cs"/>
          <w:b/>
          <w:bCs/>
          <w:sz w:val="28"/>
          <w:szCs w:val="28"/>
          <w:rtl/>
        </w:rPr>
        <w:t>בראשית</w:t>
      </w:r>
      <w:r w:rsidRPr="00B02D0F">
        <w:rPr>
          <w:rFonts w:hint="cs"/>
          <w:rtl/>
        </w:rPr>
        <w:t>"</w:t>
      </w:r>
      <w:r w:rsidRPr="005316B5">
        <w:rPr>
          <w:rStyle w:val="a6"/>
          <w:rtl/>
        </w:rPr>
        <w:endnoteReference w:id="8"/>
      </w:r>
      <w:r w:rsidRPr="00B02D0F">
        <w:rPr>
          <w:rFonts w:hint="cs"/>
          <w:rtl/>
        </w:rPr>
        <w:t>). בדרך</w:t>
      </w:r>
      <w:r>
        <w:rPr>
          <w:rFonts w:hint="cs"/>
          <w:rtl/>
        </w:rPr>
        <w:t xml:space="preserve"> זו האיש נעשה </w:t>
      </w:r>
      <w:r w:rsidRPr="007540D5">
        <w:rPr>
          <w:rFonts w:hint="cs"/>
          <w:b/>
          <w:bCs/>
          <w:sz w:val="28"/>
          <w:szCs w:val="28"/>
          <w:rtl/>
        </w:rPr>
        <w:t>עצם</w:t>
      </w:r>
      <w:r>
        <w:rPr>
          <w:rFonts w:hint="cs"/>
          <w:rtl/>
        </w:rPr>
        <w:t xml:space="preserve"> בשלמות </w:t>
      </w:r>
      <w:proofErr w:type="spellStart"/>
      <w:r>
        <w:rPr>
          <w:rFonts w:hint="cs"/>
          <w:rtl/>
        </w:rPr>
        <w:t>והאשה</w:t>
      </w:r>
      <w:proofErr w:type="spellEnd"/>
      <w:r>
        <w:rPr>
          <w:rFonts w:hint="cs"/>
          <w:rtl/>
        </w:rPr>
        <w:t xml:space="preserve"> נעשית </w:t>
      </w:r>
      <w:r w:rsidRPr="007540D5">
        <w:rPr>
          <w:rFonts w:hint="cs"/>
          <w:b/>
          <w:bCs/>
          <w:sz w:val="28"/>
          <w:szCs w:val="28"/>
          <w:rtl/>
        </w:rPr>
        <w:t>בשר</w:t>
      </w:r>
      <w:r>
        <w:rPr>
          <w:rFonts w:hint="cs"/>
          <w:rtl/>
        </w:rPr>
        <w:t xml:space="preserve"> בשלמות, וזיווגם הוא בחינת </w:t>
      </w:r>
      <w:r w:rsidRPr="007540D5">
        <w:rPr>
          <w:rFonts w:hint="cs"/>
          <w:b/>
          <w:bCs/>
          <w:sz w:val="28"/>
          <w:szCs w:val="28"/>
          <w:rtl/>
        </w:rPr>
        <w:t>שבת</w:t>
      </w:r>
      <w:r>
        <w:rPr>
          <w:rFonts w:hint="cs"/>
          <w:rtl/>
        </w:rPr>
        <w:t xml:space="preserve"> קדש</w:t>
      </w:r>
      <w:r w:rsidRPr="005316B5">
        <w:rPr>
          <w:rStyle w:val="a6"/>
          <w:rtl/>
        </w:rPr>
        <w:endnoteReference w:id="9"/>
      </w:r>
      <w:r>
        <w:rPr>
          <w:rFonts w:hint="cs"/>
          <w:rtl/>
        </w:rPr>
        <w:t xml:space="preserve"> (יום הזיווג השלם</w:t>
      </w:r>
      <w:r w:rsidRPr="005316B5">
        <w:rPr>
          <w:rStyle w:val="a6"/>
          <w:rtl/>
        </w:rPr>
        <w:endnoteReference w:id="10"/>
      </w:r>
      <w:r>
        <w:rPr>
          <w:rFonts w:hint="cs"/>
          <w:rtl/>
        </w:rPr>
        <w:t>).</w:t>
      </w:r>
    </w:p>
    <w:p w:rsidR="00252A7D" w:rsidRDefault="00252A7D" w:rsidP="00252A7D">
      <w:pPr>
        <w:rPr>
          <w:rFonts w:hint="cs"/>
          <w:rtl/>
        </w:rPr>
      </w:pPr>
      <w:r>
        <w:rPr>
          <w:rFonts w:hint="cs"/>
          <w:rtl/>
        </w:rPr>
        <w:t xml:space="preserve">בפרט "בשר הבעל" שהוא "בשרו הראוי לה" היינו אבר הברית, שהרי המילה מכונה </w:t>
      </w:r>
      <w:proofErr w:type="spellStart"/>
      <w:r>
        <w:rPr>
          <w:rFonts w:hint="cs"/>
          <w:rtl/>
        </w:rPr>
        <w:t>בכ"מ</w:t>
      </w:r>
      <w:proofErr w:type="spellEnd"/>
      <w:r>
        <w:rPr>
          <w:rFonts w:hint="cs"/>
          <w:rtl/>
        </w:rPr>
        <w:t xml:space="preserve"> "ברית בשר"</w:t>
      </w:r>
      <w:r w:rsidRPr="005316B5">
        <w:rPr>
          <w:rStyle w:val="a6"/>
          <w:rtl/>
        </w:rPr>
        <w:endnoteReference w:id="11"/>
      </w:r>
      <w:r>
        <w:rPr>
          <w:rFonts w:hint="cs"/>
          <w:rtl/>
        </w:rPr>
        <w:t xml:space="preserve"> (משום שאבר הברית עצמו, נטול העצם, מכונה בתנ"ך "בשר"</w:t>
      </w:r>
      <w:r w:rsidRPr="005316B5">
        <w:rPr>
          <w:rStyle w:val="a6"/>
          <w:rtl/>
        </w:rPr>
        <w:endnoteReference w:id="12"/>
      </w:r>
      <w:r>
        <w:rPr>
          <w:rFonts w:hint="cs"/>
          <w:rtl/>
        </w:rPr>
        <w:t>). כאשר זוכים לתיקון ברית הבשר כדבעי זוכים לכך שב</w:t>
      </w:r>
      <w:r w:rsidRPr="002C3F74">
        <w:rPr>
          <w:rFonts w:hint="cs"/>
          <w:b/>
          <w:bCs/>
          <w:sz w:val="28"/>
          <w:szCs w:val="28"/>
          <w:rtl/>
        </w:rPr>
        <w:t>בשר</w:t>
      </w:r>
      <w:r>
        <w:rPr>
          <w:rFonts w:hint="cs"/>
          <w:rtl/>
        </w:rPr>
        <w:t xml:space="preserve"> עצמו יתגלה </w:t>
      </w:r>
      <w:r>
        <w:rPr>
          <w:rtl/>
        </w:rPr>
        <w:t>–</w:t>
      </w:r>
      <w:r>
        <w:rPr>
          <w:rFonts w:hint="cs"/>
          <w:rtl/>
        </w:rPr>
        <w:t xml:space="preserve"> בעת קרוב הבשר </w:t>
      </w:r>
      <w:r>
        <w:rPr>
          <w:rtl/>
        </w:rPr>
        <w:t>–</w:t>
      </w:r>
      <w:r>
        <w:rPr>
          <w:rFonts w:hint="cs"/>
          <w:rtl/>
        </w:rPr>
        <w:t xml:space="preserve"> כי "</w:t>
      </w:r>
      <w:r w:rsidRPr="00DF7067">
        <w:rPr>
          <w:rFonts w:hint="cs"/>
          <w:b/>
          <w:bCs/>
          <w:sz w:val="28"/>
          <w:szCs w:val="28"/>
          <w:rtl/>
        </w:rPr>
        <w:t>שכינה</w:t>
      </w:r>
      <w:r>
        <w:rPr>
          <w:rFonts w:hint="cs"/>
          <w:rtl/>
        </w:rPr>
        <w:t xml:space="preserve"> </w:t>
      </w:r>
      <w:r w:rsidRPr="00DF7067">
        <w:rPr>
          <w:rFonts w:hint="cs"/>
          <w:b/>
          <w:bCs/>
          <w:sz w:val="28"/>
          <w:szCs w:val="28"/>
          <w:rtl/>
        </w:rPr>
        <w:t>ביניהם</w:t>
      </w:r>
      <w:r>
        <w:rPr>
          <w:rFonts w:hint="cs"/>
          <w:rtl/>
        </w:rPr>
        <w:t>"</w:t>
      </w:r>
      <w:r w:rsidRPr="005316B5">
        <w:rPr>
          <w:rStyle w:val="a6"/>
          <w:rtl/>
        </w:rPr>
        <w:endnoteReference w:id="13"/>
      </w:r>
      <w:r>
        <w:rPr>
          <w:rFonts w:hint="cs"/>
          <w:rtl/>
        </w:rPr>
        <w:t xml:space="preserve">. </w:t>
      </w:r>
      <w:r>
        <w:rPr>
          <w:rFonts w:hint="cs"/>
          <w:rtl/>
        </w:rPr>
        <w:lastRenderedPageBreak/>
        <w:t xml:space="preserve">אז מאיר בקיום מצות "שארה… </w:t>
      </w:r>
      <w:r w:rsidRPr="00B5426B">
        <w:rPr>
          <w:rFonts w:hint="cs"/>
          <w:b/>
          <w:bCs/>
          <w:sz w:val="28"/>
          <w:szCs w:val="28"/>
          <w:rtl/>
        </w:rPr>
        <w:t>לא</w:t>
      </w:r>
      <w:r>
        <w:rPr>
          <w:rFonts w:hint="cs"/>
          <w:rtl/>
        </w:rPr>
        <w:t xml:space="preserve"> </w:t>
      </w:r>
      <w:r w:rsidRPr="00B5426B">
        <w:rPr>
          <w:rFonts w:hint="cs"/>
          <w:b/>
          <w:bCs/>
          <w:sz w:val="28"/>
          <w:szCs w:val="28"/>
          <w:rtl/>
        </w:rPr>
        <w:t>יגרע</w:t>
      </w:r>
      <w:r>
        <w:rPr>
          <w:rFonts w:hint="cs"/>
          <w:rtl/>
        </w:rPr>
        <w:t xml:space="preserve">" השם הקדוש </w:t>
      </w:r>
      <w:r w:rsidRPr="00B5426B">
        <w:rPr>
          <w:rFonts w:hint="cs"/>
          <w:b/>
          <w:bCs/>
          <w:sz w:val="28"/>
          <w:szCs w:val="28"/>
          <w:rtl/>
        </w:rPr>
        <w:t>שדי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הברית (שאחד מפירושיו הוא "שדי </w:t>
      </w:r>
      <w:proofErr w:type="spellStart"/>
      <w:r>
        <w:rPr>
          <w:rFonts w:hint="cs"/>
          <w:rtl/>
        </w:rPr>
        <w:t>באלקותו</w:t>
      </w:r>
      <w:proofErr w:type="spellEnd"/>
      <w:r>
        <w:rPr>
          <w:rFonts w:hint="cs"/>
          <w:rtl/>
        </w:rPr>
        <w:t xml:space="preserve"> לכל בריה"</w:t>
      </w:r>
      <w:r w:rsidRPr="005316B5">
        <w:rPr>
          <w:rStyle w:val="a6"/>
          <w:rtl/>
        </w:rPr>
        <w:endnoteReference w:id="14"/>
      </w:r>
      <w:r>
        <w:rPr>
          <w:rFonts w:hint="cs"/>
          <w:rtl/>
        </w:rPr>
        <w:t xml:space="preserve">, היינו שהוא הקוצב לכל חי את הראוי לו ללא גרעון). </w:t>
      </w:r>
    </w:p>
    <w:p w:rsidR="00252A7D" w:rsidRDefault="00252A7D" w:rsidP="00252A7D">
      <w:pPr>
        <w:rPr>
          <w:rFonts w:hint="cs"/>
          <w:rtl/>
        </w:rPr>
      </w:pPr>
      <w:r>
        <w:rPr>
          <w:rFonts w:hint="cs"/>
          <w:rtl/>
        </w:rPr>
        <w:t xml:space="preserve">אכן, מצות קרוב הבשר </w:t>
      </w:r>
      <w:r>
        <w:rPr>
          <w:rtl/>
        </w:rPr>
        <w:t>–</w:t>
      </w:r>
      <w:r>
        <w:rPr>
          <w:rFonts w:hint="cs"/>
          <w:rtl/>
        </w:rPr>
        <w:t xml:space="preserve"> שמעבר לעצם הזיווג </w:t>
      </w:r>
      <w:r>
        <w:rPr>
          <w:rtl/>
        </w:rPr>
        <w:t>–</w:t>
      </w:r>
      <w:r>
        <w:rPr>
          <w:rFonts w:hint="cs"/>
          <w:rtl/>
        </w:rPr>
        <w:t xml:space="preserve"> מלמדת כי לא די בבשר הברית לבדו, ותיקון ה"ברית בשר" תלויה בתיקון הבשר כולו, החל מתיקון ה"לב בשר"</w:t>
      </w:r>
      <w:r w:rsidRPr="005316B5">
        <w:rPr>
          <w:rStyle w:val="a6"/>
          <w:rtl/>
        </w:rPr>
        <w:endnoteReference w:id="15"/>
      </w:r>
      <w:r>
        <w:rPr>
          <w:rFonts w:hint="cs"/>
          <w:rtl/>
        </w:rPr>
        <w:t xml:space="preserve"> של האדם (וחז"ל</w:t>
      </w:r>
      <w:r w:rsidRPr="005316B5">
        <w:rPr>
          <w:rStyle w:val="a6"/>
          <w:rtl/>
        </w:rPr>
        <w:endnoteReference w:id="16"/>
      </w:r>
      <w:r>
        <w:rPr>
          <w:rFonts w:hint="cs"/>
          <w:rtl/>
        </w:rPr>
        <w:t xml:space="preserve"> אף מפרשים כי בנוסף ל"עצם מצלעותיו" שלקח ה' </w:t>
      </w:r>
      <w:r w:rsidRPr="00B02D0F">
        <w:rPr>
          <w:rFonts w:hint="cs"/>
          <w:rtl/>
        </w:rPr>
        <w:t xml:space="preserve">מהאדם לבריאת </w:t>
      </w:r>
      <w:proofErr w:type="spellStart"/>
      <w:r w:rsidRPr="00B02D0F">
        <w:rPr>
          <w:rFonts w:hint="cs"/>
          <w:rtl/>
        </w:rPr>
        <w:t>האשה</w:t>
      </w:r>
      <w:proofErr w:type="spellEnd"/>
      <w:r w:rsidRPr="00B02D0F">
        <w:rPr>
          <w:rFonts w:hint="cs"/>
          <w:rtl/>
        </w:rPr>
        <w:t xml:space="preserve"> </w:t>
      </w:r>
      <w:r w:rsidRPr="00B02D0F">
        <w:rPr>
          <w:rtl/>
        </w:rPr>
        <w:t>–</w:t>
      </w:r>
      <w:r w:rsidRPr="00B02D0F">
        <w:rPr>
          <w:rFonts w:hint="cs"/>
          <w:rtl/>
        </w:rPr>
        <w:t xml:space="preserve"> "אחת </w:t>
      </w:r>
      <w:proofErr w:type="spellStart"/>
      <w:r w:rsidRPr="00B02D0F">
        <w:rPr>
          <w:rFonts w:hint="cs"/>
          <w:rtl/>
        </w:rPr>
        <w:t>מצלע</w:t>
      </w:r>
      <w:r w:rsidRPr="00384FA2">
        <w:rPr>
          <w:rFonts w:hint="cs"/>
          <w:spacing w:val="-10"/>
          <w:rtl/>
        </w:rPr>
        <w:t>ֹ</w:t>
      </w:r>
      <w:r w:rsidRPr="00B02D0F">
        <w:rPr>
          <w:rFonts w:hint="cs"/>
          <w:rtl/>
        </w:rPr>
        <w:t>תיו</w:t>
      </w:r>
      <w:proofErr w:type="spellEnd"/>
      <w:r w:rsidRPr="00B02D0F">
        <w:rPr>
          <w:rFonts w:hint="cs"/>
          <w:rtl/>
        </w:rPr>
        <w:t>"</w:t>
      </w:r>
      <w:r w:rsidRPr="005316B5">
        <w:rPr>
          <w:rStyle w:val="a6"/>
          <w:rtl/>
        </w:rPr>
        <w:endnoteReference w:id="17"/>
      </w:r>
      <w:r w:rsidRPr="00B02D0F">
        <w:rPr>
          <w:rFonts w:hint="cs"/>
          <w:rtl/>
        </w:rPr>
        <w:t xml:space="preserve"> </w:t>
      </w:r>
      <w:r w:rsidRPr="00B02D0F">
        <w:rPr>
          <w:rtl/>
        </w:rPr>
        <w:t>–</w:t>
      </w:r>
      <w:r w:rsidRPr="00B02D0F">
        <w:rPr>
          <w:rFonts w:hint="cs"/>
          <w:rtl/>
        </w:rPr>
        <w:t xml:space="preserve"> הוא לקח לשם כך גם "בשר מלבו") </w:t>
      </w:r>
      <w:r w:rsidRPr="00B02D0F">
        <w:rPr>
          <w:rtl/>
        </w:rPr>
        <w:t>–</w:t>
      </w:r>
      <w:r w:rsidRPr="00B02D0F">
        <w:rPr>
          <w:rFonts w:hint="cs"/>
          <w:rtl/>
        </w:rPr>
        <w:t xml:space="preserve"> בבחינת "לבי ובשרי ירננו"</w:t>
      </w:r>
      <w:r w:rsidRPr="005316B5">
        <w:rPr>
          <w:rStyle w:val="a6"/>
          <w:rtl/>
        </w:rPr>
        <w:endnoteReference w:id="18"/>
      </w:r>
      <w:r w:rsidRPr="00B02D0F">
        <w:rPr>
          <w:rFonts w:hint="cs"/>
          <w:rtl/>
        </w:rPr>
        <w:t>. ובאמת</w:t>
      </w:r>
      <w:r>
        <w:rPr>
          <w:rFonts w:hint="cs"/>
          <w:rtl/>
        </w:rPr>
        <w:t>, לצד מילת בשר הברית נצטווינו גם על מילת הלב מערלתו</w:t>
      </w:r>
      <w:r w:rsidRPr="005316B5">
        <w:rPr>
          <w:rStyle w:val="a6"/>
          <w:rtl/>
        </w:rPr>
        <w:endnoteReference w:id="19"/>
      </w:r>
      <w:r>
        <w:rPr>
          <w:rFonts w:hint="cs"/>
          <w:rtl/>
        </w:rPr>
        <w:t>.</w:t>
      </w:r>
    </w:p>
    <w:p w:rsidR="00252A7D" w:rsidRDefault="00252A7D" w:rsidP="00252A7D">
      <w:pPr>
        <w:rPr>
          <w:rFonts w:hint="cs"/>
          <w:rtl/>
        </w:rPr>
      </w:pPr>
      <w:r>
        <w:rPr>
          <w:rFonts w:hint="cs"/>
          <w:rtl/>
        </w:rPr>
        <w:t xml:space="preserve">תיקון הברית הוא </w:t>
      </w:r>
      <w:proofErr w:type="spellStart"/>
      <w:r>
        <w:rPr>
          <w:rFonts w:hint="cs"/>
          <w:rtl/>
        </w:rPr>
        <w:t>מכח</w:t>
      </w:r>
      <w:proofErr w:type="spellEnd"/>
      <w:r>
        <w:rPr>
          <w:rFonts w:hint="cs"/>
          <w:rtl/>
        </w:rPr>
        <w:t xml:space="preserve"> המילה ש"נכרתו עליה שלש עשרה בריתות"</w:t>
      </w:r>
      <w:r w:rsidRPr="005316B5">
        <w:rPr>
          <w:rStyle w:val="a6"/>
          <w:rtl/>
        </w:rPr>
        <w:endnoteReference w:id="20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מכח</w:t>
      </w:r>
      <w:proofErr w:type="spellEnd"/>
      <w:r>
        <w:rPr>
          <w:rFonts w:hint="cs"/>
          <w:rtl/>
        </w:rPr>
        <w:t xml:space="preserve"> הארת </w:t>
      </w:r>
      <w:proofErr w:type="spellStart"/>
      <w:r w:rsidRPr="00B07152">
        <w:rPr>
          <w:rFonts w:hint="cs"/>
          <w:b/>
          <w:bCs/>
          <w:sz w:val="28"/>
          <w:szCs w:val="28"/>
          <w:rtl/>
        </w:rPr>
        <w:t>יג</w:t>
      </w:r>
      <w:proofErr w:type="spellEnd"/>
      <w:r>
        <w:rPr>
          <w:rFonts w:hint="cs"/>
          <w:rtl/>
        </w:rPr>
        <w:t xml:space="preserve"> מדות הרחמים, שהן מדות ה"לב בשר" הרך והמתוקן בשלמות (עליהן נצטווינו "והלכת בדרכיו"</w:t>
      </w:r>
      <w:r w:rsidRPr="005316B5">
        <w:rPr>
          <w:rStyle w:val="a6"/>
          <w:rtl/>
        </w:rPr>
        <w:endnoteReference w:id="21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"מה הוא רחום אף אתה היה רחום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'"</w:t>
      </w:r>
      <w:r w:rsidRPr="005316B5">
        <w:rPr>
          <w:rStyle w:val="a6"/>
          <w:rtl/>
        </w:rPr>
        <w:endnoteReference w:id="22"/>
      </w:r>
      <w:r>
        <w:rPr>
          <w:rFonts w:hint="cs"/>
          <w:rtl/>
        </w:rPr>
        <w:t xml:space="preserve">). </w:t>
      </w:r>
      <w:proofErr w:type="spellStart"/>
      <w:r w:rsidRPr="00A65D97">
        <w:rPr>
          <w:rFonts w:hint="cs"/>
          <w:b/>
          <w:bCs/>
          <w:sz w:val="28"/>
          <w:szCs w:val="28"/>
          <w:rtl/>
        </w:rPr>
        <w:t>יג</w:t>
      </w:r>
      <w:proofErr w:type="spellEnd"/>
      <w:r>
        <w:rPr>
          <w:rFonts w:hint="cs"/>
          <w:rtl/>
        </w:rPr>
        <w:t xml:space="preserve"> מדות הרחמים מאירות בפרט בחדש </w:t>
      </w:r>
      <w:r w:rsidRPr="0054485B">
        <w:rPr>
          <w:rFonts w:hint="cs"/>
          <w:b/>
          <w:bCs/>
          <w:sz w:val="28"/>
          <w:szCs w:val="28"/>
          <w:rtl/>
        </w:rPr>
        <w:t>אלול</w:t>
      </w:r>
      <w:r w:rsidRPr="005316B5">
        <w:rPr>
          <w:rStyle w:val="a6"/>
          <w:rtl/>
        </w:rPr>
        <w:endnoteReference w:id="23"/>
      </w:r>
      <w:r>
        <w:rPr>
          <w:rFonts w:hint="cs"/>
          <w:rtl/>
        </w:rPr>
        <w:t xml:space="preserve">, חדש הרחמים, ובו ניתן לזכות ל"[ומל הוי' </w:t>
      </w:r>
      <w:proofErr w:type="spellStart"/>
      <w:r>
        <w:rPr>
          <w:rFonts w:hint="cs"/>
          <w:rtl/>
        </w:rPr>
        <w:t>אלהיך</w:t>
      </w:r>
      <w:proofErr w:type="spellEnd"/>
      <w:r>
        <w:rPr>
          <w:rFonts w:hint="cs"/>
          <w:rtl/>
        </w:rPr>
        <w:t xml:space="preserve">] </w:t>
      </w:r>
      <w:r w:rsidRPr="0054485B">
        <w:rPr>
          <w:rFonts w:hint="cs"/>
          <w:b/>
          <w:bCs/>
          <w:sz w:val="28"/>
          <w:szCs w:val="28"/>
          <w:rtl/>
        </w:rPr>
        <w:t>א</w:t>
      </w:r>
      <w:r>
        <w:rPr>
          <w:rFonts w:hint="cs"/>
          <w:rtl/>
        </w:rPr>
        <w:t xml:space="preserve">ת </w:t>
      </w:r>
      <w:r w:rsidRPr="0054485B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 xml:space="preserve">בבך </w:t>
      </w:r>
      <w:r w:rsidRPr="0054485B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את </w:t>
      </w:r>
      <w:r w:rsidRPr="0054485B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>בב [זרעך]"</w:t>
      </w:r>
      <w:r w:rsidRPr="005316B5">
        <w:rPr>
          <w:rStyle w:val="a6"/>
          <w:rtl/>
        </w:rPr>
        <w:endnoteReference w:id="24"/>
      </w:r>
      <w:r>
        <w:rPr>
          <w:rFonts w:hint="cs"/>
          <w:rtl/>
        </w:rPr>
        <w:t xml:space="preserve">. אז, כאשר מתוקן לב הבשר, ניתן לתקן את הבשר כולו, עד לתיקון ברית הבשר בשלמות, ואזי זוכים לקירוב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של "</w:t>
      </w:r>
      <w:r w:rsidRPr="00452DAB">
        <w:rPr>
          <w:rFonts w:hint="cs"/>
          <w:b/>
          <w:bCs/>
          <w:sz w:val="28"/>
          <w:szCs w:val="28"/>
          <w:rtl/>
        </w:rPr>
        <w:t>א</w:t>
      </w:r>
      <w:r>
        <w:rPr>
          <w:rFonts w:hint="cs"/>
          <w:rtl/>
        </w:rPr>
        <w:t xml:space="preserve">ני [מוסרת את עצמי-עצמותי] </w:t>
      </w:r>
      <w:r w:rsidRPr="00452DAB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 xml:space="preserve">דודי </w:t>
      </w:r>
      <w:r w:rsidRPr="00452DAB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דודי [נותן את לבו-בשרו] </w:t>
      </w:r>
      <w:r w:rsidRPr="00452DAB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>י"</w:t>
      </w:r>
      <w:r w:rsidRPr="005316B5">
        <w:rPr>
          <w:rStyle w:val="a6"/>
          <w:rtl/>
        </w:rPr>
        <w:endnoteReference w:id="25"/>
      </w:r>
      <w:r>
        <w:rPr>
          <w:rFonts w:hint="cs"/>
          <w:rtl/>
        </w:rPr>
        <w:t xml:space="preserve"> (כאשר הדוד מתמסר "</w:t>
      </w:r>
      <w:r w:rsidRPr="00452DAB">
        <w:rPr>
          <w:rFonts w:hint="cs"/>
          <w:b/>
          <w:bCs/>
          <w:sz w:val="28"/>
          <w:szCs w:val="28"/>
          <w:rtl/>
        </w:rPr>
        <w:t>לי</w:t>
      </w:r>
      <w:r>
        <w:rPr>
          <w:rFonts w:hint="cs"/>
          <w:rtl/>
        </w:rPr>
        <w:t>" בשלמות, בקיום מצות "</w:t>
      </w:r>
      <w:r w:rsidRPr="00452DAB">
        <w:rPr>
          <w:rFonts w:hint="cs"/>
          <w:b/>
          <w:bCs/>
          <w:sz w:val="28"/>
          <w:szCs w:val="28"/>
          <w:rtl/>
        </w:rPr>
        <w:t>ל</w:t>
      </w:r>
      <w:r>
        <w:rPr>
          <w:rFonts w:hint="cs"/>
          <w:rtl/>
        </w:rPr>
        <w:t xml:space="preserve">א </w:t>
      </w:r>
      <w:r w:rsidRPr="00452DAB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>גרע"</w:t>
      </w:r>
      <w:r w:rsidRPr="005316B5">
        <w:rPr>
          <w:rStyle w:val="a6"/>
          <w:rtl/>
        </w:rPr>
        <w:endnoteReference w:id="26"/>
      </w:r>
      <w:r>
        <w:rPr>
          <w:rFonts w:hint="cs"/>
          <w:rtl/>
        </w:rPr>
        <w:t xml:space="preserve"> ללא שיור).</w:t>
      </w:r>
    </w:p>
    <w:p w:rsidR="005F4A47" w:rsidRDefault="006214A7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4A7" w:rsidRDefault="006214A7" w:rsidP="00252A7D">
      <w:pPr>
        <w:spacing w:after="0" w:line="240" w:lineRule="auto"/>
      </w:pPr>
      <w:r>
        <w:separator/>
      </w:r>
    </w:p>
  </w:endnote>
  <w:endnote w:type="continuationSeparator" w:id="0">
    <w:p w:rsidR="006214A7" w:rsidRDefault="006214A7" w:rsidP="00252A7D">
      <w:pPr>
        <w:spacing w:after="0" w:line="240" w:lineRule="auto"/>
      </w:pPr>
      <w:r>
        <w:continuationSeparator/>
      </w:r>
    </w:p>
  </w:endnote>
  <w:endnote w:id="1">
    <w:p w:rsidR="00252A7D" w:rsidRPr="00BC64DF" w:rsidRDefault="00252A7D" w:rsidP="00252A7D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BC64DF">
        <w:rPr>
          <w:rFonts w:hint="cs"/>
          <w:rtl/>
        </w:rPr>
        <w:t xml:space="preserve">שמות </w:t>
      </w:r>
      <w:proofErr w:type="spellStart"/>
      <w:r w:rsidRPr="00BC64DF">
        <w:rPr>
          <w:rFonts w:hint="cs"/>
          <w:rtl/>
        </w:rPr>
        <w:t>כא</w:t>
      </w:r>
      <w:proofErr w:type="spellEnd"/>
      <w:r w:rsidRPr="00BC64DF">
        <w:rPr>
          <w:rFonts w:hint="cs"/>
          <w:rtl/>
        </w:rPr>
        <w:t>, י.</w:t>
      </w:r>
    </w:p>
  </w:endnote>
  <w:endnote w:id="2">
    <w:p w:rsidR="00252A7D" w:rsidRPr="00BC64DF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BC64DF">
        <w:rPr>
          <w:rFonts w:hint="cs"/>
          <w:rtl/>
        </w:rPr>
        <w:t>כתובות מח, א.</w:t>
      </w:r>
    </w:p>
  </w:endnote>
  <w:endnote w:id="3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, ט.</w:t>
      </w:r>
    </w:p>
  </w:endnote>
  <w:endnote w:id="4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ב,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.</w:t>
      </w:r>
    </w:p>
  </w:endnote>
  <w:endnote w:id="5">
    <w:p w:rsidR="00252A7D" w:rsidRDefault="00252A7D" w:rsidP="00252A7D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פסוק כד.</w:t>
      </w:r>
    </w:p>
  </w:endnote>
  <w:endnote w:id="6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נדה לא, א. קהלת רבה ה,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7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חסדי דוד סימן ה וביאורו במבוא לקבלת </w:t>
      </w:r>
      <w:proofErr w:type="spellStart"/>
      <w:r>
        <w:rPr>
          <w:rFonts w:hint="cs"/>
          <w:rtl/>
        </w:rPr>
        <w:t>האריז"ל</w:t>
      </w:r>
      <w:proofErr w:type="spellEnd"/>
      <w:r>
        <w:rPr>
          <w:rFonts w:hint="cs"/>
          <w:rtl/>
        </w:rPr>
        <w:t xml:space="preserve"> (ביאור ב לסימן ה) ובחסדי דוד הנאמנים ח"א עמ' 73 ואילך.</w:t>
      </w:r>
    </w:p>
  </w:endnote>
  <w:endnote w:id="8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לעיל בתורה "והיו לבשר אחד" כי קירוב בשר שייך דווקא ל"יום אחד" </w:t>
      </w:r>
      <w:proofErr w:type="spellStart"/>
      <w:r>
        <w:rPr>
          <w:rFonts w:hint="cs"/>
          <w:rtl/>
        </w:rPr>
        <w:t>דמעשה</w:t>
      </w:r>
      <w:proofErr w:type="spellEnd"/>
      <w:r>
        <w:rPr>
          <w:rFonts w:hint="cs"/>
          <w:rtl/>
        </w:rPr>
        <w:t xml:space="preserve"> בראשית.</w:t>
      </w:r>
    </w:p>
  </w:endnote>
  <w:endnote w:id="9">
    <w:p w:rsidR="00252A7D" w:rsidRDefault="00252A7D" w:rsidP="00252A7D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שכינה ביניהם עמ' ט.</w:t>
      </w:r>
    </w:p>
  </w:endnote>
  <w:endnote w:id="10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כתובות סב, ב (ראה באריכות שכינה ביניהם פ"ז ויין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ו).</w:t>
      </w:r>
    </w:p>
  </w:endnote>
  <w:endnote w:id="11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לדוגמה יומא פה, ב. סנהדרין </w:t>
      </w:r>
      <w:proofErr w:type="spellStart"/>
      <w:r>
        <w:rPr>
          <w:rFonts w:hint="cs"/>
          <w:rtl/>
        </w:rPr>
        <w:t>צט</w:t>
      </w:r>
      <w:proofErr w:type="spellEnd"/>
      <w:r>
        <w:rPr>
          <w:rFonts w:hint="cs"/>
          <w:rtl/>
        </w:rPr>
        <w:t>, א. כריתות ז, א.</w:t>
      </w:r>
    </w:p>
  </w:endnote>
  <w:endnote w:id="12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לדוגמה יחזקאל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 xml:space="preserve">;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, כ (וברש"י על הפסוקים, וראה גם </w:t>
      </w:r>
      <w:proofErr w:type="spellStart"/>
      <w:r>
        <w:rPr>
          <w:rFonts w:hint="cs"/>
          <w:rtl/>
        </w:rPr>
        <w:t>ברד"ק</w:t>
      </w:r>
      <w:proofErr w:type="spellEnd"/>
      <w:r>
        <w:rPr>
          <w:rFonts w:hint="cs"/>
          <w:rtl/>
        </w:rPr>
        <w:t xml:space="preserve"> שם המפנה </w:t>
      </w:r>
      <w:proofErr w:type="spellStart"/>
      <w:r>
        <w:rPr>
          <w:rFonts w:hint="cs"/>
          <w:rtl/>
        </w:rPr>
        <w:t>לויקרא</w:t>
      </w:r>
      <w:proofErr w:type="spellEnd"/>
      <w:r>
        <w:rPr>
          <w:rFonts w:hint="cs"/>
          <w:rtl/>
        </w:rPr>
        <w:t xml:space="preserve"> טו, ג).</w:t>
      </w:r>
    </w:p>
  </w:endnote>
  <w:endnote w:id="13">
    <w:p w:rsidR="00252A7D" w:rsidRDefault="00252A7D" w:rsidP="00252A7D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14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על פי רש"י לבראשית א,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 xml:space="preserve"> (וראה שכינה ביניהם עמ' צב אודות בחינה זו בחיי הנישואין).</w:t>
      </w:r>
    </w:p>
  </w:endnote>
  <w:endnote w:id="15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יחזקאל יא,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 xml:space="preserve">; לו,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>.</w:t>
      </w:r>
    </w:p>
  </w:endnote>
  <w:endnote w:id="16">
    <w:p w:rsidR="00252A7D" w:rsidRDefault="00252A7D" w:rsidP="00252A7D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פרקי דרבי אליעזר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17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ב,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>.</w:t>
      </w:r>
    </w:p>
  </w:endnote>
  <w:endnote w:id="18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פד, ג.</w:t>
      </w:r>
    </w:p>
  </w:endnote>
  <w:endnote w:id="19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דברים י,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 xml:space="preserve"> (וראה יחזקאל מד, ז-ט כי ערלות לב וערלות בשר מופיעות ביחד).</w:t>
      </w:r>
    </w:p>
  </w:endnote>
  <w:endnote w:id="20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נדרים לא, ב.</w:t>
      </w:r>
    </w:p>
  </w:endnote>
  <w:endnote w:id="21">
    <w:p w:rsidR="00252A7D" w:rsidRDefault="00252A7D" w:rsidP="00252A7D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דברים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, ט.</w:t>
      </w:r>
    </w:p>
  </w:endnote>
  <w:endnote w:id="22">
    <w:p w:rsidR="00252A7D" w:rsidRDefault="00252A7D" w:rsidP="00252A7D">
      <w:pPr>
        <w:pStyle w:val="a4"/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רמב"ם הלכות דעות פ"א </w:t>
      </w:r>
      <w:proofErr w:type="spellStart"/>
      <w:r>
        <w:rPr>
          <w:rFonts w:hint="cs"/>
          <w:rtl/>
        </w:rPr>
        <w:t>ה"ו</w:t>
      </w:r>
      <w:proofErr w:type="spellEnd"/>
      <w:r>
        <w:rPr>
          <w:rFonts w:hint="cs"/>
          <w:rtl/>
        </w:rPr>
        <w:t>.</w:t>
      </w:r>
    </w:p>
  </w:endnote>
  <w:endnote w:id="23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לקו"ת</w:t>
      </w:r>
      <w:proofErr w:type="spellEnd"/>
      <w:r>
        <w:rPr>
          <w:rFonts w:hint="cs"/>
          <w:rtl/>
        </w:rPr>
        <w:t xml:space="preserve"> ראה ד"ה "אני לדודי ודודי לי" (לב, א).</w:t>
      </w:r>
    </w:p>
  </w:endnote>
  <w:endnote w:id="24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דברים ל, ו (וראה בעל הטורים עה"פ </w:t>
      </w:r>
      <w:proofErr w:type="spellStart"/>
      <w:r>
        <w:rPr>
          <w:rFonts w:hint="cs"/>
          <w:rtl/>
        </w:rPr>
        <w:t>ובאבודרהם</w:t>
      </w:r>
      <w:proofErr w:type="spellEnd"/>
      <w:r>
        <w:rPr>
          <w:rFonts w:hint="cs"/>
          <w:rtl/>
        </w:rPr>
        <w:t xml:space="preserve"> סדר תפלת ר"ה).</w:t>
      </w:r>
    </w:p>
  </w:endnote>
  <w:endnote w:id="25">
    <w:p w:rsidR="00252A7D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שיר השירים ו, ג (וראה </w:t>
      </w:r>
      <w:proofErr w:type="spellStart"/>
      <w:r>
        <w:rPr>
          <w:rFonts w:hint="cs"/>
          <w:rtl/>
        </w:rPr>
        <w:t>אבודרהם</w:t>
      </w:r>
      <w:proofErr w:type="spellEnd"/>
      <w:r>
        <w:rPr>
          <w:rFonts w:hint="cs"/>
          <w:rtl/>
        </w:rPr>
        <w:t xml:space="preserve"> סדר תפלת ר"ה, </w:t>
      </w:r>
      <w:proofErr w:type="spellStart"/>
      <w:r>
        <w:rPr>
          <w:rFonts w:hint="cs"/>
          <w:rtl/>
        </w:rPr>
        <w:t>פע"ח</w:t>
      </w:r>
      <w:proofErr w:type="spellEnd"/>
      <w:r>
        <w:rPr>
          <w:rFonts w:hint="cs"/>
          <w:rtl/>
        </w:rPr>
        <w:t xml:space="preserve"> שער ר"ה פ"א, שער הפסוקים עה"פ).</w:t>
      </w:r>
    </w:p>
  </w:endnote>
  <w:endnote w:id="26">
    <w:p w:rsidR="00252A7D" w:rsidRPr="00500700" w:rsidRDefault="00252A7D" w:rsidP="00252A7D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500700">
        <w:rPr>
          <w:rFonts w:hint="cs"/>
          <w:rtl/>
        </w:rPr>
        <w:t>חוץ מראשי התיבות, שאר אותיות "ל</w:t>
      </w:r>
      <w:r w:rsidRPr="00995309">
        <w:rPr>
          <w:rFonts w:hint="cs"/>
          <w:b/>
          <w:bCs/>
          <w:sz w:val="24"/>
          <w:szCs w:val="24"/>
          <w:rtl/>
        </w:rPr>
        <w:t>א</w:t>
      </w:r>
      <w:r w:rsidRPr="00500700">
        <w:rPr>
          <w:rFonts w:hint="cs"/>
          <w:rtl/>
        </w:rPr>
        <w:t xml:space="preserve"> י</w:t>
      </w:r>
      <w:r w:rsidRPr="00995309">
        <w:rPr>
          <w:rFonts w:hint="cs"/>
          <w:b/>
          <w:bCs/>
          <w:sz w:val="24"/>
          <w:szCs w:val="24"/>
          <w:rtl/>
        </w:rPr>
        <w:t>גרע</w:t>
      </w:r>
      <w:r w:rsidRPr="00500700">
        <w:rPr>
          <w:rFonts w:hint="cs"/>
          <w:rtl/>
        </w:rPr>
        <w:t xml:space="preserve">" עולות </w:t>
      </w:r>
      <w:r w:rsidRPr="00995309">
        <w:rPr>
          <w:rFonts w:hint="cs"/>
          <w:b/>
          <w:bCs/>
          <w:sz w:val="24"/>
          <w:szCs w:val="24"/>
          <w:rtl/>
        </w:rPr>
        <w:t>לאה</w:t>
      </w:r>
      <w:r w:rsidRPr="00500700">
        <w:rPr>
          <w:rFonts w:hint="cs"/>
          <w:rtl/>
        </w:rPr>
        <w:t xml:space="preserve"> </w:t>
      </w:r>
      <w:r w:rsidRPr="00995309">
        <w:rPr>
          <w:rFonts w:hint="cs"/>
          <w:b/>
          <w:bCs/>
          <w:sz w:val="24"/>
          <w:szCs w:val="24"/>
          <w:rtl/>
        </w:rPr>
        <w:t>רחל</w:t>
      </w:r>
      <w:r w:rsidRPr="00500700">
        <w:rPr>
          <w:rFonts w:hint="cs"/>
          <w:rtl/>
        </w:rPr>
        <w:t xml:space="preserve"> </w:t>
      </w:r>
      <w:r w:rsidRPr="00500700">
        <w:rPr>
          <w:rtl/>
        </w:rPr>
        <w:t>–</w:t>
      </w:r>
      <w:r w:rsidRPr="00500700">
        <w:rPr>
          <w:rFonts w:hint="cs"/>
          <w:rtl/>
        </w:rPr>
        <w:t xml:space="preserve"> שני ממדי </w:t>
      </w:r>
      <w:proofErr w:type="spellStart"/>
      <w:r w:rsidRPr="00500700">
        <w:rPr>
          <w:rFonts w:hint="cs"/>
          <w:rtl/>
        </w:rPr>
        <w:t>הנוקבא</w:t>
      </w:r>
      <w:proofErr w:type="spellEnd"/>
      <w:r w:rsidRPr="00500700">
        <w:rPr>
          <w:rFonts w:hint="cs"/>
          <w:rtl/>
        </w:rPr>
        <w:t xml:space="preserve"> אליה מתקשרים ב"קרוב בשר" (כאשר בפרט לאה עומדת מול החזה, במקום ה"לב בשר", ורחל עומדת מהטבור ולמטה, במקום ה"ברית בשר", וד"ל).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4A7" w:rsidRDefault="006214A7" w:rsidP="00252A7D">
      <w:pPr>
        <w:spacing w:after="0" w:line="240" w:lineRule="auto"/>
      </w:pPr>
      <w:r>
        <w:separator/>
      </w:r>
    </w:p>
  </w:footnote>
  <w:footnote w:type="continuationSeparator" w:id="0">
    <w:p w:rsidR="006214A7" w:rsidRDefault="006214A7" w:rsidP="00252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7F"/>
    <w:rsid w:val="00061E65"/>
    <w:rsid w:val="00252A7D"/>
    <w:rsid w:val="003E217F"/>
    <w:rsid w:val="006214A7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52A7D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252A7D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52A7D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252A7D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252A7D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252A7D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252A7D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252A7D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252A7D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252A7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252A7D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252A7D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252A7D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252A7D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252A7D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252A7D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252A7D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252A7D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252A7D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252A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2017-08-14T22:45:00Z</dcterms:created>
  <dcterms:modified xsi:type="dcterms:W3CDTF">2017-08-14T22:45:00Z</dcterms:modified>
</cp:coreProperties>
</file>