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10E" w:rsidRPr="000A2158" w:rsidRDefault="00EC210E" w:rsidP="00EC210E">
      <w:pPr>
        <w:pStyle w:val="2"/>
        <w:rPr>
          <w:rFonts w:hint="cs"/>
          <w:rtl/>
        </w:rPr>
      </w:pPr>
      <w:bookmarkStart w:id="0" w:name="_Toc145068678"/>
      <w:bookmarkStart w:id="1" w:name="_Ref145069022"/>
      <w:r>
        <w:rPr>
          <w:w w:val="100"/>
          <w:rtl/>
        </w:rPr>
        <w:drawing>
          <wp:anchor distT="0" distB="0" distL="114300" distR="114300" simplePos="0" relativeHeight="251659264" behindDoc="1" locked="0" layoutInCell="1" allowOverlap="1">
            <wp:simplePos x="0" y="0"/>
            <wp:positionH relativeFrom="column">
              <wp:posOffset>3030220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"לארקא ולאמשכא ולאנהרא"</w:t>
      </w:r>
      <w:bookmarkEnd w:id="0"/>
      <w:bookmarkEnd w:id="1"/>
    </w:p>
    <w:p w:rsidR="00EC210E" w:rsidRPr="00F70E20" w:rsidRDefault="00EC210E" w:rsidP="00EC210E">
      <w:pPr>
        <w:keepNext/>
        <w:framePr w:dropCap="drop" w:lines="2" w:hSpace="57" w:wrap="around" w:vAnchor="text" w:hAnchor="text" w:xAlign="right"/>
        <w:spacing w:after="0" w:line="760" w:lineRule="exact"/>
        <w:textAlignment w:val="baseline"/>
        <w:rPr>
          <w:rStyle w:val="a9"/>
          <w:rtl/>
        </w:rPr>
      </w:pPr>
      <w:r w:rsidRPr="00F70E20">
        <w:rPr>
          <w:rStyle w:val="a9"/>
          <w:rFonts w:hint="cs"/>
          <w:rtl/>
        </w:rPr>
        <w:t>כ</w:t>
      </w:r>
    </w:p>
    <w:p w:rsidR="00EC210E" w:rsidRDefault="00EC210E" w:rsidP="00EC210E">
      <w:pPr>
        <w:rPr>
          <w:rFonts w:hint="cs"/>
          <w:rtl/>
        </w:rPr>
      </w:pPr>
      <w:r>
        <w:rPr>
          <w:rFonts w:hint="cs"/>
          <w:rtl/>
        </w:rPr>
        <w:t xml:space="preserve">ל בנין בית יהודי חדש הוא בריאת עולם בזעיר אנפין, ועל כן אפשר ללמוד על תהליך בריאת הבית ממה שמתארת התורה בתחילת מעשה בראשית. הפסוק הראשון </w:t>
      </w:r>
      <w:r>
        <w:rPr>
          <w:rtl/>
        </w:rPr>
        <w:t>–</w:t>
      </w:r>
      <w:r>
        <w:rPr>
          <w:rFonts w:hint="cs"/>
          <w:rtl/>
        </w:rPr>
        <w:t xml:space="preserve"> "בראשית ברא </w:t>
      </w:r>
      <w:proofErr w:type="spellStart"/>
      <w:r>
        <w:rPr>
          <w:rFonts w:hint="cs"/>
          <w:rtl/>
        </w:rPr>
        <w:t>אלהים</w:t>
      </w:r>
      <w:proofErr w:type="spellEnd"/>
      <w:r>
        <w:rPr>
          <w:rFonts w:hint="cs"/>
          <w:rtl/>
        </w:rPr>
        <w:t xml:space="preserve"> את השמים ואת הארץ"</w:t>
      </w:r>
      <w:r w:rsidRPr="005316B5">
        <w:rPr>
          <w:rStyle w:val="a6"/>
          <w:rtl/>
        </w:rPr>
        <w:endnoteReference w:id="1"/>
      </w:r>
      <w:r>
        <w:rPr>
          <w:rFonts w:hint="cs"/>
          <w:rtl/>
        </w:rPr>
        <w:t xml:space="preserve"> </w:t>
      </w:r>
      <w:r>
        <w:rPr>
          <w:rtl/>
        </w:rPr>
        <w:t>–</w:t>
      </w:r>
      <w:r>
        <w:rPr>
          <w:rFonts w:hint="cs"/>
          <w:rtl/>
        </w:rPr>
        <w:t xml:space="preserve"> מרמז לחיבור החתן והכלה, שבבחינת שמים וארץ (כנודע </w:t>
      </w:r>
      <w:proofErr w:type="spellStart"/>
      <w:r>
        <w:rPr>
          <w:rFonts w:hint="cs"/>
          <w:rtl/>
        </w:rPr>
        <w:t>מהזהר</w:t>
      </w:r>
      <w:proofErr w:type="spellEnd"/>
      <w:r w:rsidRPr="005316B5">
        <w:rPr>
          <w:rStyle w:val="a6"/>
          <w:rtl/>
        </w:rPr>
        <w:endnoteReference w:id="2"/>
      </w:r>
      <w:r>
        <w:rPr>
          <w:rFonts w:hint="cs"/>
          <w:rtl/>
        </w:rPr>
        <w:t xml:space="preserve"> שהיחס בין אברהם ושרה, וכך בין כל חתן וכלה, הוא יחס של נשמה וגוף, יחס של שמים וארץ), </w:t>
      </w:r>
      <w:proofErr w:type="spellStart"/>
      <w:r>
        <w:rPr>
          <w:rFonts w:hint="cs"/>
          <w:rtl/>
        </w:rPr>
        <w:t>בכח</w:t>
      </w:r>
      <w:proofErr w:type="spellEnd"/>
      <w:r>
        <w:rPr>
          <w:rFonts w:hint="cs"/>
          <w:rtl/>
        </w:rPr>
        <w:t xml:space="preserve"> שם ה-</w:t>
      </w:r>
      <w:r w:rsidRPr="007342D7">
        <w:rPr>
          <w:rFonts w:hint="cs"/>
          <w:b/>
          <w:bCs/>
          <w:sz w:val="28"/>
          <w:szCs w:val="28"/>
          <w:rtl/>
        </w:rPr>
        <w:t>טוב</w:t>
      </w:r>
      <w:r>
        <w:rPr>
          <w:rFonts w:hint="cs"/>
          <w:rtl/>
        </w:rPr>
        <w:t xml:space="preserve"> (שם </w:t>
      </w:r>
      <w:proofErr w:type="spellStart"/>
      <w:r w:rsidRPr="007342D7">
        <w:rPr>
          <w:rFonts w:hint="cs"/>
          <w:b/>
          <w:bCs/>
          <w:sz w:val="28"/>
          <w:szCs w:val="28"/>
          <w:rtl/>
        </w:rPr>
        <w:t>אהוה</w:t>
      </w:r>
      <w:proofErr w:type="spellEnd"/>
      <w:r>
        <w:rPr>
          <w:rFonts w:hint="cs"/>
          <w:rtl/>
        </w:rPr>
        <w:t xml:space="preserve"> הרמוז בראשי התיבות "</w:t>
      </w:r>
      <w:r w:rsidRPr="007342D7">
        <w:rPr>
          <w:rFonts w:hint="cs"/>
          <w:b/>
          <w:bCs/>
          <w:sz w:val="28"/>
          <w:szCs w:val="28"/>
          <w:rtl/>
        </w:rPr>
        <w:t>א</w:t>
      </w:r>
      <w:r>
        <w:rPr>
          <w:rFonts w:hint="cs"/>
          <w:rtl/>
        </w:rPr>
        <w:t xml:space="preserve">ת </w:t>
      </w:r>
      <w:r w:rsidRPr="007342D7">
        <w:rPr>
          <w:rFonts w:hint="cs"/>
          <w:b/>
          <w:bCs/>
          <w:sz w:val="28"/>
          <w:szCs w:val="28"/>
          <w:rtl/>
        </w:rPr>
        <w:t>ה</w:t>
      </w:r>
      <w:r>
        <w:rPr>
          <w:rFonts w:hint="cs"/>
          <w:rtl/>
        </w:rPr>
        <w:t xml:space="preserve">שמים </w:t>
      </w:r>
      <w:r w:rsidRPr="007342D7">
        <w:rPr>
          <w:rFonts w:hint="cs"/>
          <w:b/>
          <w:bCs/>
          <w:sz w:val="28"/>
          <w:szCs w:val="28"/>
          <w:rtl/>
        </w:rPr>
        <w:t>ו</w:t>
      </w:r>
      <w:r>
        <w:rPr>
          <w:rFonts w:hint="cs"/>
          <w:rtl/>
        </w:rPr>
        <w:t xml:space="preserve">את </w:t>
      </w:r>
      <w:r w:rsidRPr="007342D7">
        <w:rPr>
          <w:rFonts w:hint="cs"/>
          <w:b/>
          <w:bCs/>
          <w:sz w:val="28"/>
          <w:szCs w:val="28"/>
          <w:rtl/>
        </w:rPr>
        <w:t>ה</w:t>
      </w:r>
      <w:r>
        <w:rPr>
          <w:rFonts w:hint="cs"/>
          <w:rtl/>
        </w:rPr>
        <w:t>ארץ"</w:t>
      </w:r>
      <w:r w:rsidRPr="005316B5">
        <w:rPr>
          <w:rStyle w:val="a6"/>
          <w:rtl/>
        </w:rPr>
        <w:endnoteReference w:id="3"/>
      </w:r>
      <w:r>
        <w:rPr>
          <w:rFonts w:hint="cs"/>
          <w:rtl/>
        </w:rPr>
        <w:t>) שפעולתו היא "הא</w:t>
      </w:r>
      <w:r w:rsidRPr="00717DE8">
        <w:rPr>
          <w:rFonts w:hint="cs"/>
          <w:spacing w:val="-10"/>
          <w:rtl/>
        </w:rPr>
        <w:t>ֹ</w:t>
      </w:r>
      <w:r>
        <w:rPr>
          <w:rFonts w:hint="cs"/>
          <w:rtl/>
        </w:rPr>
        <w:t xml:space="preserve">מר לדבק </w:t>
      </w:r>
      <w:r w:rsidRPr="007342D7">
        <w:rPr>
          <w:rFonts w:hint="cs"/>
          <w:b/>
          <w:bCs/>
          <w:sz w:val="28"/>
          <w:szCs w:val="28"/>
          <w:rtl/>
        </w:rPr>
        <w:t>טוב</w:t>
      </w:r>
      <w:r>
        <w:rPr>
          <w:rFonts w:hint="cs"/>
          <w:rtl/>
        </w:rPr>
        <w:t>"</w:t>
      </w:r>
      <w:r w:rsidRPr="005316B5">
        <w:rPr>
          <w:rStyle w:val="a6"/>
          <w:rtl/>
        </w:rPr>
        <w:endnoteReference w:id="4"/>
      </w:r>
      <w:r>
        <w:rPr>
          <w:rFonts w:hint="cs"/>
          <w:rtl/>
        </w:rPr>
        <w:t>. פסוק זה הוא כללות ה"יום אחד"</w:t>
      </w:r>
      <w:r w:rsidRPr="005316B5">
        <w:rPr>
          <w:rStyle w:val="a6"/>
          <w:rtl/>
        </w:rPr>
        <w:endnoteReference w:id="5"/>
      </w:r>
      <w:r>
        <w:rPr>
          <w:rFonts w:hint="cs"/>
          <w:rtl/>
        </w:rPr>
        <w:t xml:space="preserve"> של מעשה בראשית, יום הכלולות בו מתאחדים החתן והכלה </w:t>
      </w:r>
      <w:r>
        <w:rPr>
          <w:rtl/>
        </w:rPr>
        <w:t>–</w:t>
      </w:r>
      <w:r>
        <w:rPr>
          <w:rFonts w:hint="cs"/>
          <w:rtl/>
        </w:rPr>
        <w:t xml:space="preserve"> "ודבק באשתו והיו לבשר אחד"</w:t>
      </w:r>
      <w:r w:rsidRPr="005316B5">
        <w:rPr>
          <w:rStyle w:val="a6"/>
          <w:rtl/>
        </w:rPr>
        <w:endnoteReference w:id="6"/>
      </w:r>
      <w:r>
        <w:rPr>
          <w:rFonts w:hint="cs"/>
          <w:rtl/>
        </w:rPr>
        <w:t xml:space="preserve">. </w:t>
      </w:r>
    </w:p>
    <w:p w:rsidR="00EC210E" w:rsidRDefault="00EC210E" w:rsidP="00EC210E">
      <w:pPr>
        <w:rPr>
          <w:rFonts w:hint="cs"/>
          <w:rtl/>
        </w:rPr>
      </w:pPr>
      <w:r>
        <w:rPr>
          <w:rFonts w:hint="cs"/>
          <w:rtl/>
        </w:rPr>
        <w:t xml:space="preserve">מעשה </w:t>
      </w:r>
      <w:r w:rsidRPr="00793608">
        <w:rPr>
          <w:rFonts w:hint="cs"/>
          <w:b/>
          <w:bCs/>
          <w:sz w:val="28"/>
          <w:szCs w:val="28"/>
          <w:rtl/>
        </w:rPr>
        <w:t>ב</w:t>
      </w:r>
      <w:r>
        <w:rPr>
          <w:rFonts w:hint="cs"/>
          <w:rtl/>
        </w:rPr>
        <w:t>ראשית פותח ב-</w:t>
      </w:r>
      <w:r w:rsidRPr="003550E1">
        <w:rPr>
          <w:rFonts w:hint="cs"/>
          <w:b/>
          <w:bCs/>
          <w:sz w:val="28"/>
          <w:szCs w:val="28"/>
          <w:rtl/>
        </w:rPr>
        <w:t>ב</w:t>
      </w:r>
      <w:r>
        <w:rPr>
          <w:rFonts w:hint="cs"/>
          <w:rtl/>
        </w:rPr>
        <w:t xml:space="preserve">, לשון </w:t>
      </w:r>
      <w:r w:rsidRPr="003550E1">
        <w:rPr>
          <w:rFonts w:hint="cs"/>
          <w:b/>
          <w:bCs/>
          <w:sz w:val="28"/>
          <w:szCs w:val="28"/>
          <w:rtl/>
        </w:rPr>
        <w:t>ב</w:t>
      </w:r>
      <w:r>
        <w:rPr>
          <w:rFonts w:hint="cs"/>
          <w:rtl/>
        </w:rPr>
        <w:t>רכה</w:t>
      </w:r>
      <w:r w:rsidRPr="005316B5">
        <w:rPr>
          <w:rStyle w:val="a6"/>
          <w:rtl/>
        </w:rPr>
        <w:endnoteReference w:id="7"/>
      </w:r>
      <w:r>
        <w:rPr>
          <w:rFonts w:hint="cs"/>
          <w:rtl/>
        </w:rPr>
        <w:t xml:space="preserve">, וכל ענינו המשכת שפע ברכה מהעליונים אל התחתונים, מהחתן אל הכלה. ואכן, אחרי הכלל הגדול של ה"יום אחד" </w:t>
      </w:r>
      <w:r>
        <w:rPr>
          <w:rtl/>
        </w:rPr>
        <w:t>–</w:t>
      </w:r>
      <w:r>
        <w:rPr>
          <w:rFonts w:hint="cs"/>
          <w:rtl/>
        </w:rPr>
        <w:t xml:space="preserve"> "בראשית ברא </w:t>
      </w:r>
      <w:proofErr w:type="spellStart"/>
      <w:r>
        <w:rPr>
          <w:rFonts w:hint="cs"/>
          <w:rtl/>
        </w:rPr>
        <w:t>אלהים</w:t>
      </w:r>
      <w:proofErr w:type="spellEnd"/>
      <w:r>
        <w:rPr>
          <w:rFonts w:hint="cs"/>
          <w:rtl/>
        </w:rPr>
        <w:t xml:space="preserve"> את השמים ואת הארץ" </w:t>
      </w:r>
      <w:r>
        <w:rPr>
          <w:rtl/>
        </w:rPr>
        <w:t>–</w:t>
      </w:r>
      <w:r>
        <w:rPr>
          <w:rFonts w:hint="cs"/>
          <w:rtl/>
        </w:rPr>
        <w:t xml:space="preserve"> בא בתורה פירוט של שלשת שלבי המשכת הברכה בבריאת יום זה. אלו הם שלשת השלבים של החיבור בין החתן והכלה, בהם ממשיך החתן ברכה אל כלתו </w:t>
      </w:r>
      <w:r>
        <w:rPr>
          <w:rtl/>
        </w:rPr>
        <w:t>–</w:t>
      </w:r>
      <w:r>
        <w:rPr>
          <w:rFonts w:hint="cs"/>
          <w:rtl/>
        </w:rPr>
        <w:t xml:space="preserve"> שלבים המתוארים בזהר בלשון "</w:t>
      </w:r>
      <w:proofErr w:type="spellStart"/>
      <w:r>
        <w:rPr>
          <w:rFonts w:hint="cs"/>
          <w:rtl/>
        </w:rPr>
        <w:t>לארקא</w:t>
      </w:r>
      <w:proofErr w:type="spellEnd"/>
      <w:r>
        <w:rPr>
          <w:rFonts w:hint="cs"/>
          <w:rtl/>
        </w:rPr>
        <w:t xml:space="preserve"> [הרקה מלאה של נקודת עצמות החתן אל כלתו, בביאת </w:t>
      </w:r>
      <w:proofErr w:type="spellStart"/>
      <w:r>
        <w:rPr>
          <w:rFonts w:hint="cs"/>
          <w:rtl/>
        </w:rPr>
        <w:t>המצוה</w:t>
      </w:r>
      <w:proofErr w:type="spellEnd"/>
      <w:r>
        <w:rPr>
          <w:rFonts w:hint="cs"/>
          <w:rtl/>
        </w:rPr>
        <w:t xml:space="preserve"> רבת העוצמה בפרט, ובכלל בהלם המפגש הראשוני שלהם בחיי הנישואין] </w:t>
      </w:r>
      <w:proofErr w:type="spellStart"/>
      <w:r>
        <w:rPr>
          <w:rFonts w:hint="cs"/>
          <w:rtl/>
        </w:rPr>
        <w:t>לאמשכא</w:t>
      </w:r>
      <w:proofErr w:type="spellEnd"/>
      <w:r>
        <w:rPr>
          <w:rFonts w:hint="cs"/>
          <w:rtl/>
        </w:rPr>
        <w:t xml:space="preserve"> [בהמשכת קו שפע פנימי מהחתן אל כלתו] </w:t>
      </w:r>
      <w:proofErr w:type="spellStart"/>
      <w:r>
        <w:rPr>
          <w:rFonts w:hint="cs"/>
          <w:rtl/>
        </w:rPr>
        <w:t>ולאנהרא</w:t>
      </w:r>
      <w:proofErr w:type="spellEnd"/>
      <w:r>
        <w:rPr>
          <w:rFonts w:hint="cs"/>
          <w:rtl/>
        </w:rPr>
        <w:t xml:space="preserve"> [כאשר ברכת החתן מתפשטת להארה שלמה על כל 'שטח החיים' של 'ביתו זו אשתו'</w:t>
      </w:r>
      <w:r w:rsidRPr="005316B5">
        <w:rPr>
          <w:rStyle w:val="a6"/>
          <w:rtl/>
        </w:rPr>
        <w:endnoteReference w:id="8"/>
      </w:r>
      <w:r>
        <w:rPr>
          <w:rFonts w:hint="cs"/>
          <w:rtl/>
        </w:rPr>
        <w:t>]"</w:t>
      </w:r>
      <w:r w:rsidRPr="005316B5">
        <w:rPr>
          <w:rStyle w:val="a6"/>
          <w:rtl/>
        </w:rPr>
        <w:endnoteReference w:id="9"/>
      </w:r>
      <w:r>
        <w:rPr>
          <w:rFonts w:hint="cs"/>
          <w:rtl/>
        </w:rPr>
        <w:t>.</w:t>
      </w:r>
    </w:p>
    <w:p w:rsidR="00EC210E" w:rsidRDefault="00EC210E" w:rsidP="00EC210E">
      <w:pPr>
        <w:rPr>
          <w:rFonts w:hint="cs"/>
          <w:rtl/>
        </w:rPr>
      </w:pPr>
      <w:r>
        <w:rPr>
          <w:rFonts w:hint="cs"/>
          <w:rtl/>
        </w:rPr>
        <w:t>השלב הראשון הוא "והארץ [שאחד מכינוייה הוא "</w:t>
      </w:r>
      <w:proofErr w:type="spellStart"/>
      <w:r w:rsidRPr="00E84990">
        <w:rPr>
          <w:rStyle w:val="a3"/>
          <w:rFonts w:hint="cs"/>
          <w:rtl/>
        </w:rPr>
        <w:t>ארקא</w:t>
      </w:r>
      <w:proofErr w:type="spellEnd"/>
      <w:r>
        <w:rPr>
          <w:rFonts w:hint="cs"/>
          <w:rtl/>
        </w:rPr>
        <w:t>"</w:t>
      </w:r>
      <w:r w:rsidRPr="005316B5">
        <w:rPr>
          <w:rStyle w:val="a6"/>
          <w:rtl/>
        </w:rPr>
        <w:endnoteReference w:id="10"/>
      </w:r>
      <w:r>
        <w:rPr>
          <w:rFonts w:hint="cs"/>
          <w:rtl/>
        </w:rPr>
        <w:t xml:space="preserve">] </w:t>
      </w:r>
      <w:proofErr w:type="spellStart"/>
      <w:r>
        <w:rPr>
          <w:rFonts w:hint="cs"/>
          <w:rtl/>
        </w:rPr>
        <w:t>היתה</w:t>
      </w:r>
      <w:proofErr w:type="spellEnd"/>
      <w:r>
        <w:rPr>
          <w:rFonts w:hint="cs"/>
          <w:rtl/>
        </w:rPr>
        <w:t xml:space="preserve"> תהו ובהו"</w:t>
      </w:r>
      <w:r w:rsidRPr="005316B5">
        <w:rPr>
          <w:rStyle w:val="a6"/>
          <w:rtl/>
        </w:rPr>
        <w:endnoteReference w:id="11"/>
      </w:r>
      <w:r>
        <w:rPr>
          <w:rFonts w:hint="cs"/>
          <w:rtl/>
        </w:rPr>
        <w:t xml:space="preserve"> </w:t>
      </w:r>
      <w:r>
        <w:rPr>
          <w:rtl/>
        </w:rPr>
        <w:t>–</w:t>
      </w:r>
      <w:r>
        <w:rPr>
          <w:rFonts w:hint="cs"/>
          <w:rtl/>
        </w:rPr>
        <w:t xml:space="preserve"> זהו תיאור להשפעת </w:t>
      </w:r>
      <w:proofErr w:type="spellStart"/>
      <w:r>
        <w:rPr>
          <w:rFonts w:hint="cs"/>
          <w:rtl/>
        </w:rPr>
        <w:t>התהו</w:t>
      </w:r>
      <w:proofErr w:type="spellEnd"/>
      <w:r>
        <w:rPr>
          <w:rFonts w:hint="cs"/>
          <w:rtl/>
        </w:rPr>
        <w:t xml:space="preserve"> מלאת העוצמה של "</w:t>
      </w:r>
      <w:proofErr w:type="spellStart"/>
      <w:r w:rsidRPr="00E84990">
        <w:rPr>
          <w:rStyle w:val="a3"/>
          <w:rFonts w:hint="cs"/>
          <w:rtl/>
        </w:rPr>
        <w:t>לארקא</w:t>
      </w:r>
      <w:proofErr w:type="spellEnd"/>
      <w:r>
        <w:rPr>
          <w:rFonts w:hint="cs"/>
          <w:rtl/>
        </w:rPr>
        <w:t>", כרמוז בכך שתרגום "תהו ובהו" הוא "</w:t>
      </w:r>
      <w:proofErr w:type="spellStart"/>
      <w:r>
        <w:rPr>
          <w:rFonts w:hint="cs"/>
          <w:rtl/>
        </w:rPr>
        <w:t>צדיא</w:t>
      </w:r>
      <w:proofErr w:type="spellEnd"/>
      <w:r>
        <w:rPr>
          <w:rFonts w:hint="cs"/>
          <w:rtl/>
        </w:rPr>
        <w:t xml:space="preserve"> </w:t>
      </w:r>
      <w:proofErr w:type="spellStart"/>
      <w:r>
        <w:rPr>
          <w:rFonts w:hint="cs"/>
          <w:rtl/>
        </w:rPr>
        <w:t>ו</w:t>
      </w:r>
      <w:r w:rsidRPr="00E84990">
        <w:rPr>
          <w:rStyle w:val="a3"/>
          <w:rFonts w:hint="cs"/>
          <w:rtl/>
        </w:rPr>
        <w:t>ריקניא</w:t>
      </w:r>
      <w:proofErr w:type="spellEnd"/>
      <w:r>
        <w:rPr>
          <w:rFonts w:hint="cs"/>
          <w:rtl/>
        </w:rPr>
        <w:t xml:space="preserve">". ההלם הראשוני של השפעת </w:t>
      </w:r>
      <w:proofErr w:type="spellStart"/>
      <w:r>
        <w:rPr>
          <w:rFonts w:hint="cs"/>
          <w:rtl/>
        </w:rPr>
        <w:t>התהו</w:t>
      </w:r>
      <w:proofErr w:type="spellEnd"/>
      <w:r>
        <w:rPr>
          <w:rFonts w:hint="cs"/>
          <w:rtl/>
        </w:rPr>
        <w:t xml:space="preserve"> הוא המתחיל </w:t>
      </w:r>
      <w:proofErr w:type="spellStart"/>
      <w:r>
        <w:rPr>
          <w:rFonts w:hint="cs"/>
          <w:rtl/>
        </w:rPr>
        <w:t>ליסד</w:t>
      </w:r>
      <w:proofErr w:type="spellEnd"/>
      <w:r>
        <w:rPr>
          <w:rFonts w:hint="cs"/>
          <w:rtl/>
        </w:rPr>
        <w:t xml:space="preserve"> ארץ-כלי לבריאה כולה. המשך הפסוק </w:t>
      </w:r>
      <w:r>
        <w:rPr>
          <w:rtl/>
        </w:rPr>
        <w:t>–</w:t>
      </w:r>
      <w:r>
        <w:rPr>
          <w:rFonts w:hint="cs"/>
          <w:rtl/>
        </w:rPr>
        <w:t xml:space="preserve"> "ו</w:t>
      </w:r>
      <w:r w:rsidRPr="00E84990">
        <w:rPr>
          <w:rStyle w:val="a3"/>
          <w:rFonts w:hint="cs"/>
          <w:rtl/>
        </w:rPr>
        <w:t>חשך</w:t>
      </w:r>
      <w:r>
        <w:rPr>
          <w:rFonts w:hint="cs"/>
          <w:rtl/>
        </w:rPr>
        <w:t xml:space="preserve"> על פני תהום" </w:t>
      </w:r>
      <w:r>
        <w:rPr>
          <w:rtl/>
        </w:rPr>
        <w:t>–</w:t>
      </w:r>
      <w:r>
        <w:rPr>
          <w:rFonts w:hint="cs"/>
          <w:rtl/>
        </w:rPr>
        <w:t xml:space="preserve"> רומז </w:t>
      </w:r>
      <w:proofErr w:type="spellStart"/>
      <w:r>
        <w:rPr>
          <w:rFonts w:hint="cs"/>
          <w:rtl/>
        </w:rPr>
        <w:t>ל"רוחא</w:t>
      </w:r>
      <w:proofErr w:type="spellEnd"/>
      <w:r>
        <w:rPr>
          <w:rFonts w:hint="cs"/>
          <w:rtl/>
        </w:rPr>
        <w:t xml:space="preserve"> </w:t>
      </w:r>
      <w:proofErr w:type="spellStart"/>
      <w:r>
        <w:rPr>
          <w:rFonts w:hint="cs"/>
          <w:rtl/>
        </w:rPr>
        <w:t>דשביק</w:t>
      </w:r>
      <w:proofErr w:type="spellEnd"/>
      <w:r>
        <w:rPr>
          <w:rFonts w:hint="cs"/>
          <w:rtl/>
        </w:rPr>
        <w:t xml:space="preserve"> בה בעלה"</w:t>
      </w:r>
      <w:r w:rsidRPr="005316B5">
        <w:rPr>
          <w:rStyle w:val="a6"/>
          <w:rtl/>
        </w:rPr>
        <w:endnoteReference w:id="12"/>
      </w:r>
      <w:r>
        <w:rPr>
          <w:rFonts w:hint="cs"/>
          <w:rtl/>
        </w:rPr>
        <w:t xml:space="preserve"> בביאת מצוה, תחושת </w:t>
      </w:r>
      <w:proofErr w:type="spellStart"/>
      <w:r>
        <w:rPr>
          <w:rFonts w:hint="cs"/>
          <w:rtl/>
        </w:rPr>
        <w:t>החסרון</w:t>
      </w:r>
      <w:proofErr w:type="spellEnd"/>
      <w:r>
        <w:rPr>
          <w:rFonts w:hint="cs"/>
          <w:rtl/>
        </w:rPr>
        <w:t xml:space="preserve"> (החשוכה), ה</w:t>
      </w:r>
      <w:r w:rsidRPr="00E84990">
        <w:rPr>
          <w:rStyle w:val="a3"/>
          <w:rFonts w:hint="cs"/>
          <w:rtl/>
        </w:rPr>
        <w:t>חשק</w:t>
      </w:r>
      <w:r>
        <w:rPr>
          <w:rFonts w:hint="cs"/>
          <w:rtl/>
        </w:rPr>
        <w:t xml:space="preserve"> (כאשר </w:t>
      </w:r>
      <w:r w:rsidRPr="00D12071">
        <w:rPr>
          <w:rFonts w:hint="cs"/>
          <w:b/>
          <w:bCs/>
          <w:sz w:val="28"/>
          <w:szCs w:val="28"/>
          <w:rtl/>
        </w:rPr>
        <w:t>ך</w:t>
      </w:r>
      <w:r>
        <w:rPr>
          <w:rFonts w:hint="cs"/>
          <w:rtl/>
        </w:rPr>
        <w:t xml:space="preserve"> ו-</w:t>
      </w:r>
      <w:r w:rsidRPr="00D12071">
        <w:rPr>
          <w:rFonts w:hint="cs"/>
          <w:b/>
          <w:bCs/>
          <w:sz w:val="28"/>
          <w:szCs w:val="28"/>
          <w:rtl/>
        </w:rPr>
        <w:t>ק</w:t>
      </w:r>
      <w:r>
        <w:rPr>
          <w:rFonts w:hint="cs"/>
          <w:rtl/>
        </w:rPr>
        <w:t xml:space="preserve"> מתחלפות באותיות </w:t>
      </w:r>
      <w:proofErr w:type="spellStart"/>
      <w:r>
        <w:rPr>
          <w:rFonts w:hint="cs"/>
          <w:rtl/>
        </w:rPr>
        <w:t>החיך</w:t>
      </w:r>
      <w:proofErr w:type="spellEnd"/>
      <w:r>
        <w:rPr>
          <w:rFonts w:hint="cs"/>
          <w:rtl/>
        </w:rPr>
        <w:t xml:space="preserve">, </w:t>
      </w:r>
      <w:proofErr w:type="spellStart"/>
      <w:r w:rsidRPr="00D12071">
        <w:rPr>
          <w:rFonts w:hint="cs"/>
          <w:b/>
          <w:bCs/>
          <w:sz w:val="28"/>
          <w:szCs w:val="28"/>
          <w:rtl/>
        </w:rPr>
        <w:t>גי</w:t>
      </w:r>
      <w:r>
        <w:rPr>
          <w:rFonts w:hint="cs"/>
          <w:b/>
          <w:bCs/>
          <w:sz w:val="28"/>
          <w:szCs w:val="28"/>
          <w:rtl/>
        </w:rPr>
        <w:t>כ</w:t>
      </w:r>
      <w:r w:rsidRPr="00D12071">
        <w:rPr>
          <w:rFonts w:hint="cs"/>
          <w:b/>
          <w:bCs/>
          <w:sz w:val="28"/>
          <w:szCs w:val="28"/>
          <w:rtl/>
        </w:rPr>
        <w:t>ק</w:t>
      </w:r>
      <w:proofErr w:type="spellEnd"/>
      <w:r>
        <w:rPr>
          <w:rFonts w:hint="cs"/>
          <w:rtl/>
        </w:rPr>
        <w:t xml:space="preserve">) והמשיכה שמותיר האיש בפנימיות רחם-תהום </w:t>
      </w:r>
      <w:proofErr w:type="spellStart"/>
      <w:r>
        <w:rPr>
          <w:rFonts w:hint="cs"/>
          <w:rtl/>
        </w:rPr>
        <w:t>האשה</w:t>
      </w:r>
      <w:proofErr w:type="spellEnd"/>
      <w:r>
        <w:rPr>
          <w:rFonts w:hint="cs"/>
          <w:rtl/>
        </w:rPr>
        <w:t xml:space="preserve">. </w:t>
      </w:r>
    </w:p>
    <w:p w:rsidR="00EC210E" w:rsidRDefault="00EC210E" w:rsidP="00EC210E">
      <w:pPr>
        <w:rPr>
          <w:rFonts w:hint="cs"/>
          <w:rtl/>
        </w:rPr>
      </w:pPr>
      <w:r>
        <w:rPr>
          <w:rFonts w:hint="cs"/>
          <w:rtl/>
        </w:rPr>
        <w:t xml:space="preserve">השלב השני מתואר בסיום הפסוק </w:t>
      </w:r>
      <w:r>
        <w:rPr>
          <w:rtl/>
        </w:rPr>
        <w:t>–</w:t>
      </w:r>
      <w:r>
        <w:rPr>
          <w:rFonts w:hint="cs"/>
          <w:rtl/>
        </w:rPr>
        <w:t xml:space="preserve"> "ורוח </w:t>
      </w:r>
      <w:proofErr w:type="spellStart"/>
      <w:r>
        <w:rPr>
          <w:rFonts w:hint="cs"/>
          <w:rtl/>
        </w:rPr>
        <w:t>אלהים</w:t>
      </w:r>
      <w:proofErr w:type="spellEnd"/>
      <w:r>
        <w:rPr>
          <w:rFonts w:hint="cs"/>
          <w:rtl/>
        </w:rPr>
        <w:t xml:space="preserve"> מרחפת על פני המים" </w:t>
      </w:r>
      <w:r>
        <w:rPr>
          <w:rtl/>
        </w:rPr>
        <w:t>–</w:t>
      </w:r>
      <w:r>
        <w:rPr>
          <w:rFonts w:hint="cs"/>
          <w:rtl/>
        </w:rPr>
        <w:t xml:space="preserve"> בו קיימת ראשית התיקון, אחרי </w:t>
      </w:r>
      <w:proofErr w:type="spellStart"/>
      <w:r>
        <w:rPr>
          <w:rFonts w:hint="cs"/>
          <w:rtl/>
        </w:rPr>
        <w:t>התהו</w:t>
      </w:r>
      <w:proofErr w:type="spellEnd"/>
      <w:r>
        <w:rPr>
          <w:rFonts w:hint="cs"/>
          <w:rtl/>
        </w:rPr>
        <w:t xml:space="preserve"> בו פותח הפסוק. זהו השלב השני, בו, עם כל מגמת החתן להמשיך אור פנימי וממוקד (בסוד "</w:t>
      </w:r>
      <w:proofErr w:type="spellStart"/>
      <w:r>
        <w:rPr>
          <w:rFonts w:hint="cs"/>
          <w:rtl/>
        </w:rPr>
        <w:t>לאמשכא</w:t>
      </w:r>
      <w:proofErr w:type="spellEnd"/>
      <w:r>
        <w:rPr>
          <w:rFonts w:hint="cs"/>
          <w:rtl/>
        </w:rPr>
        <w:t>"), הוא מגיע רק ל'ריחוף' על פניה של מציאות הכלה, ואין ברירה אלא שגם היא תשתתף בפעולת ההמשכה מצדה, ותמשוך את השפע המרחף מעליה אל תוכה פנימה</w:t>
      </w:r>
      <w:bookmarkStart w:id="2" w:name="_Ref144471950"/>
      <w:r w:rsidRPr="005316B5">
        <w:rPr>
          <w:rStyle w:val="a6"/>
          <w:rtl/>
        </w:rPr>
        <w:endnoteReference w:id="13"/>
      </w:r>
      <w:bookmarkEnd w:id="2"/>
      <w:r>
        <w:rPr>
          <w:rFonts w:hint="cs"/>
          <w:rtl/>
        </w:rPr>
        <w:t xml:space="preserve">. שפע פנימי זה הוא "על פני המים" </w:t>
      </w:r>
      <w:r>
        <w:rPr>
          <w:rtl/>
        </w:rPr>
        <w:t>–</w:t>
      </w:r>
      <w:r>
        <w:rPr>
          <w:rFonts w:hint="cs"/>
          <w:rtl/>
        </w:rPr>
        <w:t xml:space="preserve"> הוא המעורר את עלית ה"מיין </w:t>
      </w:r>
      <w:proofErr w:type="spellStart"/>
      <w:r>
        <w:rPr>
          <w:rFonts w:hint="cs"/>
          <w:rtl/>
        </w:rPr>
        <w:t>הנוקבין</w:t>
      </w:r>
      <w:proofErr w:type="spellEnd"/>
      <w:r>
        <w:rPr>
          <w:rFonts w:hint="cs"/>
          <w:rtl/>
        </w:rPr>
        <w:t>" בפנימיות הכלה (כאשר מתוך התהום עולים ובוקעים מי התהום), להתעורר לקראת הזיווג. תחושת ההלם הראשונה, עם החושך והגעגועים שבאים בעקבותיה, מדגישים עד כמה השפע מרחף עדיין "על פני המים" ומעוררים את תשוקתם החזקה (בבחינת "מים תחתונים בוכים"</w:t>
      </w:r>
      <w:r w:rsidRPr="005316B5">
        <w:rPr>
          <w:rStyle w:val="a6"/>
          <w:rtl/>
        </w:rPr>
        <w:endnoteReference w:id="14"/>
      </w:r>
      <w:r>
        <w:rPr>
          <w:rFonts w:hint="cs"/>
          <w:rtl/>
        </w:rPr>
        <w:t>) לקלוט שפע זה בפנימיות.</w:t>
      </w:r>
    </w:p>
    <w:p w:rsidR="00EC210E" w:rsidRDefault="00EC210E" w:rsidP="00EC210E">
      <w:pPr>
        <w:rPr>
          <w:rFonts w:hint="cs"/>
          <w:rtl/>
        </w:rPr>
      </w:pPr>
      <w:r>
        <w:rPr>
          <w:rFonts w:hint="cs"/>
          <w:rtl/>
        </w:rPr>
        <w:lastRenderedPageBreak/>
        <w:t xml:space="preserve">אז בא השלב השלישי </w:t>
      </w:r>
      <w:r>
        <w:rPr>
          <w:rtl/>
        </w:rPr>
        <w:t>–</w:t>
      </w:r>
      <w:r>
        <w:rPr>
          <w:rFonts w:hint="cs"/>
          <w:rtl/>
        </w:rPr>
        <w:t xml:space="preserve"> "ויאמר </w:t>
      </w:r>
      <w:proofErr w:type="spellStart"/>
      <w:r>
        <w:rPr>
          <w:rFonts w:hint="cs"/>
          <w:rtl/>
        </w:rPr>
        <w:t>אלהים</w:t>
      </w:r>
      <w:proofErr w:type="spellEnd"/>
      <w:r>
        <w:rPr>
          <w:rFonts w:hint="cs"/>
          <w:rtl/>
        </w:rPr>
        <w:t xml:space="preserve"> יהי אור"</w:t>
      </w:r>
      <w:r w:rsidRPr="005316B5">
        <w:rPr>
          <w:rStyle w:val="a6"/>
          <w:rtl/>
        </w:rPr>
        <w:endnoteReference w:id="15"/>
      </w:r>
      <w:r>
        <w:rPr>
          <w:rFonts w:hint="cs"/>
          <w:rtl/>
        </w:rPr>
        <w:t xml:space="preserve"> </w:t>
      </w:r>
      <w:r>
        <w:rPr>
          <w:rtl/>
        </w:rPr>
        <w:t>–</w:t>
      </w:r>
      <w:r>
        <w:rPr>
          <w:rFonts w:hint="cs"/>
          <w:rtl/>
        </w:rPr>
        <w:t xml:space="preserve"> שהוא פעולה מובהקת של "</w:t>
      </w:r>
      <w:proofErr w:type="spellStart"/>
      <w:r>
        <w:rPr>
          <w:rFonts w:hint="cs"/>
          <w:rtl/>
        </w:rPr>
        <w:t>לאנהרא</w:t>
      </w:r>
      <w:proofErr w:type="spellEnd"/>
      <w:r>
        <w:rPr>
          <w:rFonts w:hint="cs"/>
          <w:rtl/>
        </w:rPr>
        <w:t>", בו זוכים בני הזוג לאור מלא ושלם הממלא את ביתם ושורה על כל חייהם. בפרטות, כאן מורגש במיוחד שיתוף הפעולה בין האיש לאשה, ואף מעלתה עליו</w:t>
      </w:r>
      <w:r w:rsidRPr="007E003E">
        <w:rPr>
          <w:rStyle w:val="a6"/>
          <w:rtl/>
        </w:rPr>
        <w:fldChar w:fldCharType="begin"/>
      </w:r>
      <w:r w:rsidRPr="007E003E">
        <w:rPr>
          <w:rStyle w:val="a6"/>
          <w:rtl/>
        </w:rPr>
        <w:instrText xml:space="preserve"> </w:instrText>
      </w:r>
      <w:r w:rsidRPr="007E003E">
        <w:rPr>
          <w:rStyle w:val="a6"/>
          <w:rFonts w:hint="cs"/>
        </w:rPr>
        <w:instrText>NOTEREF</w:instrText>
      </w:r>
      <w:r w:rsidRPr="007E003E">
        <w:rPr>
          <w:rStyle w:val="a6"/>
          <w:rFonts w:hint="cs"/>
          <w:rtl/>
        </w:rPr>
        <w:instrText xml:space="preserve"> _</w:instrText>
      </w:r>
      <w:r w:rsidRPr="007E003E">
        <w:rPr>
          <w:rStyle w:val="a6"/>
          <w:rFonts w:hint="cs"/>
        </w:rPr>
        <w:instrText>Ref144471950 \h</w:instrText>
      </w:r>
      <w:r w:rsidRPr="007E003E">
        <w:rPr>
          <w:rStyle w:val="a6"/>
          <w:rtl/>
        </w:rPr>
        <w:instrText xml:space="preserve"> </w:instrText>
      </w:r>
      <w:r w:rsidRPr="007E003E">
        <w:rPr>
          <w:rStyle w:val="a6"/>
        </w:rPr>
      </w:r>
      <w:r>
        <w:rPr>
          <w:rStyle w:val="a6"/>
          <w:rtl/>
        </w:rPr>
        <w:instrText xml:space="preserve"> \* </w:instrText>
      </w:r>
      <w:r>
        <w:rPr>
          <w:rStyle w:val="a6"/>
        </w:rPr>
        <w:instrText>MERGEFORMAT</w:instrText>
      </w:r>
      <w:r>
        <w:rPr>
          <w:rStyle w:val="a6"/>
          <w:rtl/>
        </w:rPr>
        <w:instrText xml:space="preserve"> </w:instrText>
      </w:r>
      <w:r w:rsidRPr="007E003E">
        <w:rPr>
          <w:rStyle w:val="a6"/>
          <w:rtl/>
        </w:rPr>
        <w:fldChar w:fldCharType="separate"/>
      </w:r>
      <w:r>
        <w:rPr>
          <w:rStyle w:val="a6"/>
          <w:rtl/>
        </w:rPr>
        <w:t>יג</w:t>
      </w:r>
      <w:r w:rsidRPr="007E003E">
        <w:rPr>
          <w:rStyle w:val="a6"/>
          <w:rtl/>
        </w:rPr>
        <w:fldChar w:fldCharType="end"/>
      </w:r>
      <w:r>
        <w:rPr>
          <w:rFonts w:hint="cs"/>
          <w:rtl/>
        </w:rPr>
        <w:t xml:space="preserve"> </w:t>
      </w:r>
      <w:r>
        <w:rPr>
          <w:rtl/>
        </w:rPr>
        <w:t>–</w:t>
      </w:r>
      <w:r>
        <w:rPr>
          <w:rFonts w:hint="cs"/>
          <w:rtl/>
        </w:rPr>
        <w:t xml:space="preserve"> "ויאמר </w:t>
      </w:r>
      <w:proofErr w:type="spellStart"/>
      <w:r>
        <w:rPr>
          <w:rFonts w:hint="cs"/>
          <w:rtl/>
        </w:rPr>
        <w:t>אלהים</w:t>
      </w:r>
      <w:proofErr w:type="spellEnd"/>
      <w:r>
        <w:rPr>
          <w:rFonts w:hint="cs"/>
          <w:rtl/>
        </w:rPr>
        <w:t xml:space="preserve"> יהי אור [בסוד האור הישר של החתן] ויהי אור [בסוד האור החוזר, והנעלה, של הכלה, בחינת </w:t>
      </w:r>
      <w:r w:rsidRPr="00793608">
        <w:rPr>
          <w:rFonts w:hint="cs"/>
          <w:b/>
          <w:bCs/>
          <w:sz w:val="28"/>
          <w:szCs w:val="28"/>
          <w:rtl/>
        </w:rPr>
        <w:t>רחל</w:t>
      </w:r>
      <w:r>
        <w:rPr>
          <w:rFonts w:hint="cs"/>
          <w:rtl/>
        </w:rPr>
        <w:t xml:space="preserve"> העולה </w:t>
      </w:r>
      <w:proofErr w:type="spellStart"/>
      <w:r>
        <w:rPr>
          <w:rFonts w:hint="cs"/>
          <w:rtl/>
        </w:rPr>
        <w:t>בגימטריא</w:t>
      </w:r>
      <w:proofErr w:type="spellEnd"/>
      <w:r>
        <w:rPr>
          <w:rFonts w:hint="cs"/>
          <w:rtl/>
        </w:rPr>
        <w:t xml:space="preserve"> '</w:t>
      </w:r>
      <w:r w:rsidRPr="00793608">
        <w:rPr>
          <w:rFonts w:hint="cs"/>
          <w:b/>
          <w:bCs/>
          <w:sz w:val="28"/>
          <w:szCs w:val="28"/>
          <w:rtl/>
        </w:rPr>
        <w:t>ויהי</w:t>
      </w:r>
      <w:r>
        <w:rPr>
          <w:rFonts w:hint="cs"/>
          <w:rtl/>
        </w:rPr>
        <w:t xml:space="preserve"> </w:t>
      </w:r>
      <w:r w:rsidRPr="00793608">
        <w:rPr>
          <w:rFonts w:hint="cs"/>
          <w:b/>
          <w:bCs/>
          <w:sz w:val="28"/>
          <w:szCs w:val="28"/>
          <w:rtl/>
        </w:rPr>
        <w:t>אור</w:t>
      </w:r>
      <w:r>
        <w:rPr>
          <w:rFonts w:hint="cs"/>
          <w:rtl/>
        </w:rPr>
        <w:t xml:space="preserve">', עליו דווקא נאמר] וירא </w:t>
      </w:r>
      <w:proofErr w:type="spellStart"/>
      <w:r>
        <w:rPr>
          <w:rFonts w:hint="cs"/>
          <w:rtl/>
        </w:rPr>
        <w:t>אלהים</w:t>
      </w:r>
      <w:proofErr w:type="spellEnd"/>
      <w:r>
        <w:rPr>
          <w:rFonts w:hint="cs"/>
          <w:rtl/>
        </w:rPr>
        <w:t xml:space="preserve"> את האור כי טוב".</w:t>
      </w:r>
    </w:p>
    <w:p w:rsidR="005F4A47" w:rsidRDefault="00154249">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249" w:rsidRDefault="00154249" w:rsidP="00EC210E">
      <w:pPr>
        <w:spacing w:after="0" w:line="240" w:lineRule="auto"/>
      </w:pPr>
      <w:r>
        <w:separator/>
      </w:r>
    </w:p>
  </w:endnote>
  <w:endnote w:type="continuationSeparator" w:id="0">
    <w:p w:rsidR="00154249" w:rsidRDefault="00154249" w:rsidP="00EC210E">
      <w:pPr>
        <w:spacing w:after="0" w:line="240" w:lineRule="auto"/>
      </w:pPr>
      <w:r>
        <w:continuationSeparator/>
      </w:r>
    </w:p>
  </w:endnote>
  <w:endnote w:id="1">
    <w:p w:rsidR="00EC210E" w:rsidRDefault="00EC210E" w:rsidP="00EC210E">
      <w:pPr>
        <w:pStyle w:val="a4"/>
        <w:rPr>
          <w:rFonts w:hint="cs"/>
          <w:rtl/>
        </w:rPr>
      </w:pPr>
      <w:r>
        <w:rPr>
          <w:rtl/>
        </w:rPr>
        <w:tab/>
      </w:r>
      <w:r w:rsidRPr="00E15672">
        <w:rPr>
          <w:rtl/>
        </w:rPr>
        <w:endnoteRef/>
      </w:r>
      <w:r>
        <w:rPr>
          <w:rtl/>
        </w:rPr>
        <w:t>.</w:t>
      </w:r>
      <w:r>
        <w:rPr>
          <w:rtl/>
        </w:rPr>
        <w:tab/>
      </w:r>
      <w:r>
        <w:rPr>
          <w:rFonts w:hint="cs"/>
          <w:rtl/>
        </w:rPr>
        <w:t>בראשית א, א.</w:t>
      </w:r>
    </w:p>
  </w:endnote>
  <w:endnote w:id="2">
    <w:p w:rsidR="00EC210E" w:rsidRDefault="00EC210E" w:rsidP="00EC210E">
      <w:pPr>
        <w:pStyle w:val="a4"/>
        <w:rPr>
          <w:rFonts w:hint="cs"/>
        </w:rPr>
      </w:pPr>
      <w:r>
        <w:rPr>
          <w:rtl/>
        </w:rPr>
        <w:tab/>
      </w:r>
      <w:r w:rsidRPr="00E15672">
        <w:rPr>
          <w:rtl/>
        </w:rPr>
        <w:endnoteRef/>
      </w:r>
      <w:r>
        <w:rPr>
          <w:rtl/>
        </w:rPr>
        <w:t>.</w:t>
      </w:r>
      <w:r>
        <w:rPr>
          <w:rtl/>
        </w:rPr>
        <w:tab/>
      </w:r>
      <w:r>
        <w:rPr>
          <w:rFonts w:hint="cs"/>
          <w:rtl/>
        </w:rPr>
        <w:t xml:space="preserve">ח"א </w:t>
      </w:r>
      <w:proofErr w:type="spellStart"/>
      <w:r>
        <w:rPr>
          <w:rFonts w:hint="cs"/>
          <w:rtl/>
        </w:rPr>
        <w:t>קכב</w:t>
      </w:r>
      <w:proofErr w:type="spellEnd"/>
      <w:r>
        <w:rPr>
          <w:rFonts w:hint="cs"/>
          <w:rtl/>
        </w:rPr>
        <w:t>, ב (ובכ"ד).</w:t>
      </w:r>
    </w:p>
  </w:endnote>
  <w:endnote w:id="3">
    <w:p w:rsidR="00EC210E" w:rsidRDefault="00EC210E" w:rsidP="00EC210E">
      <w:pPr>
        <w:pStyle w:val="a4"/>
        <w:rPr>
          <w:rFonts w:hint="cs"/>
          <w:rtl/>
        </w:rPr>
      </w:pPr>
      <w:r>
        <w:rPr>
          <w:rtl/>
        </w:rPr>
        <w:tab/>
      </w:r>
      <w:r w:rsidRPr="00E15672">
        <w:rPr>
          <w:rtl/>
        </w:rPr>
        <w:endnoteRef/>
      </w:r>
      <w:r>
        <w:rPr>
          <w:rtl/>
        </w:rPr>
        <w:t>.</w:t>
      </w:r>
      <w:r>
        <w:rPr>
          <w:rtl/>
        </w:rPr>
        <w:tab/>
      </w:r>
      <w:r>
        <w:rPr>
          <w:rFonts w:hint="cs"/>
          <w:rtl/>
        </w:rPr>
        <w:t>כמבואר באורך בספר אור הגנוז, וראה שכינה ביניהם פ"ב.</w:t>
      </w:r>
    </w:p>
  </w:endnote>
  <w:endnote w:id="4">
    <w:p w:rsidR="00EC210E" w:rsidRDefault="00EC210E" w:rsidP="00EC210E">
      <w:pPr>
        <w:pStyle w:val="a4"/>
        <w:rPr>
          <w:rFonts w:hint="cs"/>
          <w:rtl/>
        </w:rPr>
      </w:pPr>
      <w:r>
        <w:rPr>
          <w:rtl/>
        </w:rPr>
        <w:tab/>
      </w:r>
      <w:r w:rsidRPr="00E15672">
        <w:rPr>
          <w:rtl/>
        </w:rPr>
        <w:endnoteRef/>
      </w:r>
      <w:r>
        <w:rPr>
          <w:rtl/>
        </w:rPr>
        <w:t>.</w:t>
      </w:r>
      <w:r>
        <w:rPr>
          <w:rtl/>
        </w:rPr>
        <w:tab/>
      </w:r>
      <w:r>
        <w:rPr>
          <w:rFonts w:hint="cs"/>
          <w:rtl/>
        </w:rPr>
        <w:t xml:space="preserve">ישעיה </w:t>
      </w:r>
      <w:proofErr w:type="spellStart"/>
      <w:r>
        <w:rPr>
          <w:rFonts w:hint="cs"/>
          <w:rtl/>
        </w:rPr>
        <w:t>מא</w:t>
      </w:r>
      <w:proofErr w:type="spellEnd"/>
      <w:r>
        <w:rPr>
          <w:rFonts w:hint="cs"/>
          <w:rtl/>
        </w:rPr>
        <w:t>, ז (וכן הוא בנוסח שטר התנאים ביחס לשידוך החתן והכלה).</w:t>
      </w:r>
    </w:p>
  </w:endnote>
  <w:endnote w:id="5">
    <w:p w:rsidR="00EC210E" w:rsidRDefault="00EC210E" w:rsidP="00EC210E">
      <w:pPr>
        <w:pStyle w:val="a4"/>
        <w:rPr>
          <w:rFonts w:hint="cs"/>
          <w:rtl/>
        </w:rPr>
      </w:pPr>
      <w:r>
        <w:rPr>
          <w:rtl/>
        </w:rPr>
        <w:tab/>
      </w:r>
      <w:r w:rsidRPr="00E15672">
        <w:rPr>
          <w:rtl/>
        </w:rPr>
        <w:endnoteRef/>
      </w:r>
      <w:r>
        <w:rPr>
          <w:rtl/>
        </w:rPr>
        <w:t>.</w:t>
      </w:r>
      <w:r>
        <w:rPr>
          <w:rtl/>
        </w:rPr>
        <w:tab/>
      </w:r>
      <w:r>
        <w:rPr>
          <w:rFonts w:hint="cs"/>
          <w:rtl/>
        </w:rPr>
        <w:t>בראשית א, ה.</w:t>
      </w:r>
    </w:p>
  </w:endnote>
  <w:endnote w:id="6">
    <w:p w:rsidR="00EC210E" w:rsidRDefault="00EC210E" w:rsidP="00EC210E">
      <w:pPr>
        <w:pStyle w:val="a4"/>
        <w:rPr>
          <w:rFonts w:hint="cs"/>
        </w:rPr>
      </w:pPr>
      <w:r>
        <w:rPr>
          <w:rtl/>
        </w:rPr>
        <w:tab/>
      </w:r>
      <w:r w:rsidRPr="00E15672">
        <w:rPr>
          <w:rtl/>
        </w:rPr>
        <w:endnoteRef/>
      </w:r>
      <w:r>
        <w:rPr>
          <w:rtl/>
        </w:rPr>
        <w:t>.</w:t>
      </w:r>
      <w:r>
        <w:rPr>
          <w:rtl/>
        </w:rPr>
        <w:tab/>
      </w:r>
      <w:r>
        <w:rPr>
          <w:rFonts w:hint="cs"/>
          <w:rtl/>
        </w:rPr>
        <w:t>שם ב, כד.</w:t>
      </w:r>
    </w:p>
  </w:endnote>
  <w:endnote w:id="7">
    <w:p w:rsidR="00EC210E" w:rsidRDefault="00EC210E" w:rsidP="00EC210E">
      <w:pPr>
        <w:pStyle w:val="a4"/>
        <w:rPr>
          <w:rFonts w:hint="cs"/>
          <w:rtl/>
        </w:rPr>
      </w:pPr>
      <w:r>
        <w:rPr>
          <w:rtl/>
        </w:rPr>
        <w:tab/>
      </w:r>
      <w:r w:rsidRPr="00E15672">
        <w:rPr>
          <w:rtl/>
        </w:rPr>
        <w:endnoteRef/>
      </w:r>
      <w:r>
        <w:rPr>
          <w:rtl/>
        </w:rPr>
        <w:t>.</w:t>
      </w:r>
      <w:r>
        <w:rPr>
          <w:rtl/>
        </w:rPr>
        <w:tab/>
      </w:r>
      <w:r>
        <w:rPr>
          <w:rFonts w:hint="cs"/>
          <w:rtl/>
        </w:rPr>
        <w:t>בראשית רבה א, י (ובכ"ד).</w:t>
      </w:r>
    </w:p>
  </w:endnote>
  <w:endnote w:id="8">
    <w:p w:rsidR="00EC210E" w:rsidRDefault="00EC210E" w:rsidP="00EC210E">
      <w:pPr>
        <w:pStyle w:val="a4"/>
        <w:rPr>
          <w:rFonts w:hint="cs"/>
          <w:rtl/>
        </w:rPr>
      </w:pPr>
      <w:r>
        <w:rPr>
          <w:rtl/>
        </w:rPr>
        <w:tab/>
      </w:r>
      <w:r w:rsidRPr="00E15672">
        <w:rPr>
          <w:rtl/>
        </w:rPr>
        <w:endnoteRef/>
      </w:r>
      <w:r>
        <w:rPr>
          <w:rtl/>
        </w:rPr>
        <w:t>.</w:t>
      </w:r>
      <w:r>
        <w:rPr>
          <w:rtl/>
        </w:rPr>
        <w:tab/>
      </w:r>
      <w:r>
        <w:rPr>
          <w:rFonts w:hint="cs"/>
          <w:rtl/>
        </w:rPr>
        <w:t>יומא פ"א מ"א.</w:t>
      </w:r>
    </w:p>
  </w:endnote>
  <w:endnote w:id="9">
    <w:p w:rsidR="00EC210E" w:rsidRDefault="00EC210E" w:rsidP="00EC210E">
      <w:pPr>
        <w:pStyle w:val="a4"/>
        <w:rPr>
          <w:rFonts w:hint="cs"/>
          <w:rtl/>
        </w:rPr>
      </w:pPr>
      <w:r>
        <w:rPr>
          <w:rtl/>
        </w:rPr>
        <w:tab/>
      </w:r>
      <w:r w:rsidRPr="00E15672">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רעא</w:t>
      </w:r>
      <w:proofErr w:type="spellEnd"/>
      <w:r>
        <w:rPr>
          <w:rFonts w:hint="cs"/>
          <w:rtl/>
        </w:rPr>
        <w:t xml:space="preserve">, א </w:t>
      </w:r>
      <w:r>
        <w:rPr>
          <w:rtl/>
        </w:rPr>
        <w:t>–</w:t>
      </w:r>
      <w:r>
        <w:rPr>
          <w:rFonts w:hint="cs"/>
          <w:rtl/>
        </w:rPr>
        <w:t xml:space="preserve"> ונתבאר באורך בתורה הקודמת, "</w:t>
      </w:r>
      <w:proofErr w:type="spellStart"/>
      <w:r>
        <w:rPr>
          <w:rFonts w:hint="cs"/>
          <w:rtl/>
        </w:rPr>
        <w:t>איהו</w:t>
      </w:r>
      <w:proofErr w:type="spellEnd"/>
      <w:r>
        <w:rPr>
          <w:rFonts w:hint="cs"/>
          <w:rtl/>
        </w:rPr>
        <w:t xml:space="preserve"> ברוך </w:t>
      </w:r>
      <w:proofErr w:type="spellStart"/>
      <w:r>
        <w:rPr>
          <w:rFonts w:hint="cs"/>
          <w:rtl/>
        </w:rPr>
        <w:t>ואיהי</w:t>
      </w:r>
      <w:proofErr w:type="spellEnd"/>
      <w:r>
        <w:rPr>
          <w:rFonts w:hint="cs"/>
          <w:rtl/>
        </w:rPr>
        <w:t xml:space="preserve"> ברכה".</w:t>
      </w:r>
    </w:p>
  </w:endnote>
  <w:endnote w:id="10">
    <w:p w:rsidR="00EC210E" w:rsidRDefault="00EC210E" w:rsidP="00EC210E">
      <w:pPr>
        <w:pStyle w:val="a4"/>
        <w:rPr>
          <w:rFonts w:hint="cs"/>
          <w:rtl/>
        </w:rPr>
      </w:pPr>
      <w:r>
        <w:rPr>
          <w:rtl/>
        </w:rPr>
        <w:tab/>
      </w:r>
      <w:r w:rsidRPr="00E15672">
        <w:rPr>
          <w:rtl/>
        </w:rPr>
        <w:endnoteRef/>
      </w:r>
      <w:r>
        <w:rPr>
          <w:rtl/>
        </w:rPr>
        <w:t>.</w:t>
      </w:r>
      <w:r>
        <w:rPr>
          <w:rtl/>
        </w:rPr>
        <w:tab/>
      </w:r>
      <w:r>
        <w:rPr>
          <w:rFonts w:hint="cs"/>
          <w:rtl/>
        </w:rPr>
        <w:t>ירמיה י, יא (והובא בכ"ד במדרשי חז"ל כאחד מארבעה, שבעה ואף עשרה שמות שיש לארץ).</w:t>
      </w:r>
    </w:p>
  </w:endnote>
  <w:endnote w:id="11">
    <w:p w:rsidR="00EC210E" w:rsidRDefault="00EC210E" w:rsidP="00EC210E">
      <w:pPr>
        <w:pStyle w:val="a4"/>
        <w:rPr>
          <w:rFonts w:hint="cs"/>
          <w:rtl/>
        </w:rPr>
      </w:pPr>
      <w:r>
        <w:rPr>
          <w:rtl/>
        </w:rPr>
        <w:tab/>
      </w:r>
      <w:r w:rsidRPr="00E15672">
        <w:rPr>
          <w:rtl/>
        </w:rPr>
        <w:endnoteRef/>
      </w:r>
      <w:r>
        <w:rPr>
          <w:rtl/>
        </w:rPr>
        <w:t>.</w:t>
      </w:r>
      <w:r>
        <w:rPr>
          <w:rtl/>
        </w:rPr>
        <w:tab/>
      </w:r>
      <w:r>
        <w:rPr>
          <w:rFonts w:hint="cs"/>
          <w:rtl/>
        </w:rPr>
        <w:t>בראשית א, ב.</w:t>
      </w:r>
    </w:p>
  </w:endnote>
  <w:endnote w:id="12">
    <w:p w:rsidR="00EC210E" w:rsidRDefault="00EC210E" w:rsidP="00EC210E">
      <w:pPr>
        <w:pStyle w:val="a4"/>
        <w:rPr>
          <w:rFonts w:hint="cs"/>
          <w:rtl/>
        </w:rPr>
      </w:pPr>
      <w:r>
        <w:rPr>
          <w:rtl/>
        </w:rPr>
        <w:tab/>
      </w:r>
      <w:r w:rsidRPr="00E15672">
        <w:rPr>
          <w:rtl/>
        </w:rPr>
        <w:endnoteRef/>
      </w:r>
      <w:r>
        <w:rPr>
          <w:rtl/>
        </w:rPr>
        <w:t>.</w:t>
      </w:r>
      <w:r>
        <w:rPr>
          <w:rtl/>
        </w:rPr>
        <w:tab/>
      </w:r>
      <w:r>
        <w:rPr>
          <w:rFonts w:hint="cs"/>
          <w:rtl/>
        </w:rPr>
        <w:t xml:space="preserve">עפ"י זהר </w:t>
      </w:r>
      <w:proofErr w:type="spellStart"/>
      <w:r>
        <w:rPr>
          <w:rFonts w:hint="cs"/>
          <w:rtl/>
        </w:rPr>
        <w:t>ח"ב</w:t>
      </w:r>
      <w:proofErr w:type="spellEnd"/>
      <w:r>
        <w:rPr>
          <w:rFonts w:hint="cs"/>
          <w:rtl/>
        </w:rPr>
        <w:t xml:space="preserve"> </w:t>
      </w:r>
      <w:proofErr w:type="spellStart"/>
      <w:r>
        <w:rPr>
          <w:rFonts w:hint="cs"/>
          <w:rtl/>
        </w:rPr>
        <w:t>קא</w:t>
      </w:r>
      <w:proofErr w:type="spellEnd"/>
      <w:r>
        <w:rPr>
          <w:rFonts w:hint="cs"/>
          <w:rtl/>
        </w:rPr>
        <w:t xml:space="preserve">, ב ובריבוי מקומות בכתבי </w:t>
      </w:r>
      <w:proofErr w:type="spellStart"/>
      <w:r>
        <w:rPr>
          <w:rFonts w:hint="cs"/>
          <w:rtl/>
        </w:rPr>
        <w:t>האריז"ל</w:t>
      </w:r>
      <w:proofErr w:type="spellEnd"/>
      <w:r>
        <w:rPr>
          <w:rFonts w:hint="cs"/>
          <w:rtl/>
        </w:rPr>
        <w:t>.</w:t>
      </w:r>
    </w:p>
  </w:endnote>
  <w:endnote w:id="13">
    <w:p w:rsidR="00EC210E" w:rsidRDefault="00EC210E" w:rsidP="00EC210E">
      <w:pPr>
        <w:pStyle w:val="a4"/>
        <w:rPr>
          <w:rFonts w:hint="cs"/>
          <w:rtl/>
        </w:rPr>
      </w:pPr>
      <w:r>
        <w:rPr>
          <w:rtl/>
        </w:rPr>
        <w:tab/>
      </w:r>
      <w:r w:rsidRPr="00E15672">
        <w:rPr>
          <w:rtl/>
        </w:rPr>
        <w:endnoteRef/>
      </w:r>
      <w:r>
        <w:rPr>
          <w:rtl/>
        </w:rPr>
        <w:t>.</w:t>
      </w:r>
      <w:r>
        <w:rPr>
          <w:rtl/>
        </w:rPr>
        <w:tab/>
      </w:r>
      <w:r>
        <w:rPr>
          <w:rFonts w:hint="cs"/>
          <w:rtl/>
        </w:rPr>
        <w:t>וכנ"ל בתורה הקודמת, "</w:t>
      </w:r>
      <w:proofErr w:type="spellStart"/>
      <w:r>
        <w:rPr>
          <w:rFonts w:hint="cs"/>
          <w:rtl/>
        </w:rPr>
        <w:t>איהו</w:t>
      </w:r>
      <w:proofErr w:type="spellEnd"/>
      <w:r>
        <w:rPr>
          <w:rFonts w:hint="cs"/>
          <w:rtl/>
        </w:rPr>
        <w:t xml:space="preserve"> ברוך </w:t>
      </w:r>
      <w:r>
        <w:rPr>
          <w:rtl/>
        </w:rPr>
        <w:t>–</w:t>
      </w:r>
      <w:r>
        <w:rPr>
          <w:rFonts w:hint="cs"/>
          <w:rtl/>
        </w:rPr>
        <w:t xml:space="preserve"> </w:t>
      </w:r>
      <w:proofErr w:type="spellStart"/>
      <w:r>
        <w:rPr>
          <w:rFonts w:hint="cs"/>
          <w:rtl/>
        </w:rPr>
        <w:t>איהי</w:t>
      </w:r>
      <w:proofErr w:type="spellEnd"/>
      <w:r>
        <w:rPr>
          <w:rFonts w:hint="cs"/>
          <w:rtl/>
        </w:rPr>
        <w:t xml:space="preserve"> ברכה".</w:t>
      </w:r>
    </w:p>
  </w:endnote>
  <w:endnote w:id="14">
    <w:p w:rsidR="00EC210E" w:rsidRDefault="00EC210E" w:rsidP="00EC210E">
      <w:pPr>
        <w:pStyle w:val="a4"/>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תקו"ז</w:t>
      </w:r>
      <w:proofErr w:type="spellEnd"/>
      <w:r>
        <w:rPr>
          <w:rFonts w:hint="cs"/>
          <w:rtl/>
        </w:rPr>
        <w:t xml:space="preserve"> ה ו-ה; בראשית רבה ה, ד.</w:t>
      </w:r>
    </w:p>
  </w:endnote>
  <w:endnote w:id="15">
    <w:p w:rsidR="00EC210E" w:rsidRDefault="00EC210E" w:rsidP="00EC210E">
      <w:pPr>
        <w:pStyle w:val="a4"/>
        <w:rPr>
          <w:rFonts w:hint="cs"/>
        </w:rPr>
      </w:pPr>
      <w:r>
        <w:rPr>
          <w:rtl/>
        </w:rPr>
        <w:tab/>
      </w:r>
      <w:r w:rsidRPr="00E15672">
        <w:rPr>
          <w:rtl/>
        </w:rPr>
        <w:endnoteRef/>
      </w:r>
      <w:r>
        <w:rPr>
          <w:rtl/>
        </w:rPr>
        <w:t>.</w:t>
      </w:r>
      <w:r>
        <w:rPr>
          <w:rtl/>
        </w:rPr>
        <w:tab/>
      </w:r>
      <w:r>
        <w:rPr>
          <w:rFonts w:hint="cs"/>
          <w:rtl/>
        </w:rPr>
        <w:t>בראשית א, ג.</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249" w:rsidRDefault="00154249" w:rsidP="00EC210E">
      <w:pPr>
        <w:spacing w:after="0" w:line="240" w:lineRule="auto"/>
      </w:pPr>
      <w:r>
        <w:separator/>
      </w:r>
    </w:p>
  </w:footnote>
  <w:footnote w:type="continuationSeparator" w:id="0">
    <w:p w:rsidR="00154249" w:rsidRDefault="00154249" w:rsidP="00EC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47"/>
    <w:rsid w:val="00061E65"/>
    <w:rsid w:val="00154249"/>
    <w:rsid w:val="00AC2310"/>
    <w:rsid w:val="00E95847"/>
    <w:rsid w:val="00EC2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C210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C210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C210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C210E"/>
    <w:rPr>
      <w:rFonts w:cs="Miriam"/>
      <w:w w:val="100"/>
      <w:sz w:val="21"/>
      <w:szCs w:val="23"/>
    </w:rPr>
  </w:style>
  <w:style w:type="paragraph" w:styleId="a4">
    <w:name w:val="endnote text"/>
    <w:aliases w:val="Endnote Text"/>
    <w:basedOn w:val="a"/>
    <w:link w:val="a5"/>
    <w:autoRedefine/>
    <w:semiHidden/>
    <w:rsid w:val="00EC210E"/>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C210E"/>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C210E"/>
    <w:rPr>
      <w:noProof/>
      <w:position w:val="-4"/>
      <w:szCs w:val="27"/>
      <w:vertAlign w:val="superscript"/>
    </w:rPr>
  </w:style>
  <w:style w:type="paragraph" w:customStyle="1" w:styleId="a8">
    <w:name w:val="פתיח תו"/>
    <w:basedOn w:val="a"/>
    <w:link w:val="a9"/>
    <w:rsid w:val="00EC210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C210E"/>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C21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C210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C210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C210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C210E"/>
    <w:rPr>
      <w:rFonts w:cs="Miriam"/>
      <w:w w:val="100"/>
      <w:sz w:val="21"/>
      <w:szCs w:val="23"/>
    </w:rPr>
  </w:style>
  <w:style w:type="paragraph" w:styleId="a4">
    <w:name w:val="endnote text"/>
    <w:aliases w:val="Endnote Text"/>
    <w:basedOn w:val="a"/>
    <w:link w:val="a5"/>
    <w:autoRedefine/>
    <w:semiHidden/>
    <w:rsid w:val="00EC210E"/>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C210E"/>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C210E"/>
    <w:rPr>
      <w:noProof/>
      <w:position w:val="-4"/>
      <w:szCs w:val="27"/>
      <w:vertAlign w:val="superscript"/>
    </w:rPr>
  </w:style>
  <w:style w:type="paragraph" w:customStyle="1" w:styleId="a8">
    <w:name w:val="פתיח תו"/>
    <w:basedOn w:val="a"/>
    <w:link w:val="a9"/>
    <w:rsid w:val="00EC210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C210E"/>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C2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00;&#1497;&#1513;&#1497;%20&#1493;&#1492;&#1488;&#1491;&#1501;%20&#1497;&#1491;&#1506;\&#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2186</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2017-08-14T22:40:00Z</dcterms:created>
  <dcterms:modified xsi:type="dcterms:W3CDTF">2017-08-14T22:40:00Z</dcterms:modified>
</cp:coreProperties>
</file>