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4E9" w:rsidRPr="000A2158" w:rsidRDefault="00DA44E9" w:rsidP="00DA44E9">
      <w:pPr>
        <w:pStyle w:val="2"/>
        <w:rPr>
          <w:rFonts w:hint="cs"/>
          <w:rtl/>
        </w:rPr>
      </w:pPr>
      <w:bookmarkStart w:id="0" w:name="_Toc145068679"/>
      <w:bookmarkStart w:id="1" w:name="_Ref145069024"/>
      <w:r>
        <w:rPr>
          <w:w w:val="100"/>
          <w:rtl/>
        </w:rPr>
        <w:drawing>
          <wp:anchor distT="0" distB="0" distL="114300" distR="114300" simplePos="0" relativeHeight="251659264" behindDoc="1" locked="0" layoutInCell="1" allowOverlap="1">
            <wp:simplePos x="0" y="0"/>
            <wp:positionH relativeFrom="column">
              <wp:posOffset>2857500</wp:posOffset>
            </wp:positionH>
            <wp:positionV relativeFrom="paragraph">
              <wp:posOffset>695325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158">
        <w:rPr>
          <w:rFonts w:hint="cs"/>
          <w:rtl/>
        </w:rPr>
        <w:t>"והאדם ידע את חוה אשתו"</w:t>
      </w:r>
      <w:bookmarkEnd w:id="0"/>
      <w:bookmarkEnd w:id="1"/>
    </w:p>
    <w:p w:rsidR="00DA44E9" w:rsidRPr="006D25BC" w:rsidRDefault="00DA44E9" w:rsidP="00DA44E9">
      <w:pPr>
        <w:keepNext/>
        <w:framePr w:dropCap="drop" w:lines="2" w:hSpace="57" w:wrap="around" w:vAnchor="text" w:hAnchor="text" w:xAlign="right"/>
        <w:spacing w:after="0" w:line="760" w:lineRule="exact"/>
        <w:textAlignment w:val="baseline"/>
        <w:rPr>
          <w:rStyle w:val="a8"/>
          <w:rtl/>
        </w:rPr>
      </w:pPr>
      <w:r w:rsidRPr="006D25BC">
        <w:rPr>
          <w:rStyle w:val="a8"/>
          <w:rFonts w:hint="cs"/>
          <w:rtl/>
        </w:rPr>
        <w:t>ב</w:t>
      </w:r>
    </w:p>
    <w:p w:rsidR="00DA44E9" w:rsidRPr="00781C87" w:rsidRDefault="00DA44E9" w:rsidP="00DA44E9">
      <w:pPr>
        <w:rPr>
          <w:rFonts w:hint="cs"/>
          <w:rtl/>
        </w:rPr>
      </w:pPr>
      <w:r>
        <w:rPr>
          <w:rFonts w:hint="cs"/>
          <w:rtl/>
        </w:rPr>
        <w:t xml:space="preserve">הופעה הראשונה של זיווג איש ואשה בתורה הוא מתואר כדעת </w:t>
      </w:r>
      <w:r>
        <w:rPr>
          <w:rtl/>
        </w:rPr>
        <w:t>–</w:t>
      </w:r>
      <w:r>
        <w:rPr>
          <w:rFonts w:hint="cs"/>
          <w:rtl/>
        </w:rPr>
        <w:t xml:space="preserve"> "והאדם ידע את חוה אשתו"</w:t>
      </w:r>
      <w:r w:rsidRPr="005316B5">
        <w:rPr>
          <w:rStyle w:val="a5"/>
          <w:rtl/>
        </w:rPr>
        <w:endnoteReference w:id="1"/>
      </w:r>
      <w:r>
        <w:rPr>
          <w:rFonts w:hint="cs"/>
          <w:rtl/>
        </w:rPr>
        <w:t xml:space="preserve">. ממד הקשר והחיבור שיש בדעת שייך, בפשטות, לפירוש הדעת במשמעות של ידיעה והשגה </w:t>
      </w:r>
      <w:r>
        <w:rPr>
          <w:rtl/>
        </w:rPr>
        <w:t>–</w:t>
      </w:r>
      <w:r>
        <w:rPr>
          <w:rFonts w:hint="cs"/>
          <w:rtl/>
        </w:rPr>
        <w:t xml:space="preserve"> כשם שידיעה היא הכרות קרובה עם מושג או דבר כלשהו, כך גם קשר קרוב בין בני אדם נקרא ידיעה. אמנם, מצינו כי לדעת יש גם משמעות נוספת בתנ"ך </w:t>
      </w:r>
      <w:r>
        <w:rPr>
          <w:rtl/>
        </w:rPr>
        <w:t>–</w:t>
      </w:r>
      <w:r>
        <w:rPr>
          <w:rFonts w:hint="cs"/>
          <w:rtl/>
        </w:rPr>
        <w:t xml:space="preserve"> משמעות של שבירה והכאבה (כבפסוק "</w:t>
      </w:r>
      <w:proofErr w:type="spellStart"/>
      <w:r>
        <w:rPr>
          <w:rFonts w:hint="cs"/>
          <w:rtl/>
        </w:rPr>
        <w:t>ויקח</w:t>
      </w:r>
      <w:proofErr w:type="spellEnd"/>
      <w:r>
        <w:rPr>
          <w:rFonts w:hint="cs"/>
          <w:rtl/>
        </w:rPr>
        <w:t xml:space="preserve"> את זקני העיר ואת קוצי המדבר ואת הברקנים וי</w:t>
      </w:r>
      <w:r w:rsidRPr="00717DE8">
        <w:rPr>
          <w:rFonts w:hint="cs"/>
          <w:spacing w:val="-10"/>
          <w:rtl/>
        </w:rPr>
        <w:t>ֹ</w:t>
      </w:r>
      <w:r>
        <w:rPr>
          <w:rFonts w:hint="cs"/>
          <w:rtl/>
        </w:rPr>
        <w:t>דע בהם את אנשי סֻכות"</w:t>
      </w:r>
      <w:r w:rsidRPr="005316B5">
        <w:rPr>
          <w:rStyle w:val="a5"/>
          <w:rtl/>
        </w:rPr>
        <w:endnoteReference w:id="2"/>
      </w:r>
      <w:r>
        <w:rPr>
          <w:rFonts w:hint="cs"/>
          <w:rtl/>
        </w:rPr>
        <w:t xml:space="preserve"> ובפסוק "וידע </w:t>
      </w:r>
      <w:proofErr w:type="spellStart"/>
      <w:r>
        <w:rPr>
          <w:rFonts w:hint="cs"/>
          <w:rtl/>
        </w:rPr>
        <w:t>אלמנותיו</w:t>
      </w:r>
      <w:proofErr w:type="spellEnd"/>
      <w:r>
        <w:rPr>
          <w:rFonts w:hint="cs"/>
          <w:rtl/>
        </w:rPr>
        <w:t>"</w:t>
      </w:r>
      <w:r w:rsidRPr="005316B5">
        <w:rPr>
          <w:rStyle w:val="a5"/>
          <w:rtl/>
        </w:rPr>
        <w:endnoteReference w:id="3"/>
      </w:r>
      <w:r>
        <w:rPr>
          <w:rFonts w:hint="cs"/>
          <w:rtl/>
        </w:rPr>
        <w:t xml:space="preserve">). וכן, על פי הקבלה והחסידות גם בדעת במשמעות של חיבור והכרה קיימות שתי רמות </w:t>
      </w:r>
      <w:r>
        <w:rPr>
          <w:rtl/>
        </w:rPr>
        <w:t>–</w:t>
      </w:r>
      <w:r>
        <w:rPr>
          <w:rFonts w:hint="cs"/>
          <w:rtl/>
        </w:rPr>
        <w:t xml:space="preserve"> דעת תחתון ודעת עליון </w:t>
      </w:r>
      <w:r>
        <w:rPr>
          <w:rtl/>
        </w:rPr>
        <w:t>–</w:t>
      </w:r>
      <w:r>
        <w:rPr>
          <w:rFonts w:hint="cs"/>
          <w:rtl/>
        </w:rPr>
        <w:t xml:space="preserve"> כשלכל אחת פעולה שונה מעט (וכפי שיתבאר בסמוך </w:t>
      </w:r>
      <w:r w:rsidRPr="00781C87">
        <w:rPr>
          <w:rFonts w:hint="cs"/>
          <w:rtl/>
        </w:rPr>
        <w:t xml:space="preserve">מה שנוגע </w:t>
      </w:r>
      <w:proofErr w:type="spellStart"/>
      <w:r w:rsidRPr="00781C87">
        <w:rPr>
          <w:rFonts w:hint="cs"/>
          <w:rtl/>
        </w:rPr>
        <w:t>לעניננו</w:t>
      </w:r>
      <w:proofErr w:type="spellEnd"/>
      <w:r w:rsidRPr="00781C87">
        <w:rPr>
          <w:rFonts w:hint="cs"/>
          <w:rtl/>
        </w:rPr>
        <w:t xml:space="preserve">, אף כי בכללות </w:t>
      </w:r>
      <w:proofErr w:type="spellStart"/>
      <w:r w:rsidRPr="00781C87">
        <w:rPr>
          <w:rFonts w:hint="cs"/>
          <w:rtl/>
        </w:rPr>
        <w:t>הענין</w:t>
      </w:r>
      <w:proofErr w:type="spellEnd"/>
      <w:r w:rsidRPr="00781C87">
        <w:rPr>
          <w:rFonts w:hint="cs"/>
          <w:rtl/>
        </w:rPr>
        <w:t xml:space="preserve"> רבו כמו רבו הביאורים והפירושים, ואין כאן מקומם). לכן ראוי לדרוש כי כל שלש בחינות הדעת </w:t>
      </w:r>
      <w:r w:rsidRPr="00781C87">
        <w:rPr>
          <w:rtl/>
        </w:rPr>
        <w:t>–</w:t>
      </w:r>
      <w:r w:rsidRPr="00781C87">
        <w:rPr>
          <w:rFonts w:hint="cs"/>
          <w:rtl/>
        </w:rPr>
        <w:t xml:space="preserve"> דעת של שבירה, דעת תחתון ודעת עליון </w:t>
      </w:r>
      <w:r w:rsidRPr="00781C87">
        <w:rPr>
          <w:rtl/>
        </w:rPr>
        <w:t>–</w:t>
      </w:r>
      <w:r w:rsidRPr="00781C87">
        <w:rPr>
          <w:rFonts w:hint="cs"/>
          <w:rtl/>
        </w:rPr>
        <w:t xml:space="preserve"> מופיעות בזיווג, ובתמצית</w:t>
      </w:r>
      <w:r>
        <w:rPr>
          <w:rFonts w:hint="cs"/>
          <w:rtl/>
        </w:rPr>
        <w:t>:</w:t>
      </w:r>
    </w:p>
    <w:p w:rsidR="00DA44E9" w:rsidRDefault="00DA44E9" w:rsidP="00DA44E9">
      <w:pPr>
        <w:rPr>
          <w:rFonts w:hint="cs"/>
          <w:rtl/>
        </w:rPr>
      </w:pPr>
      <w:r w:rsidRPr="00781C87">
        <w:rPr>
          <w:rFonts w:hint="cs"/>
          <w:rtl/>
        </w:rPr>
        <w:t xml:space="preserve">דעת במובן של שבירה מופיעה, </w:t>
      </w:r>
      <w:proofErr w:type="spellStart"/>
      <w:r w:rsidRPr="00781C87">
        <w:rPr>
          <w:rFonts w:hint="cs"/>
          <w:rtl/>
        </w:rPr>
        <w:t>למעליותא</w:t>
      </w:r>
      <w:proofErr w:type="spellEnd"/>
      <w:r>
        <w:rPr>
          <w:rFonts w:hint="cs"/>
          <w:rtl/>
        </w:rPr>
        <w:t xml:space="preserve">, בביאה הראשונה, שתכליתה שבירת הבתולים. על אף הצער והכאב שיש בשבירה, הרי זו שבירה טובה שנועדה לעשות את </w:t>
      </w:r>
      <w:proofErr w:type="spellStart"/>
      <w:r>
        <w:rPr>
          <w:rFonts w:hint="cs"/>
          <w:rtl/>
        </w:rPr>
        <w:t>האשה</w:t>
      </w:r>
      <w:proofErr w:type="spellEnd"/>
      <w:r>
        <w:rPr>
          <w:rFonts w:hint="cs"/>
          <w:rtl/>
        </w:rPr>
        <w:t xml:space="preserve"> לכלי ולכרות ברית נצחית בין האיש ואשתו. ממד השבירה בביאה זו הוא ממד של תהו</w:t>
      </w:r>
      <w:r w:rsidRPr="005316B5">
        <w:rPr>
          <w:rStyle w:val="a5"/>
          <w:rtl/>
        </w:rPr>
        <w:endnoteReference w:id="4"/>
      </w:r>
      <w:r>
        <w:rPr>
          <w:rFonts w:hint="cs"/>
          <w:rtl/>
        </w:rPr>
        <w:t>, ההכרחי כדי לפתוח את הדרך להמשך חיי הנישואין, כפי שהיה הכרחי בראשית בריאת העולם</w:t>
      </w:r>
      <w:r w:rsidRPr="005316B5">
        <w:rPr>
          <w:rStyle w:val="a5"/>
          <w:rtl/>
        </w:rPr>
        <w:endnoteReference w:id="5"/>
      </w:r>
      <w:r>
        <w:rPr>
          <w:rFonts w:hint="cs"/>
          <w:rtl/>
        </w:rPr>
        <w:t xml:space="preserve"> </w:t>
      </w:r>
      <w:r>
        <w:rPr>
          <w:rtl/>
        </w:rPr>
        <w:t>–</w:t>
      </w:r>
      <w:r>
        <w:rPr>
          <w:rFonts w:hint="cs"/>
          <w:rtl/>
        </w:rPr>
        <w:t xml:space="preserve"> "כל ההתחלות קשות"</w:t>
      </w:r>
      <w:r w:rsidRPr="005316B5">
        <w:rPr>
          <w:rStyle w:val="a5"/>
          <w:rtl/>
        </w:rPr>
        <w:endnoteReference w:id="6"/>
      </w:r>
      <w:r>
        <w:rPr>
          <w:rFonts w:hint="cs"/>
          <w:rtl/>
        </w:rPr>
        <w:t xml:space="preserve">. שבירת הכלים התחילה מספירת הדעת, ובידיעה הראשונה של האיש את אשתו מתחוללת חזרה מתוקנת על שבירת הכלים, מתוך מגמה של תיקון </w:t>
      </w:r>
      <w:proofErr w:type="spellStart"/>
      <w:r>
        <w:rPr>
          <w:rFonts w:hint="cs"/>
          <w:rtl/>
        </w:rPr>
        <w:t>האשה</w:t>
      </w:r>
      <w:proofErr w:type="spellEnd"/>
      <w:r>
        <w:rPr>
          <w:rFonts w:hint="cs"/>
          <w:rtl/>
        </w:rPr>
        <w:t xml:space="preserve"> </w:t>
      </w:r>
      <w:proofErr w:type="spellStart"/>
      <w:r>
        <w:rPr>
          <w:rFonts w:hint="cs"/>
          <w:rtl/>
        </w:rPr>
        <w:t>ועשיתה</w:t>
      </w:r>
      <w:proofErr w:type="spellEnd"/>
      <w:r>
        <w:rPr>
          <w:rFonts w:hint="cs"/>
          <w:rtl/>
        </w:rPr>
        <w:t xml:space="preserve"> כלי בשלמות</w:t>
      </w:r>
      <w:r w:rsidRPr="005316B5">
        <w:rPr>
          <w:rStyle w:val="a5"/>
          <w:rtl/>
        </w:rPr>
        <w:endnoteReference w:id="7"/>
      </w:r>
      <w:r>
        <w:rPr>
          <w:rFonts w:hint="cs"/>
          <w:rtl/>
        </w:rPr>
        <w:t>.</w:t>
      </w:r>
    </w:p>
    <w:p w:rsidR="00DA44E9" w:rsidRDefault="00DA44E9" w:rsidP="00DA44E9">
      <w:pPr>
        <w:rPr>
          <w:rFonts w:hint="cs"/>
          <w:rtl/>
        </w:rPr>
      </w:pPr>
      <w:r>
        <w:rPr>
          <w:rFonts w:hint="cs"/>
          <w:rtl/>
        </w:rPr>
        <w:t xml:space="preserve">דעת תחתון היא דעת שתכליתה יצירה מחודשת במציאות, והיא מופיעה בביאות שתכליתן הריון </w:t>
      </w:r>
      <w:r>
        <w:rPr>
          <w:rtl/>
        </w:rPr>
        <w:t>–</w:t>
      </w:r>
      <w:r>
        <w:rPr>
          <w:rFonts w:hint="cs"/>
          <w:rtl/>
        </w:rPr>
        <w:t xml:space="preserve"> הריון הוא בירור ועיצוב מחדש של חומרי הגלם הקיימים באיש ובאשה, היוצר בריאה חדשה של ילד במציאות (בדומה ל"דעת תחתון" המופיעה בנפש כמחברת את המוחין אל </w:t>
      </w:r>
      <w:proofErr w:type="spellStart"/>
      <w:r>
        <w:rPr>
          <w:rFonts w:hint="cs"/>
          <w:rtl/>
        </w:rPr>
        <w:t>המדות</w:t>
      </w:r>
      <w:proofErr w:type="spellEnd"/>
      <w:r>
        <w:rPr>
          <w:rFonts w:hint="cs"/>
          <w:rtl/>
        </w:rPr>
        <w:t xml:space="preserve">, במגמה לברר ולתקן את </w:t>
      </w:r>
      <w:proofErr w:type="spellStart"/>
      <w:r>
        <w:rPr>
          <w:rFonts w:hint="cs"/>
          <w:rtl/>
        </w:rPr>
        <w:t>המדות</w:t>
      </w:r>
      <w:proofErr w:type="spellEnd"/>
      <w:r>
        <w:rPr>
          <w:rFonts w:hint="cs"/>
          <w:rtl/>
        </w:rPr>
        <w:t xml:space="preserve">, עד להולדת מדות חדשות מן השכל, וכן הוא על דרך תפיסת המציאות של "דעת תחתון", הרואה את </w:t>
      </w:r>
      <w:proofErr w:type="spellStart"/>
      <w:r>
        <w:rPr>
          <w:rFonts w:hint="cs"/>
          <w:rtl/>
        </w:rPr>
        <w:t>הכל</w:t>
      </w:r>
      <w:proofErr w:type="spellEnd"/>
      <w:r>
        <w:rPr>
          <w:rFonts w:hint="cs"/>
          <w:rtl/>
        </w:rPr>
        <w:t xml:space="preserve"> כנברא יש מאין, כלידת ילד חדש, כשתכלית הידיעה היא לברר את היש ולהחדיר בו תודעה לאין </w:t>
      </w:r>
      <w:proofErr w:type="spellStart"/>
      <w:r>
        <w:rPr>
          <w:rFonts w:hint="cs"/>
          <w:rtl/>
        </w:rPr>
        <w:t>האלקי</w:t>
      </w:r>
      <w:proofErr w:type="spellEnd"/>
      <w:r>
        <w:rPr>
          <w:rFonts w:hint="cs"/>
          <w:rtl/>
        </w:rPr>
        <w:t xml:space="preserve"> שמעליו). </w:t>
      </w:r>
    </w:p>
    <w:p w:rsidR="00DA44E9" w:rsidRPr="00781C87" w:rsidRDefault="00DA44E9" w:rsidP="00DA44E9">
      <w:pPr>
        <w:rPr>
          <w:rFonts w:hint="cs"/>
          <w:rtl/>
        </w:rPr>
      </w:pPr>
      <w:r>
        <w:rPr>
          <w:rFonts w:hint="cs"/>
          <w:rtl/>
        </w:rPr>
        <w:t xml:space="preserve">דעת עליון היא חיבור תדיר ושמח שתכליתו בעצם קיומו </w:t>
      </w:r>
      <w:r>
        <w:rPr>
          <w:rtl/>
        </w:rPr>
        <w:t>–</w:t>
      </w:r>
      <w:r>
        <w:rPr>
          <w:rFonts w:hint="cs"/>
          <w:rtl/>
        </w:rPr>
        <w:t xml:space="preserve"> בתחושת התענוג העצמי שיש בחיבור </w:t>
      </w:r>
      <w:r>
        <w:rPr>
          <w:rtl/>
        </w:rPr>
        <w:t>–</w:t>
      </w:r>
      <w:r>
        <w:rPr>
          <w:rFonts w:hint="cs"/>
          <w:rtl/>
        </w:rPr>
        <w:t xml:space="preserve"> והוא מופיע בביאות שתכליתן התענוג המשותף של בני הזוג (והדבר דומה ל"דעת עליון" המחברת בין החכמה והבינה, שהם "</w:t>
      </w:r>
      <w:proofErr w:type="spellStart"/>
      <w:r>
        <w:rPr>
          <w:rFonts w:hint="cs"/>
          <w:rtl/>
        </w:rPr>
        <w:t>תרין</w:t>
      </w:r>
      <w:proofErr w:type="spellEnd"/>
      <w:r>
        <w:rPr>
          <w:rFonts w:hint="cs"/>
          <w:rtl/>
        </w:rPr>
        <w:t xml:space="preserve"> </w:t>
      </w:r>
      <w:proofErr w:type="spellStart"/>
      <w:r>
        <w:rPr>
          <w:rFonts w:hint="cs"/>
          <w:rtl/>
        </w:rPr>
        <w:t>ריעין</w:t>
      </w:r>
      <w:proofErr w:type="spellEnd"/>
      <w:r>
        <w:rPr>
          <w:rFonts w:hint="cs"/>
          <w:rtl/>
        </w:rPr>
        <w:t xml:space="preserve"> דלא </w:t>
      </w:r>
      <w:proofErr w:type="spellStart"/>
      <w:r>
        <w:rPr>
          <w:rFonts w:hint="cs"/>
          <w:rtl/>
        </w:rPr>
        <w:t>מתפרשין</w:t>
      </w:r>
      <w:proofErr w:type="spellEnd"/>
      <w:r>
        <w:rPr>
          <w:rFonts w:hint="cs"/>
          <w:rtl/>
        </w:rPr>
        <w:t xml:space="preserve"> לעלמין"</w:t>
      </w:r>
      <w:r w:rsidRPr="005316B5">
        <w:rPr>
          <w:rStyle w:val="a5"/>
          <w:rtl/>
        </w:rPr>
        <w:endnoteReference w:id="8"/>
      </w:r>
      <w:r>
        <w:rPr>
          <w:rFonts w:hint="cs"/>
          <w:rtl/>
        </w:rPr>
        <w:t xml:space="preserve">, כשאין תכלית ישירה לחיבורם מעבר להשלמה ההדדית המענגת שלהם, וכן על דרך "דעת עליון" שתופסת את העליונים כיש ואת התחתונים כאין, וממילא אין לה ענין לפעול בתחתונים אלא רק לעסוק בתודעת העליונים המענגת). בעיקר מתבטאת דעת עליון בביאות בזמן </w:t>
      </w:r>
      <w:proofErr w:type="spellStart"/>
      <w:r>
        <w:rPr>
          <w:rFonts w:hint="cs"/>
          <w:rtl/>
        </w:rPr>
        <w:t>ההריון</w:t>
      </w:r>
      <w:proofErr w:type="spellEnd"/>
      <w:r>
        <w:rPr>
          <w:rFonts w:hint="cs"/>
          <w:rtl/>
        </w:rPr>
        <w:t xml:space="preserve">, כאשר כבר אין כל שאיפה להתעברות, אף </w:t>
      </w:r>
      <w:r>
        <w:rPr>
          <w:rFonts w:hint="cs"/>
          <w:rtl/>
        </w:rPr>
        <w:lastRenderedPageBreak/>
        <w:t>שביאות אלו משפרות את הולד שיהיה מזורז ומלובן</w:t>
      </w:r>
      <w:r w:rsidRPr="005316B5">
        <w:rPr>
          <w:rStyle w:val="a5"/>
          <w:rtl/>
        </w:rPr>
        <w:endnoteReference w:id="9"/>
      </w:r>
      <w:r>
        <w:rPr>
          <w:rFonts w:hint="cs"/>
          <w:rtl/>
        </w:rPr>
        <w:t xml:space="preserve"> (כפי שחיבור החכמה והבינה והעיסוק במושכלות משפר ומעדן, בדרך ממילא, את </w:t>
      </w:r>
      <w:proofErr w:type="spellStart"/>
      <w:r>
        <w:rPr>
          <w:rFonts w:hint="cs"/>
          <w:rtl/>
        </w:rPr>
        <w:t>מדותיו</w:t>
      </w:r>
      <w:proofErr w:type="spellEnd"/>
      <w:r>
        <w:rPr>
          <w:rFonts w:hint="cs"/>
          <w:rtl/>
        </w:rPr>
        <w:t xml:space="preserve"> </w:t>
      </w:r>
      <w:r w:rsidRPr="00781C87">
        <w:rPr>
          <w:rFonts w:hint="cs"/>
          <w:rtl/>
        </w:rPr>
        <w:t xml:space="preserve">של האדם). </w:t>
      </w:r>
    </w:p>
    <w:p w:rsidR="00DA44E9" w:rsidRPr="00781C87" w:rsidRDefault="00DA44E9" w:rsidP="00DA44E9">
      <w:pPr>
        <w:rPr>
          <w:rFonts w:hint="cs"/>
          <w:rtl/>
        </w:rPr>
      </w:pPr>
      <w:r w:rsidRPr="00781C87">
        <w:rPr>
          <w:rFonts w:hint="cs"/>
          <w:rtl/>
        </w:rPr>
        <w:t xml:space="preserve">[וליתר דיוק </w:t>
      </w:r>
      <w:proofErr w:type="spellStart"/>
      <w:r w:rsidRPr="00781C87">
        <w:rPr>
          <w:rFonts w:hint="cs"/>
          <w:rtl/>
        </w:rPr>
        <w:t>בענין</w:t>
      </w:r>
      <w:proofErr w:type="spellEnd"/>
      <w:r w:rsidRPr="00781C87">
        <w:rPr>
          <w:rFonts w:hint="cs"/>
          <w:rtl/>
        </w:rPr>
        <w:t xml:space="preserve"> "דעת עליון"</w:t>
      </w:r>
      <w:r>
        <w:rPr>
          <w:rFonts w:hint="cs"/>
          <w:rtl/>
        </w:rPr>
        <w:t>:</w:t>
      </w:r>
      <w:r w:rsidRPr="00781C87">
        <w:rPr>
          <w:rFonts w:hint="cs"/>
          <w:rtl/>
        </w:rPr>
        <w:t xml:space="preserve"> בעולם הזה זיווגם התדיר של החכמה והבינה </w:t>
      </w:r>
      <w:r w:rsidRPr="00781C87">
        <w:rPr>
          <w:rFonts w:hint="eastAsia"/>
          <w:rtl/>
        </w:rPr>
        <w:t xml:space="preserve">– פרצופי אבא </w:t>
      </w:r>
      <w:proofErr w:type="spellStart"/>
      <w:r w:rsidRPr="00781C87">
        <w:rPr>
          <w:rFonts w:hint="eastAsia"/>
          <w:rtl/>
        </w:rPr>
        <w:t>ואמא</w:t>
      </w:r>
      <w:proofErr w:type="spellEnd"/>
      <w:r w:rsidRPr="00781C87">
        <w:rPr>
          <w:rFonts w:hint="eastAsia"/>
          <w:rtl/>
        </w:rPr>
        <w:t xml:space="preserve"> – </w:t>
      </w:r>
      <w:r w:rsidRPr="00781C87">
        <w:rPr>
          <w:rFonts w:hint="cs"/>
          <w:rtl/>
        </w:rPr>
        <w:t>הוא זיווג חיצוני ההכרחי לצורך קיום העולמות בבחינת "חידוש הישנות"</w:t>
      </w:r>
      <w:r w:rsidRPr="005316B5">
        <w:rPr>
          <w:rStyle w:val="a5"/>
          <w:rtl/>
        </w:rPr>
        <w:endnoteReference w:id="10"/>
      </w:r>
      <w:r w:rsidRPr="00781C87">
        <w:rPr>
          <w:rFonts w:hint="cs"/>
          <w:rtl/>
        </w:rPr>
        <w:t xml:space="preserve">. זיווג זה איננו אמיתת ענינה של דעת עליון, המופשטת מהעולם, ואינו אלא הארת דעת עליון בדעת תחתון (ובחיי נישואין אפשר לדמות זאת לזיווג 'שגרתי' שענינו שמירת יחסי אהבה תקינים בין ההורים, גם כשאינם יכולים להוליד, כדי לשמור על קיום הבית בו הם מגדלים את ילדיהם). אמיתת גילוי הזיווג התדיר של דעת עליון הוא לעתיד לבוא, ואזי מזיווג זה </w:t>
      </w:r>
      <w:proofErr w:type="spellStart"/>
      <w:r w:rsidRPr="00781C87">
        <w:rPr>
          <w:rFonts w:hint="cs"/>
          <w:rtl/>
        </w:rPr>
        <w:t>יו</w:t>
      </w:r>
      <w:r>
        <w:rPr>
          <w:rFonts w:hint="cs"/>
          <w:rtl/>
        </w:rPr>
        <w:t>ו</w:t>
      </w:r>
      <w:r w:rsidRPr="00781C87">
        <w:rPr>
          <w:rFonts w:hint="cs"/>
          <w:rtl/>
        </w:rPr>
        <w:t>לדו</w:t>
      </w:r>
      <w:proofErr w:type="spellEnd"/>
      <w:r w:rsidRPr="00781C87">
        <w:rPr>
          <w:rFonts w:hint="cs"/>
          <w:rtl/>
        </w:rPr>
        <w:t xml:space="preserve"> נשמות חדשות לגמרי, שאינן שייכות כלל לסדר העולם הזה, וכל </w:t>
      </w:r>
      <w:proofErr w:type="spellStart"/>
      <w:r w:rsidRPr="00781C87">
        <w:rPr>
          <w:rFonts w:hint="cs"/>
          <w:rtl/>
        </w:rPr>
        <w:t>ענינן</w:t>
      </w:r>
      <w:proofErr w:type="spellEnd"/>
      <w:r w:rsidRPr="00781C87">
        <w:rPr>
          <w:rFonts w:hint="cs"/>
          <w:rtl/>
        </w:rPr>
        <w:t xml:space="preserve"> התגלות השעשועים העצמיים באופן מוחשי, כנשמות בגופים העושות לו יתברך דירה בתחתונים</w:t>
      </w:r>
      <w:r w:rsidRPr="005316B5">
        <w:rPr>
          <w:rStyle w:val="a5"/>
          <w:rtl/>
        </w:rPr>
        <w:endnoteReference w:id="11"/>
      </w:r>
      <w:r w:rsidRPr="00781C87">
        <w:rPr>
          <w:rFonts w:hint="cs"/>
          <w:rtl/>
        </w:rPr>
        <w:t xml:space="preserve">. ביחס לנשמות החדשות (שהן השעשועים העצמיים) של העולם הבא, שיפור ועידון הולד שיש בזיווג בזמן </w:t>
      </w:r>
      <w:proofErr w:type="spellStart"/>
      <w:r w:rsidRPr="00781C87">
        <w:rPr>
          <w:rFonts w:hint="cs"/>
          <w:rtl/>
        </w:rPr>
        <w:t>ההריון</w:t>
      </w:r>
      <w:proofErr w:type="spellEnd"/>
      <w:r w:rsidRPr="00781C87">
        <w:rPr>
          <w:rFonts w:hint="cs"/>
          <w:rtl/>
        </w:rPr>
        <w:t xml:space="preserve"> הוא הארה בעלמא – כעין הארת נשמה יתרה הנמשכת ביום השבת, "מעין עולם הבא".]</w:t>
      </w:r>
    </w:p>
    <w:p w:rsidR="005F4A47" w:rsidRDefault="006B72A7">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2A7" w:rsidRDefault="006B72A7" w:rsidP="00DA44E9">
      <w:pPr>
        <w:spacing w:after="0" w:line="240" w:lineRule="auto"/>
      </w:pPr>
      <w:r>
        <w:separator/>
      </w:r>
    </w:p>
  </w:endnote>
  <w:endnote w:type="continuationSeparator" w:id="0">
    <w:p w:rsidR="006B72A7" w:rsidRDefault="006B72A7" w:rsidP="00DA44E9">
      <w:pPr>
        <w:spacing w:after="0" w:line="240" w:lineRule="auto"/>
      </w:pPr>
      <w:r>
        <w:continuationSeparator/>
      </w:r>
    </w:p>
  </w:endnote>
  <w:endnote w:id="1">
    <w:p w:rsidR="00DA44E9" w:rsidRDefault="00DA44E9" w:rsidP="00DA44E9">
      <w:pPr>
        <w:pStyle w:val="a3"/>
        <w:rPr>
          <w:rFonts w:hint="cs"/>
          <w:rtl/>
        </w:rPr>
      </w:pPr>
      <w:r>
        <w:rPr>
          <w:rtl/>
        </w:rPr>
        <w:tab/>
      </w:r>
      <w:r w:rsidRPr="00E15672">
        <w:rPr>
          <w:rtl/>
        </w:rPr>
        <w:endnoteRef/>
      </w:r>
      <w:r>
        <w:rPr>
          <w:rtl/>
        </w:rPr>
        <w:t>.</w:t>
      </w:r>
      <w:r>
        <w:rPr>
          <w:rtl/>
        </w:rPr>
        <w:tab/>
      </w:r>
      <w:r>
        <w:rPr>
          <w:rFonts w:hint="cs"/>
          <w:rtl/>
        </w:rPr>
        <w:t>בראשית ד, א.</w:t>
      </w:r>
    </w:p>
  </w:endnote>
  <w:endnote w:id="2">
    <w:p w:rsidR="00DA44E9" w:rsidRDefault="00DA44E9" w:rsidP="00DA44E9">
      <w:pPr>
        <w:pStyle w:val="a3"/>
        <w:rPr>
          <w:rFonts w:hint="cs"/>
        </w:rPr>
      </w:pPr>
      <w:r>
        <w:rPr>
          <w:rtl/>
        </w:rPr>
        <w:tab/>
      </w:r>
      <w:r w:rsidRPr="00E15672">
        <w:rPr>
          <w:rtl/>
        </w:rPr>
        <w:endnoteRef/>
      </w:r>
      <w:r>
        <w:rPr>
          <w:rtl/>
        </w:rPr>
        <w:t>.</w:t>
      </w:r>
      <w:r>
        <w:rPr>
          <w:rtl/>
        </w:rPr>
        <w:tab/>
      </w:r>
      <w:r>
        <w:rPr>
          <w:rFonts w:hint="cs"/>
          <w:rtl/>
        </w:rPr>
        <w:t xml:space="preserve">שופטים ח, </w:t>
      </w:r>
      <w:proofErr w:type="spellStart"/>
      <w:r>
        <w:rPr>
          <w:rFonts w:hint="cs"/>
          <w:rtl/>
        </w:rPr>
        <w:t>טז</w:t>
      </w:r>
      <w:proofErr w:type="spellEnd"/>
      <w:r>
        <w:rPr>
          <w:rFonts w:hint="cs"/>
          <w:rtl/>
        </w:rPr>
        <w:t xml:space="preserve"> (</w:t>
      </w:r>
      <w:proofErr w:type="spellStart"/>
      <w:r>
        <w:rPr>
          <w:rFonts w:hint="cs"/>
          <w:rtl/>
        </w:rPr>
        <w:t>ועיי"ש</w:t>
      </w:r>
      <w:proofErr w:type="spellEnd"/>
      <w:r>
        <w:rPr>
          <w:rFonts w:hint="cs"/>
          <w:rtl/>
        </w:rPr>
        <w:t xml:space="preserve"> בתרגום יונתן ובשאר המפרשים).</w:t>
      </w:r>
    </w:p>
  </w:endnote>
  <w:endnote w:id="3">
    <w:p w:rsidR="00DA44E9" w:rsidRDefault="00DA44E9" w:rsidP="00DA44E9">
      <w:pPr>
        <w:pStyle w:val="a3"/>
        <w:rPr>
          <w:rFonts w:hint="cs"/>
          <w:rtl/>
        </w:rPr>
      </w:pPr>
      <w:r>
        <w:rPr>
          <w:rtl/>
        </w:rPr>
        <w:tab/>
      </w:r>
      <w:r w:rsidRPr="00E15672">
        <w:rPr>
          <w:rtl/>
        </w:rPr>
        <w:endnoteRef/>
      </w:r>
      <w:r>
        <w:rPr>
          <w:rtl/>
        </w:rPr>
        <w:t>.</w:t>
      </w:r>
      <w:r>
        <w:rPr>
          <w:rtl/>
        </w:rPr>
        <w:tab/>
      </w:r>
      <w:r>
        <w:rPr>
          <w:rFonts w:hint="cs"/>
          <w:rtl/>
        </w:rPr>
        <w:t xml:space="preserve">יחזקאל </w:t>
      </w:r>
      <w:proofErr w:type="spellStart"/>
      <w:r>
        <w:rPr>
          <w:rFonts w:hint="cs"/>
          <w:rtl/>
        </w:rPr>
        <w:t>יט</w:t>
      </w:r>
      <w:proofErr w:type="spellEnd"/>
      <w:r>
        <w:rPr>
          <w:rFonts w:hint="cs"/>
          <w:rtl/>
        </w:rPr>
        <w:t>, ז (על פי פירוש המצודות, ואילו שאר המפרשים שם פרשו מלשון ביאה, אך המדובר בביאת אונס שיש בה עינוי, וממילא יש כאן קשר מובהק בין משמעות הביאה למשמעות השבירה).</w:t>
      </w:r>
    </w:p>
  </w:endnote>
  <w:endnote w:id="4">
    <w:p w:rsidR="00DA44E9" w:rsidRDefault="00DA44E9" w:rsidP="00DA44E9">
      <w:pPr>
        <w:pStyle w:val="a3"/>
        <w:rPr>
          <w:rFonts w:hint="cs"/>
        </w:rPr>
      </w:pPr>
      <w:r>
        <w:rPr>
          <w:rtl/>
        </w:rPr>
        <w:tab/>
      </w:r>
      <w:r w:rsidRPr="00E15672">
        <w:rPr>
          <w:rtl/>
        </w:rPr>
        <w:endnoteRef/>
      </w:r>
      <w:r>
        <w:rPr>
          <w:rtl/>
        </w:rPr>
        <w:t>.</w:t>
      </w:r>
      <w:r>
        <w:rPr>
          <w:rtl/>
        </w:rPr>
        <w:tab/>
      </w:r>
      <w:r>
        <w:rPr>
          <w:rFonts w:hint="cs"/>
          <w:rtl/>
        </w:rPr>
        <w:t>וראה לעיל שער ב בתורה "אין כלי שלם מלב שבור" (ובשער זה בתורה "</w:t>
      </w:r>
      <w:proofErr w:type="spellStart"/>
      <w:r>
        <w:rPr>
          <w:rFonts w:hint="cs"/>
          <w:rtl/>
        </w:rPr>
        <w:t>איהו</w:t>
      </w:r>
      <w:proofErr w:type="spellEnd"/>
      <w:r>
        <w:rPr>
          <w:rFonts w:hint="cs"/>
          <w:rtl/>
        </w:rPr>
        <w:t xml:space="preserve"> ברוך </w:t>
      </w:r>
      <w:proofErr w:type="spellStart"/>
      <w:r>
        <w:rPr>
          <w:rFonts w:hint="cs"/>
          <w:rtl/>
        </w:rPr>
        <w:t>ואיהי</w:t>
      </w:r>
      <w:proofErr w:type="spellEnd"/>
      <w:r>
        <w:rPr>
          <w:rFonts w:hint="cs"/>
          <w:rtl/>
        </w:rPr>
        <w:t xml:space="preserve"> ברכה" ובתורה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w:t>
      </w:r>
    </w:p>
  </w:endnote>
  <w:endnote w:id="5">
    <w:p w:rsidR="00DA44E9" w:rsidRDefault="00DA44E9" w:rsidP="00DA44E9">
      <w:pPr>
        <w:pStyle w:val="a3"/>
        <w:rPr>
          <w:rFonts w:hint="cs"/>
          <w:rtl/>
        </w:rPr>
      </w:pPr>
      <w:r>
        <w:rPr>
          <w:rtl/>
        </w:rPr>
        <w:tab/>
      </w:r>
      <w:r w:rsidRPr="00E15672">
        <w:rPr>
          <w:rtl/>
        </w:rPr>
        <w:endnoteRef/>
      </w:r>
      <w:r>
        <w:rPr>
          <w:rtl/>
        </w:rPr>
        <w:t>.</w:t>
      </w:r>
      <w:r>
        <w:rPr>
          <w:rtl/>
        </w:rPr>
        <w:tab/>
      </w:r>
      <w:r>
        <w:rPr>
          <w:rFonts w:hint="cs"/>
          <w:rtl/>
        </w:rPr>
        <w:t>וכנ"ל בתורה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w:t>
      </w:r>
    </w:p>
  </w:endnote>
  <w:endnote w:id="6">
    <w:p w:rsidR="00DA44E9" w:rsidRDefault="00DA44E9" w:rsidP="00DA44E9">
      <w:pPr>
        <w:pStyle w:val="a3"/>
        <w:rPr>
          <w:rFonts w:hint="cs"/>
          <w:rtl/>
        </w:rPr>
      </w:pPr>
      <w:r>
        <w:rPr>
          <w:rtl/>
        </w:rPr>
        <w:tab/>
      </w:r>
      <w:r w:rsidRPr="00E15672">
        <w:rPr>
          <w:rtl/>
        </w:rPr>
        <w:endnoteRef/>
      </w:r>
      <w:r>
        <w:rPr>
          <w:rtl/>
        </w:rPr>
        <w:t>.</w:t>
      </w:r>
      <w:r>
        <w:rPr>
          <w:rtl/>
        </w:rPr>
        <w:tab/>
      </w:r>
      <w:r>
        <w:rPr>
          <w:rFonts w:hint="cs"/>
          <w:rtl/>
        </w:rPr>
        <w:t xml:space="preserve">מכילתא בחדש ב (הובא בילקוט שמעוני שמות רמז רעו וברש"י לשמות </w:t>
      </w:r>
      <w:proofErr w:type="spellStart"/>
      <w:r>
        <w:rPr>
          <w:rFonts w:hint="cs"/>
          <w:rtl/>
        </w:rPr>
        <w:t>יט</w:t>
      </w:r>
      <w:proofErr w:type="spellEnd"/>
      <w:r>
        <w:rPr>
          <w:rFonts w:hint="cs"/>
          <w:rtl/>
        </w:rPr>
        <w:t>, ה).</w:t>
      </w:r>
    </w:p>
  </w:endnote>
  <w:endnote w:id="7">
    <w:p w:rsidR="00DA44E9" w:rsidRDefault="00DA44E9" w:rsidP="00DA44E9">
      <w:pPr>
        <w:pStyle w:val="a3"/>
        <w:rPr>
          <w:rtl/>
        </w:rPr>
      </w:pPr>
      <w:r>
        <w:rPr>
          <w:rtl/>
        </w:rPr>
        <w:tab/>
      </w:r>
      <w:r w:rsidRPr="00E15672">
        <w:rPr>
          <w:rtl/>
        </w:rPr>
        <w:endnoteRef/>
      </w:r>
      <w:r>
        <w:rPr>
          <w:rtl/>
        </w:rPr>
        <w:t>.</w:t>
      </w:r>
      <w:r>
        <w:rPr>
          <w:rtl/>
        </w:rPr>
        <w:tab/>
      </w:r>
      <w:r>
        <w:rPr>
          <w:rFonts w:hint="cs"/>
          <w:rtl/>
        </w:rPr>
        <w:t>וכנ"ל בשער הקודם, בתורה "אין כלי שלם יותר מלב שבור".</w:t>
      </w:r>
    </w:p>
  </w:endnote>
  <w:endnote w:id="8">
    <w:p w:rsidR="00DA44E9" w:rsidRDefault="00DA44E9" w:rsidP="00DA44E9">
      <w:pPr>
        <w:pStyle w:val="a3"/>
        <w:rPr>
          <w:rFonts w:hint="cs"/>
          <w:rtl/>
        </w:rPr>
      </w:pPr>
      <w:r>
        <w:rPr>
          <w:rtl/>
        </w:rPr>
        <w:tab/>
      </w:r>
      <w:r w:rsidRPr="00E15672">
        <w:rPr>
          <w:rtl/>
        </w:rPr>
        <w:endnoteRef/>
      </w:r>
      <w:r>
        <w:rPr>
          <w:rtl/>
        </w:rPr>
        <w:t>.</w:t>
      </w:r>
      <w:r>
        <w:rPr>
          <w:rtl/>
        </w:rPr>
        <w:tab/>
      </w:r>
      <w:r>
        <w:rPr>
          <w:rFonts w:hint="cs"/>
          <w:rtl/>
        </w:rPr>
        <w:t xml:space="preserve">ראה זהר </w:t>
      </w:r>
      <w:proofErr w:type="spellStart"/>
      <w:r>
        <w:rPr>
          <w:rFonts w:hint="cs"/>
          <w:rtl/>
        </w:rPr>
        <w:t>ח"ג</w:t>
      </w:r>
      <w:proofErr w:type="spellEnd"/>
      <w:r>
        <w:rPr>
          <w:rFonts w:hint="cs"/>
          <w:rtl/>
        </w:rPr>
        <w:t xml:space="preserve"> ד, א.</w:t>
      </w:r>
    </w:p>
  </w:endnote>
  <w:endnote w:id="9">
    <w:p w:rsidR="00DA44E9" w:rsidRDefault="00DA44E9" w:rsidP="00DA44E9">
      <w:pPr>
        <w:pStyle w:val="a3"/>
        <w:rPr>
          <w:rFonts w:hint="cs"/>
          <w:rtl/>
        </w:rPr>
      </w:pPr>
      <w:r>
        <w:rPr>
          <w:rtl/>
        </w:rPr>
        <w:tab/>
      </w:r>
      <w:r w:rsidRPr="00E15672">
        <w:rPr>
          <w:rtl/>
        </w:rPr>
        <w:endnoteRef/>
      </w:r>
      <w:r>
        <w:rPr>
          <w:rtl/>
        </w:rPr>
        <w:t>.</w:t>
      </w:r>
      <w:r>
        <w:rPr>
          <w:rtl/>
        </w:rPr>
        <w:tab/>
      </w:r>
      <w:r>
        <w:rPr>
          <w:rFonts w:hint="cs"/>
          <w:rtl/>
        </w:rPr>
        <w:t>ראה נדה לא, א (וסנהדרין ע, ב).</w:t>
      </w:r>
    </w:p>
  </w:endnote>
  <w:endnote w:id="10">
    <w:p w:rsidR="00DA44E9" w:rsidRDefault="00DA44E9" w:rsidP="00DA44E9">
      <w:pPr>
        <w:pStyle w:val="a3"/>
        <w:rPr>
          <w:rFonts w:hint="cs"/>
          <w:rtl/>
        </w:rPr>
      </w:pPr>
      <w:r>
        <w:rPr>
          <w:rtl/>
        </w:rPr>
        <w:tab/>
      </w:r>
      <w:r w:rsidRPr="00E15672">
        <w:rPr>
          <w:rtl/>
        </w:rPr>
        <w:endnoteRef/>
      </w:r>
      <w:r>
        <w:rPr>
          <w:rtl/>
        </w:rPr>
        <w:t>.</w:t>
      </w:r>
      <w:r>
        <w:rPr>
          <w:rtl/>
        </w:rPr>
        <w:tab/>
      </w:r>
      <w:r>
        <w:rPr>
          <w:rFonts w:hint="cs"/>
          <w:rtl/>
        </w:rPr>
        <w:t xml:space="preserve">ראה </w:t>
      </w:r>
      <w:proofErr w:type="spellStart"/>
      <w:r>
        <w:rPr>
          <w:rFonts w:hint="cs"/>
          <w:rtl/>
        </w:rPr>
        <w:t>פע"ח</w:t>
      </w:r>
      <w:proofErr w:type="spellEnd"/>
      <w:r>
        <w:rPr>
          <w:rFonts w:hint="cs"/>
          <w:rtl/>
        </w:rPr>
        <w:t xml:space="preserve"> שער </w:t>
      </w:r>
      <w:proofErr w:type="spellStart"/>
      <w:r>
        <w:rPr>
          <w:rFonts w:hint="cs"/>
          <w:rtl/>
        </w:rPr>
        <w:t>הק"ש</w:t>
      </w:r>
      <w:proofErr w:type="spellEnd"/>
      <w:r>
        <w:rPr>
          <w:rFonts w:hint="cs"/>
          <w:rtl/>
        </w:rPr>
        <w:t xml:space="preserve"> פ"ו </w:t>
      </w:r>
      <w:proofErr w:type="spellStart"/>
      <w:r>
        <w:rPr>
          <w:rFonts w:hint="cs"/>
          <w:rtl/>
        </w:rPr>
        <w:t>ופי"א</w:t>
      </w:r>
      <w:proofErr w:type="spellEnd"/>
      <w:r>
        <w:rPr>
          <w:rFonts w:hint="cs"/>
          <w:rtl/>
        </w:rPr>
        <w:t xml:space="preserve">. ע"ח שער הזיווגים פ"א ובכ"ד. ונתבאר בחסידות בכ"ד – ראה </w:t>
      </w:r>
      <w:proofErr w:type="spellStart"/>
      <w:r>
        <w:rPr>
          <w:rFonts w:hint="cs"/>
          <w:rtl/>
        </w:rPr>
        <w:t>לקו"ת</w:t>
      </w:r>
      <w:proofErr w:type="spellEnd"/>
      <w:r>
        <w:rPr>
          <w:rFonts w:hint="cs"/>
          <w:rtl/>
        </w:rPr>
        <w:t xml:space="preserve"> שה"ש ד"ה "להבין ענין הטעם למה </w:t>
      </w:r>
      <w:proofErr w:type="spellStart"/>
      <w:r>
        <w:rPr>
          <w:rFonts w:hint="cs"/>
          <w:rtl/>
        </w:rPr>
        <w:t>שהאתערותא</w:t>
      </w:r>
      <w:proofErr w:type="spellEnd"/>
      <w:r>
        <w:rPr>
          <w:rFonts w:hint="cs"/>
          <w:rtl/>
        </w:rPr>
        <w:t xml:space="preserve"> </w:t>
      </w:r>
      <w:proofErr w:type="spellStart"/>
      <w:r>
        <w:rPr>
          <w:rFonts w:hint="cs"/>
          <w:rtl/>
        </w:rPr>
        <w:t>דלעילא</w:t>
      </w:r>
      <w:proofErr w:type="spellEnd"/>
      <w:r>
        <w:rPr>
          <w:rFonts w:hint="cs"/>
          <w:rtl/>
        </w:rPr>
        <w:t>" (</w:t>
      </w:r>
      <w:proofErr w:type="spellStart"/>
      <w:r>
        <w:rPr>
          <w:rFonts w:hint="cs"/>
          <w:rtl/>
        </w:rPr>
        <w:t>כב</w:t>
      </w:r>
      <w:proofErr w:type="spellEnd"/>
      <w:r>
        <w:rPr>
          <w:rFonts w:hint="cs"/>
          <w:rtl/>
        </w:rPr>
        <w:t>, ב).</w:t>
      </w:r>
    </w:p>
  </w:endnote>
  <w:endnote w:id="11">
    <w:p w:rsidR="00DA44E9" w:rsidRDefault="00DA44E9" w:rsidP="00DA44E9">
      <w:pPr>
        <w:pStyle w:val="a3"/>
        <w:rPr>
          <w:rFonts w:hint="cs"/>
          <w:rtl/>
        </w:rPr>
      </w:pPr>
      <w:r>
        <w:rPr>
          <w:rtl/>
        </w:rPr>
        <w:tab/>
      </w:r>
      <w:r w:rsidRPr="00E15672">
        <w:rPr>
          <w:rtl/>
        </w:rPr>
        <w:endnoteRef/>
      </w:r>
      <w:r>
        <w:rPr>
          <w:rtl/>
        </w:rPr>
        <w:t>.</w:t>
      </w:r>
      <w:r>
        <w:rPr>
          <w:rtl/>
        </w:rPr>
        <w:tab/>
      </w:r>
      <w:r>
        <w:rPr>
          <w:rFonts w:hint="cs"/>
          <w:rtl/>
        </w:rPr>
        <w:t xml:space="preserve">וראה עוד לקמן בתורה "מעשה אבות" </w:t>
      </w:r>
      <w:proofErr w:type="spellStart"/>
      <w:r>
        <w:rPr>
          <w:rFonts w:hint="cs"/>
          <w:rtl/>
        </w:rPr>
        <w:t>בענין</w:t>
      </w:r>
      <w:proofErr w:type="spellEnd"/>
      <w:r>
        <w:rPr>
          <w:rFonts w:hint="cs"/>
          <w:rtl/>
        </w:rPr>
        <w:t xml:space="preserve"> זיווגו של יעקב אבינו.</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2A7" w:rsidRDefault="006B72A7" w:rsidP="00DA44E9">
      <w:pPr>
        <w:spacing w:after="0" w:line="240" w:lineRule="auto"/>
      </w:pPr>
      <w:r>
        <w:separator/>
      </w:r>
    </w:p>
  </w:footnote>
  <w:footnote w:type="continuationSeparator" w:id="0">
    <w:p w:rsidR="006B72A7" w:rsidRDefault="006B72A7" w:rsidP="00DA4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AB"/>
    <w:rsid w:val="00061E65"/>
    <w:rsid w:val="003054AB"/>
    <w:rsid w:val="006B72A7"/>
    <w:rsid w:val="00AC2310"/>
    <w:rsid w:val="00DA44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A44E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A44E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A44E9"/>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DA44E9"/>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DA44E9"/>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DA44E9"/>
    <w:rPr>
      <w:noProof/>
      <w:position w:val="-4"/>
      <w:szCs w:val="27"/>
      <w:vertAlign w:val="superscript"/>
    </w:rPr>
  </w:style>
  <w:style w:type="paragraph" w:customStyle="1" w:styleId="a7">
    <w:name w:val="פתיח תו"/>
    <w:basedOn w:val="a"/>
    <w:link w:val="a8"/>
    <w:rsid w:val="00DA44E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DA44E9"/>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DA44E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A44E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A44E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A44E9"/>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DA44E9"/>
    <w:pPr>
      <w:tabs>
        <w:tab w:val="right" w:pos="266"/>
        <w:tab w:val="left" w:pos="340"/>
      </w:tabs>
      <w:spacing w:after="20" w:line="260" w:lineRule="exact"/>
      <w:ind w:left="340" w:hanging="340"/>
    </w:pPr>
    <w:rPr>
      <w:sz w:val="20"/>
      <w:szCs w:val="23"/>
    </w:rPr>
  </w:style>
  <w:style w:type="character" w:customStyle="1" w:styleId="a4">
    <w:name w:val="טקסט הערת סיום תו"/>
    <w:basedOn w:val="a0"/>
    <w:link w:val="a3"/>
    <w:semiHidden/>
    <w:rsid w:val="00DA44E9"/>
    <w:rPr>
      <w:rFonts w:ascii="Times New Roman" w:eastAsia="Times New Roman" w:hAnsi="Times New Roman" w:cs="FrankRuehl"/>
      <w:sz w:val="20"/>
      <w:szCs w:val="23"/>
      <w:lang w:eastAsia="he-IL"/>
    </w:rPr>
  </w:style>
  <w:style w:type="character" w:styleId="a5">
    <w:name w:val="endnote reference"/>
    <w:aliases w:val="Endnote Reference"/>
    <w:basedOn w:val="a6"/>
    <w:semiHidden/>
    <w:rsid w:val="00DA44E9"/>
    <w:rPr>
      <w:noProof/>
      <w:position w:val="-4"/>
      <w:szCs w:val="27"/>
      <w:vertAlign w:val="superscript"/>
    </w:rPr>
  </w:style>
  <w:style w:type="paragraph" w:customStyle="1" w:styleId="a7">
    <w:name w:val="פתיח תו"/>
    <w:basedOn w:val="a"/>
    <w:link w:val="a8"/>
    <w:rsid w:val="00DA44E9"/>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8">
    <w:name w:val="פתיח תו תו"/>
    <w:basedOn w:val="a0"/>
    <w:link w:val="a7"/>
    <w:rsid w:val="00DA44E9"/>
    <w:rPr>
      <w:rFonts w:ascii="Times New Roman" w:eastAsia="Times New Roman" w:hAnsi="Times New Roman" w:cs="Guttman Soncino"/>
      <w:b/>
      <w:bCs/>
      <w:color w:val="808080"/>
      <w:position w:val="-5"/>
      <w:sz w:val="85"/>
      <w:szCs w:val="85"/>
      <w:lang w:eastAsia="he-IL"/>
    </w:rPr>
  </w:style>
  <w:style w:type="character" w:styleId="a6">
    <w:name w:val="footnote reference"/>
    <w:basedOn w:val="a0"/>
    <w:uiPriority w:val="99"/>
    <w:semiHidden/>
    <w:unhideWhenUsed/>
    <w:rsid w:val="00DA44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00;&#1497;&#1513;&#1497;%20&#1493;&#1492;&#1488;&#1491;&#1501;%20&#1497;&#1491;&#1506;\&#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2605</Characters>
  <Application>Microsoft Office Word</Application>
  <DocSecurity>0</DocSecurity>
  <Lines>21</Lines>
  <Paragraphs>6</Paragraphs>
  <ScaleCrop>false</ScaleCrop>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2017-08-14T22:41:00Z</dcterms:created>
  <dcterms:modified xsi:type="dcterms:W3CDTF">2017-08-14T22:41:00Z</dcterms:modified>
</cp:coreProperties>
</file>