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52B" w:rsidRPr="000A2158" w:rsidRDefault="00AD552B" w:rsidP="00AD552B">
      <w:pPr>
        <w:pStyle w:val="2"/>
        <w:rPr>
          <w:rFonts w:hint="cs"/>
          <w:rtl/>
        </w:rPr>
      </w:pPr>
      <w:bookmarkStart w:id="0" w:name="_Toc145068680"/>
      <w:bookmarkStart w:id="1" w:name="_Ref145069025"/>
      <w:r>
        <w:rPr>
          <w:w w:val="100"/>
          <w:rtl/>
        </w:rPr>
        <w:drawing>
          <wp:anchor distT="0" distB="0" distL="114300" distR="114300" simplePos="0" relativeHeight="251659264" behindDoc="1" locked="0" layoutInCell="1" allowOverlap="1">
            <wp:simplePos x="0" y="0"/>
            <wp:positionH relativeFrom="column">
              <wp:posOffset>2084070</wp:posOffset>
            </wp:positionH>
            <wp:positionV relativeFrom="paragraph">
              <wp:posOffset>695325</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2158">
        <w:rPr>
          <w:rFonts w:hint="cs"/>
          <w:rtl/>
        </w:rPr>
        <w:t>תיקון חטא עץ הדעת</w:t>
      </w:r>
      <w:bookmarkEnd w:id="0"/>
      <w:bookmarkEnd w:id="1"/>
    </w:p>
    <w:p w:rsidR="00AD552B" w:rsidRPr="00115A08" w:rsidRDefault="00AD552B" w:rsidP="00AD552B">
      <w:pPr>
        <w:keepNext/>
        <w:framePr w:dropCap="drop" w:lines="2" w:hSpace="57" w:wrap="around" w:vAnchor="text" w:hAnchor="text" w:xAlign="right"/>
        <w:spacing w:after="0" w:line="760" w:lineRule="exact"/>
        <w:textAlignment w:val="baseline"/>
        <w:rPr>
          <w:rStyle w:val="a9"/>
          <w:rtl/>
        </w:rPr>
      </w:pPr>
      <w:r w:rsidRPr="00115A08">
        <w:rPr>
          <w:rStyle w:val="a9"/>
          <w:rFonts w:hint="cs"/>
          <w:rtl/>
        </w:rPr>
        <w:t>מ</w:t>
      </w:r>
    </w:p>
    <w:p w:rsidR="00AD552B" w:rsidRPr="00781C87" w:rsidRDefault="00AD552B" w:rsidP="00AD552B">
      <w:pPr>
        <w:rPr>
          <w:rFonts w:hint="cs"/>
          <w:rtl/>
        </w:rPr>
      </w:pPr>
      <w:r w:rsidRPr="00AA78FE">
        <w:rPr>
          <w:rFonts w:hint="cs"/>
          <w:rtl/>
        </w:rPr>
        <w:t>ו</w:t>
      </w:r>
      <w:r w:rsidRPr="00781C87">
        <w:rPr>
          <w:rFonts w:hint="cs"/>
          <w:rtl/>
        </w:rPr>
        <w:t xml:space="preserve">שגי הדעת והידיעה מופיעים בתורה לראשונה ביחס לעץ הדעת וחטא האכילה ממנו. בעקבות חטא זה גורשו אדם וחוה מגן עדן ועבודתם-עבודתנו מאז היא תיקון הנזקים שהתחוללו במציאות. חטא זה הוא המשבר הראשון המפורש בתורה אחרי בריאת העולם בששת ימי בראשית, והוא שחזור של "שבירת הכלים" של עולם </w:t>
      </w:r>
      <w:proofErr w:type="spellStart"/>
      <w:r w:rsidRPr="00781C87">
        <w:rPr>
          <w:rFonts w:hint="cs"/>
          <w:rtl/>
        </w:rPr>
        <w:t>התהו</w:t>
      </w:r>
      <w:proofErr w:type="spellEnd"/>
      <w:r w:rsidRPr="00781C87">
        <w:rPr>
          <w:rFonts w:hint="cs"/>
          <w:rtl/>
        </w:rPr>
        <w:t xml:space="preserve"> שקדמה לבריאה</w:t>
      </w:r>
      <w:r w:rsidRPr="005316B5">
        <w:rPr>
          <w:rStyle w:val="a6"/>
          <w:rtl/>
        </w:rPr>
        <w:endnoteReference w:id="1"/>
      </w:r>
      <w:r w:rsidRPr="00781C87">
        <w:rPr>
          <w:rFonts w:hint="cs"/>
          <w:rtl/>
        </w:rPr>
        <w:t xml:space="preserve"> – משבר שהתחיל גם הוא מספירת הדעת של עולם </w:t>
      </w:r>
      <w:proofErr w:type="spellStart"/>
      <w:r w:rsidRPr="00781C87">
        <w:rPr>
          <w:rFonts w:hint="cs"/>
          <w:rtl/>
        </w:rPr>
        <w:t>התהו</w:t>
      </w:r>
      <w:proofErr w:type="spellEnd"/>
      <w:r w:rsidRPr="005316B5">
        <w:rPr>
          <w:rStyle w:val="a6"/>
          <w:rtl/>
        </w:rPr>
        <w:endnoteReference w:id="2"/>
      </w:r>
      <w:r w:rsidRPr="00781C87">
        <w:rPr>
          <w:rFonts w:hint="cs"/>
          <w:rtl/>
        </w:rPr>
        <w:t xml:space="preserve">. לכן, עבודת התיקון מחוץ לגן העדן אחר החטא </w:t>
      </w:r>
      <w:r w:rsidRPr="00781C87">
        <w:rPr>
          <w:rFonts w:hint="eastAsia"/>
          <w:rtl/>
        </w:rPr>
        <w:t xml:space="preserve">– עבודתנו בעולם הזה – </w:t>
      </w:r>
      <w:r w:rsidRPr="00781C87">
        <w:rPr>
          <w:rFonts w:hint="cs"/>
          <w:rtl/>
        </w:rPr>
        <w:t>היא בעצם עבודת התיקון הבאה בעקבות שבירת הכלים, כפי שעבודה זו מתוארת בתורת הקבלה</w:t>
      </w:r>
      <w:r>
        <w:rPr>
          <w:rFonts w:hint="cs"/>
          <w:rtl/>
        </w:rPr>
        <w:t>:</w:t>
      </w:r>
      <w:r w:rsidRPr="00781C87">
        <w:rPr>
          <w:rFonts w:hint="cs"/>
          <w:rtl/>
        </w:rPr>
        <w:t xml:space="preserve"> תיקון ה</w:t>
      </w:r>
      <w:r w:rsidRPr="00E84990">
        <w:rPr>
          <w:rStyle w:val="a3"/>
          <w:rFonts w:hint="cs"/>
          <w:rtl/>
        </w:rPr>
        <w:t>כלים</w:t>
      </w:r>
      <w:r w:rsidRPr="00781C87">
        <w:rPr>
          <w:rFonts w:hint="cs"/>
          <w:rtl/>
        </w:rPr>
        <w:t xml:space="preserve"> השבורים, העלאת ה</w:t>
      </w:r>
      <w:r w:rsidRPr="00E84990">
        <w:rPr>
          <w:rStyle w:val="a3"/>
          <w:rFonts w:hint="cs"/>
          <w:rtl/>
        </w:rPr>
        <w:t>ניצוצות</w:t>
      </w:r>
      <w:r w:rsidRPr="00781C87">
        <w:rPr>
          <w:rFonts w:hint="cs"/>
          <w:rtl/>
        </w:rPr>
        <w:t xml:space="preserve"> הנפולים והמשכת ה</w:t>
      </w:r>
      <w:r w:rsidRPr="00E84990">
        <w:rPr>
          <w:rStyle w:val="a3"/>
          <w:rFonts w:hint="cs"/>
          <w:rtl/>
        </w:rPr>
        <w:t>אורות</w:t>
      </w:r>
      <w:r w:rsidRPr="00781C87">
        <w:rPr>
          <w:rFonts w:hint="cs"/>
          <w:rtl/>
        </w:rPr>
        <w:t xml:space="preserve"> </w:t>
      </w:r>
      <w:proofErr w:type="spellStart"/>
      <w:r w:rsidRPr="00781C87">
        <w:rPr>
          <w:rFonts w:hint="cs"/>
          <w:rtl/>
        </w:rPr>
        <w:t>האלקיים</w:t>
      </w:r>
      <w:proofErr w:type="spellEnd"/>
      <w:r w:rsidRPr="00781C87">
        <w:rPr>
          <w:rFonts w:hint="cs"/>
          <w:rtl/>
        </w:rPr>
        <w:t xml:space="preserve"> שנסתלקו חזרה </w:t>
      </w:r>
      <w:proofErr w:type="spellStart"/>
      <w:r w:rsidRPr="00781C87">
        <w:rPr>
          <w:rFonts w:hint="cs"/>
          <w:rtl/>
        </w:rPr>
        <w:t>לשרשם</w:t>
      </w:r>
      <w:proofErr w:type="spellEnd"/>
      <w:r w:rsidRPr="00781C87">
        <w:rPr>
          <w:rFonts w:hint="cs"/>
          <w:rtl/>
        </w:rPr>
        <w:t xml:space="preserve"> עם שבירת כליהם (כאשר, בעומק יותר, התיקון של אורות-ניצוצות-כלים מקביל לתיקון שלשת ממדי המציאות </w:t>
      </w:r>
      <w:proofErr w:type="spellStart"/>
      <w:r w:rsidRPr="00781C87">
        <w:rPr>
          <w:rFonts w:hint="cs"/>
          <w:rtl/>
        </w:rPr>
        <w:t>אודותם</w:t>
      </w:r>
      <w:proofErr w:type="spellEnd"/>
      <w:r w:rsidRPr="00781C87">
        <w:rPr>
          <w:rFonts w:hint="cs"/>
          <w:rtl/>
        </w:rPr>
        <w:t xml:space="preserve"> לימד מורנו הבעל שם טוב</w:t>
      </w:r>
      <w:r w:rsidRPr="005316B5">
        <w:rPr>
          <w:rStyle w:val="a6"/>
          <w:rtl/>
        </w:rPr>
        <w:endnoteReference w:id="3"/>
      </w:r>
      <w:r w:rsidRPr="00781C87">
        <w:rPr>
          <w:rFonts w:hint="cs"/>
          <w:rtl/>
        </w:rPr>
        <w:t xml:space="preserve"> </w:t>
      </w:r>
      <w:r w:rsidRPr="00781C87">
        <w:rPr>
          <w:rFonts w:hint="eastAsia"/>
          <w:rtl/>
        </w:rPr>
        <w:t>– עולמות-נשמות-</w:t>
      </w:r>
      <w:proofErr w:type="spellStart"/>
      <w:r w:rsidRPr="00781C87">
        <w:rPr>
          <w:rFonts w:hint="eastAsia"/>
          <w:rtl/>
        </w:rPr>
        <w:t>אלקות</w:t>
      </w:r>
      <w:proofErr w:type="spellEnd"/>
      <w:r w:rsidRPr="00781C87">
        <w:rPr>
          <w:rFonts w:hint="eastAsia"/>
          <w:rtl/>
        </w:rPr>
        <w:t xml:space="preserve"> </w:t>
      </w:r>
      <w:r w:rsidRPr="00781C87">
        <w:rPr>
          <w:rtl/>
        </w:rPr>
        <w:t>–</w:t>
      </w:r>
      <w:r w:rsidRPr="00781C87">
        <w:rPr>
          <w:rFonts w:hint="eastAsia"/>
          <w:rtl/>
        </w:rPr>
        <w:t xml:space="preserve"> כנודע</w:t>
      </w:r>
      <w:r w:rsidRPr="005316B5">
        <w:rPr>
          <w:rStyle w:val="a6"/>
          <w:rtl/>
        </w:rPr>
        <w:endnoteReference w:id="4"/>
      </w:r>
      <w:r w:rsidRPr="00781C87">
        <w:rPr>
          <w:rFonts w:hint="cs"/>
          <w:rtl/>
        </w:rPr>
        <w:t>).</w:t>
      </w:r>
    </w:p>
    <w:p w:rsidR="00AD552B" w:rsidRPr="00781C87" w:rsidRDefault="00AD552B" w:rsidP="00AD552B">
      <w:pPr>
        <w:rPr>
          <w:rFonts w:hint="cs"/>
          <w:rtl/>
        </w:rPr>
      </w:pPr>
      <w:r w:rsidRPr="00781C87">
        <w:rPr>
          <w:rFonts w:hint="cs"/>
          <w:rtl/>
        </w:rPr>
        <w:t>והנה, מיד אחרי סיום הסיפור של חטא עץ הדעת, בו הידיעה השלילית של אדם וחוה המיטה משבר וחורבן על העולם, מופיע שוב מושג הידיעה – "והאדם ידע את חוה אשתו"</w:t>
      </w:r>
      <w:r w:rsidRPr="005316B5">
        <w:rPr>
          <w:rStyle w:val="a6"/>
          <w:rtl/>
        </w:rPr>
        <w:endnoteReference w:id="5"/>
      </w:r>
      <w:r w:rsidRPr="00781C87">
        <w:rPr>
          <w:rFonts w:hint="cs"/>
          <w:rtl/>
        </w:rPr>
        <w:t>. הופעה זו כה בולטת עד כי נראה ברור שיש לקשר בין הידיעה של חטא עץ הדעת לידיעת אדם את חוה אשתו. ואכן, בדרך כלל מפרשים, באופנים שונים, כי ידיעת אדם את חוה אשתו קדמה לחטא עץ הדעת</w:t>
      </w:r>
      <w:r w:rsidRPr="005316B5">
        <w:rPr>
          <w:rStyle w:val="a6"/>
          <w:rtl/>
        </w:rPr>
        <w:endnoteReference w:id="6"/>
      </w:r>
      <w:r w:rsidRPr="00781C87">
        <w:rPr>
          <w:rFonts w:hint="cs"/>
          <w:rtl/>
        </w:rPr>
        <w:t xml:space="preserve"> </w:t>
      </w:r>
      <w:proofErr w:type="spellStart"/>
      <w:r w:rsidRPr="00781C87">
        <w:rPr>
          <w:rFonts w:hint="cs"/>
          <w:rtl/>
        </w:rPr>
        <w:t>והיתה</w:t>
      </w:r>
      <w:proofErr w:type="spellEnd"/>
      <w:r w:rsidRPr="00781C87">
        <w:rPr>
          <w:rFonts w:hint="cs"/>
          <w:rtl/>
        </w:rPr>
        <w:t xml:space="preserve"> בעקיפין גם סיבתו (כאשר הנחש ראה את אדם וחוה עסוקים בתשמיש ונתקנא בהם</w:t>
      </w:r>
      <w:r w:rsidRPr="005316B5">
        <w:rPr>
          <w:rStyle w:val="a6"/>
          <w:rtl/>
        </w:rPr>
        <w:endnoteReference w:id="7"/>
      </w:r>
      <w:r w:rsidRPr="00781C87">
        <w:rPr>
          <w:rFonts w:hint="cs"/>
          <w:rtl/>
        </w:rPr>
        <w:t xml:space="preserve">, או </w:t>
      </w:r>
      <w:r w:rsidRPr="00781C87">
        <w:rPr>
          <w:rFonts w:hint="eastAsia"/>
          <w:rtl/>
        </w:rPr>
        <w:t xml:space="preserve">– בעומק יותר – כאשר עצם </w:t>
      </w:r>
      <w:proofErr w:type="spellStart"/>
      <w:r w:rsidRPr="00781C87">
        <w:rPr>
          <w:rFonts w:hint="cs"/>
          <w:rtl/>
        </w:rPr>
        <w:t>חוית</w:t>
      </w:r>
      <w:proofErr w:type="spellEnd"/>
      <w:r w:rsidRPr="00781C87">
        <w:rPr>
          <w:rFonts w:hint="cs"/>
          <w:rtl/>
        </w:rPr>
        <w:t xml:space="preserve"> </w:t>
      </w:r>
      <w:r w:rsidRPr="00781C87">
        <w:rPr>
          <w:rFonts w:hint="eastAsia"/>
          <w:rtl/>
        </w:rPr>
        <w:t>הזיווג ה</w:t>
      </w:r>
      <w:r w:rsidRPr="00781C87">
        <w:rPr>
          <w:rFonts w:hint="cs"/>
          <w:rtl/>
        </w:rPr>
        <w:t>י</w:t>
      </w:r>
      <w:r w:rsidRPr="00781C87">
        <w:rPr>
          <w:rFonts w:hint="eastAsia"/>
          <w:rtl/>
        </w:rPr>
        <w:t>א ראשית המודעות העצמית האסורה של חטא עץ הדעת</w:t>
      </w:r>
      <w:r w:rsidRPr="005316B5">
        <w:rPr>
          <w:rStyle w:val="a6"/>
          <w:rtl/>
        </w:rPr>
        <w:endnoteReference w:id="8"/>
      </w:r>
      <w:r w:rsidRPr="00781C87">
        <w:rPr>
          <w:rFonts w:hint="cs"/>
          <w:rtl/>
        </w:rPr>
        <w:t xml:space="preserve">). אמנם, </w:t>
      </w:r>
      <w:proofErr w:type="spellStart"/>
      <w:r w:rsidRPr="00781C87">
        <w:rPr>
          <w:rFonts w:hint="cs"/>
          <w:rtl/>
        </w:rPr>
        <w:t>מכיון</w:t>
      </w:r>
      <w:proofErr w:type="spellEnd"/>
      <w:r w:rsidRPr="00781C87">
        <w:rPr>
          <w:rFonts w:hint="cs"/>
          <w:rtl/>
        </w:rPr>
        <w:t xml:space="preserve"> שידיעה זו מופיעה בפסוקים אחרי חטא עץ הדעת, ובפשטות זו ידיעה חיובית וראויה (שהרי בה מתחילה להתקיים בפועל מצות "פרו ורבו"</w:t>
      </w:r>
      <w:r w:rsidRPr="005316B5">
        <w:rPr>
          <w:rStyle w:val="a6"/>
          <w:rtl/>
        </w:rPr>
        <w:endnoteReference w:id="9"/>
      </w:r>
      <w:r w:rsidRPr="00781C87">
        <w:rPr>
          <w:rFonts w:hint="cs"/>
          <w:rtl/>
        </w:rPr>
        <w:t xml:space="preserve">), לכן נראה לפרש כי בידיעה זו </w:t>
      </w:r>
      <w:r w:rsidRPr="00781C87">
        <w:rPr>
          <w:rFonts w:hint="eastAsia"/>
          <w:rtl/>
        </w:rPr>
        <w:t>– וכך בכל זיווג איש ואשתו הנעשה בקדושה ובטהרה</w:t>
      </w:r>
      <w:r w:rsidRPr="005316B5">
        <w:rPr>
          <w:rStyle w:val="a6"/>
          <w:rtl/>
        </w:rPr>
        <w:endnoteReference w:id="10"/>
      </w:r>
      <w:r w:rsidRPr="00781C87">
        <w:rPr>
          <w:rFonts w:hint="eastAsia"/>
          <w:rtl/>
        </w:rPr>
        <w:t xml:space="preserve"> – </w:t>
      </w:r>
      <w:r w:rsidRPr="00781C87">
        <w:rPr>
          <w:rFonts w:hint="cs"/>
          <w:rtl/>
        </w:rPr>
        <w:t>טמון דווקא תיקון חטא עץ הדעת, על כל שלש רמות התיקון הנדרשות</w:t>
      </w:r>
      <w:r w:rsidRPr="005316B5">
        <w:rPr>
          <w:rStyle w:val="a6"/>
          <w:rtl/>
        </w:rPr>
        <w:endnoteReference w:id="11"/>
      </w:r>
      <w:r>
        <w:rPr>
          <w:rFonts w:hint="cs"/>
          <w:rtl/>
        </w:rPr>
        <w:t>:</w:t>
      </w:r>
    </w:p>
    <w:p w:rsidR="00AD552B" w:rsidRPr="00781C87" w:rsidRDefault="00AD552B" w:rsidP="00AD552B">
      <w:pPr>
        <w:rPr>
          <w:rFonts w:hint="cs"/>
          <w:rtl/>
        </w:rPr>
      </w:pPr>
      <w:r w:rsidRPr="00781C87">
        <w:rPr>
          <w:rFonts w:hint="cs"/>
          <w:rtl/>
        </w:rPr>
        <w:t xml:space="preserve">בכל נישואין הראשית של "והאדם ידע את חוה אשתו" היינו ביאת </w:t>
      </w:r>
      <w:proofErr w:type="spellStart"/>
      <w:r w:rsidRPr="00781C87">
        <w:rPr>
          <w:rFonts w:hint="cs"/>
          <w:rtl/>
        </w:rPr>
        <w:t>המצוה</w:t>
      </w:r>
      <w:proofErr w:type="spellEnd"/>
      <w:r w:rsidRPr="00781C87">
        <w:rPr>
          <w:rFonts w:hint="cs"/>
          <w:rtl/>
        </w:rPr>
        <w:t xml:space="preserve"> – הביאה בה נשברים הבתולים </w:t>
      </w:r>
      <w:proofErr w:type="spellStart"/>
      <w:r w:rsidRPr="00781C87">
        <w:rPr>
          <w:rFonts w:hint="cs"/>
          <w:rtl/>
        </w:rPr>
        <w:t>והאשה</w:t>
      </w:r>
      <w:proofErr w:type="spellEnd"/>
      <w:r w:rsidRPr="00781C87">
        <w:rPr>
          <w:rFonts w:hint="cs"/>
          <w:rtl/>
        </w:rPr>
        <w:t xml:space="preserve"> נעשית כלי</w:t>
      </w:r>
      <w:r w:rsidRPr="005316B5">
        <w:rPr>
          <w:rStyle w:val="a6"/>
          <w:rtl/>
        </w:rPr>
        <w:endnoteReference w:id="12"/>
      </w:r>
      <w:r w:rsidRPr="00781C87">
        <w:rPr>
          <w:rFonts w:hint="cs"/>
          <w:rtl/>
        </w:rPr>
        <w:t xml:space="preserve"> (והיינו </w:t>
      </w:r>
      <w:proofErr w:type="spellStart"/>
      <w:r w:rsidRPr="00781C87">
        <w:rPr>
          <w:rFonts w:hint="cs"/>
          <w:rtl/>
        </w:rPr>
        <w:t>חויה</w:t>
      </w:r>
      <w:proofErr w:type="spellEnd"/>
      <w:r w:rsidRPr="00781C87">
        <w:rPr>
          <w:rFonts w:hint="cs"/>
          <w:rtl/>
        </w:rPr>
        <w:t xml:space="preserve"> מתקנת של שבירת הכלים הראשונה, כאשר בביאת </w:t>
      </w:r>
      <w:proofErr w:type="spellStart"/>
      <w:r w:rsidRPr="00781C87">
        <w:rPr>
          <w:rFonts w:hint="cs"/>
          <w:rtl/>
        </w:rPr>
        <w:t>המצוה</w:t>
      </w:r>
      <w:proofErr w:type="spellEnd"/>
      <w:r w:rsidRPr="00781C87">
        <w:rPr>
          <w:rFonts w:hint="cs"/>
          <w:rtl/>
        </w:rPr>
        <w:t xml:space="preserve"> השבירה עצמה יוצרת כלי שלם</w:t>
      </w:r>
      <w:r w:rsidRPr="005316B5">
        <w:rPr>
          <w:rStyle w:val="a6"/>
          <w:rtl/>
        </w:rPr>
        <w:endnoteReference w:id="13"/>
      </w:r>
      <w:r w:rsidRPr="00781C87">
        <w:rPr>
          <w:rFonts w:hint="cs"/>
          <w:rtl/>
        </w:rPr>
        <w:t>). בעבודת התיקון, תכלית הביאה העושה כלי היא תיקון ה</w:t>
      </w:r>
      <w:r w:rsidRPr="00E84990">
        <w:rPr>
          <w:rStyle w:val="a3"/>
          <w:rFonts w:hint="cs"/>
          <w:rtl/>
        </w:rPr>
        <w:t>כלים</w:t>
      </w:r>
      <w:r w:rsidRPr="00781C87">
        <w:rPr>
          <w:rFonts w:hint="cs"/>
          <w:rtl/>
        </w:rPr>
        <w:t>, כמובן. במושגיו המעמיקים והמחיים של מורנו הבעל שם טוב תכלית ביאה זו היא תיקון העולמות, לעורר בהם תנועה של עליה והשתוקקות כלפי מעלה</w:t>
      </w:r>
      <w:bookmarkStart w:id="2" w:name="_Ref145006895"/>
      <w:r w:rsidRPr="005316B5">
        <w:rPr>
          <w:rStyle w:val="a6"/>
          <w:rtl/>
        </w:rPr>
        <w:endnoteReference w:id="14"/>
      </w:r>
      <w:bookmarkEnd w:id="2"/>
      <w:r w:rsidRPr="00781C87">
        <w:rPr>
          <w:rFonts w:hint="cs"/>
          <w:rtl/>
        </w:rPr>
        <w:t xml:space="preserve">, ובכך לפתוח אותם לפעולת הנשמות בתוכם (ולפי זה מתעדן מובן התיקון בביאה הראשונה ומובן כי עיקרה – עיקר כריתת הברית </w:t>
      </w:r>
      <w:proofErr w:type="spellStart"/>
      <w:r w:rsidRPr="00781C87">
        <w:rPr>
          <w:rFonts w:hint="cs"/>
          <w:rtl/>
        </w:rPr>
        <w:t>בעשית</w:t>
      </w:r>
      <w:proofErr w:type="spellEnd"/>
      <w:r w:rsidRPr="00781C87">
        <w:rPr>
          <w:rFonts w:hint="cs"/>
          <w:rtl/>
        </w:rPr>
        <w:t xml:space="preserve"> הכלי – איננה עשית הכלי ה'טכנית' בשבירת הבתולים, אלא המשכת </w:t>
      </w:r>
      <w:proofErr w:type="spellStart"/>
      <w:r w:rsidRPr="00781C87">
        <w:rPr>
          <w:rFonts w:hint="cs"/>
          <w:rtl/>
        </w:rPr>
        <w:t>ה"רוחא</w:t>
      </w:r>
      <w:proofErr w:type="spellEnd"/>
      <w:r w:rsidRPr="00781C87">
        <w:rPr>
          <w:rFonts w:hint="cs"/>
          <w:rtl/>
        </w:rPr>
        <w:t xml:space="preserve"> </w:t>
      </w:r>
      <w:proofErr w:type="spellStart"/>
      <w:r w:rsidRPr="00781C87">
        <w:rPr>
          <w:rFonts w:hint="cs"/>
          <w:rtl/>
        </w:rPr>
        <w:t>דשביק</w:t>
      </w:r>
      <w:proofErr w:type="spellEnd"/>
      <w:r w:rsidRPr="00781C87">
        <w:rPr>
          <w:rFonts w:hint="cs"/>
          <w:rtl/>
        </w:rPr>
        <w:t xml:space="preserve"> בה בעלה"</w:t>
      </w:r>
      <w:r w:rsidRPr="005316B5">
        <w:rPr>
          <w:rStyle w:val="a6"/>
          <w:rtl/>
        </w:rPr>
        <w:endnoteReference w:id="15"/>
      </w:r>
      <w:r w:rsidRPr="00781C87">
        <w:rPr>
          <w:rFonts w:hint="cs"/>
          <w:rtl/>
        </w:rPr>
        <w:t xml:space="preserve">, המעוררת את תשוקת ואהבת </w:t>
      </w:r>
      <w:proofErr w:type="spellStart"/>
      <w:r w:rsidRPr="00781C87">
        <w:rPr>
          <w:rFonts w:hint="cs"/>
          <w:rtl/>
        </w:rPr>
        <w:t>האשה</w:t>
      </w:r>
      <w:proofErr w:type="spellEnd"/>
      <w:r w:rsidRPr="00781C87">
        <w:rPr>
          <w:rFonts w:hint="cs"/>
          <w:rtl/>
        </w:rPr>
        <w:t xml:space="preserve"> לאישה בכל ימי חייהם).</w:t>
      </w:r>
    </w:p>
    <w:p w:rsidR="00AD552B" w:rsidRPr="00781C87" w:rsidRDefault="00AD552B" w:rsidP="00AD552B">
      <w:pPr>
        <w:rPr>
          <w:rFonts w:hint="cs"/>
          <w:rtl/>
        </w:rPr>
      </w:pPr>
      <w:r w:rsidRPr="00781C87">
        <w:rPr>
          <w:rFonts w:hint="cs"/>
          <w:rtl/>
        </w:rPr>
        <w:lastRenderedPageBreak/>
        <w:t xml:space="preserve">המשך הקיום של "והאדם ידע את חוה אשתו" בחיי הנישואין הוא בזיווגים שתכליתם הריון </w:t>
      </w:r>
      <w:r w:rsidRPr="00781C87">
        <w:rPr>
          <w:rFonts w:hint="eastAsia"/>
          <w:rtl/>
        </w:rPr>
        <w:t xml:space="preserve">– הן בגשמיות, בלידת ילדים, והן ברוחניות, </w:t>
      </w:r>
      <w:r w:rsidRPr="00781C87">
        <w:rPr>
          <w:rFonts w:hint="cs"/>
          <w:rtl/>
        </w:rPr>
        <w:t>בהמשכת נשמות גרים</w:t>
      </w:r>
      <w:r w:rsidRPr="005316B5">
        <w:rPr>
          <w:rStyle w:val="a6"/>
          <w:rtl/>
        </w:rPr>
        <w:endnoteReference w:id="16"/>
      </w:r>
      <w:r w:rsidRPr="00781C87">
        <w:rPr>
          <w:rFonts w:hint="cs"/>
          <w:rtl/>
        </w:rPr>
        <w:t xml:space="preserve"> והרהורי תשובה</w:t>
      </w:r>
      <w:r w:rsidRPr="005316B5">
        <w:rPr>
          <w:rStyle w:val="a6"/>
          <w:rtl/>
        </w:rPr>
        <w:endnoteReference w:id="17"/>
      </w:r>
      <w:r w:rsidRPr="00781C87">
        <w:rPr>
          <w:rFonts w:hint="cs"/>
          <w:rtl/>
        </w:rPr>
        <w:t>. בעבודת התיקון, זיווגים אלו מבררים את ה</w:t>
      </w:r>
      <w:r w:rsidRPr="00E84990">
        <w:rPr>
          <w:rStyle w:val="a3"/>
          <w:rFonts w:hint="cs"/>
          <w:rtl/>
        </w:rPr>
        <w:t>ניצוצות</w:t>
      </w:r>
      <w:r w:rsidRPr="00781C87">
        <w:rPr>
          <w:rFonts w:hint="cs"/>
          <w:rtl/>
        </w:rPr>
        <w:t xml:space="preserve"> הקדושים שנותרו מעולם </w:t>
      </w:r>
      <w:proofErr w:type="spellStart"/>
      <w:r w:rsidRPr="00781C87">
        <w:rPr>
          <w:rFonts w:hint="cs"/>
          <w:rtl/>
        </w:rPr>
        <w:t>התהו</w:t>
      </w:r>
      <w:proofErr w:type="spellEnd"/>
      <w:r w:rsidRPr="00781C87">
        <w:rPr>
          <w:rFonts w:hint="cs"/>
          <w:rtl/>
        </w:rPr>
        <w:t xml:space="preserve"> כדי ליצור מהם מציאות חדשה</w:t>
      </w:r>
      <w:r w:rsidRPr="005316B5">
        <w:rPr>
          <w:rStyle w:val="a6"/>
          <w:rtl/>
        </w:rPr>
        <w:endnoteReference w:id="18"/>
      </w:r>
      <w:r w:rsidRPr="00781C87">
        <w:rPr>
          <w:rFonts w:hint="cs"/>
          <w:rtl/>
        </w:rPr>
        <w:t xml:space="preserve">. </w:t>
      </w:r>
      <w:r w:rsidRPr="00781C87">
        <w:rPr>
          <w:rFonts w:hint="eastAsia"/>
          <w:rtl/>
        </w:rPr>
        <w:t xml:space="preserve">גופו המתרקם של הולד הוא בירור </w:t>
      </w:r>
      <w:r w:rsidRPr="00781C87">
        <w:rPr>
          <w:rFonts w:hint="cs"/>
          <w:rtl/>
        </w:rPr>
        <w:t xml:space="preserve">ועיצוב מחודש של חומרי הגלם שבמציאות, כשבכל תהליך </w:t>
      </w:r>
      <w:proofErr w:type="spellStart"/>
      <w:r w:rsidRPr="00781C87">
        <w:rPr>
          <w:rFonts w:hint="cs"/>
          <w:rtl/>
        </w:rPr>
        <w:t>ההריון</w:t>
      </w:r>
      <w:proofErr w:type="spellEnd"/>
      <w:r w:rsidRPr="00781C87">
        <w:rPr>
          <w:rFonts w:hint="cs"/>
          <w:rtl/>
        </w:rPr>
        <w:t xml:space="preserve"> מתחולל בירור – החל מהבירור הנעלם איזה מתאי הזרע הוא ה"זרע אמת"</w:t>
      </w:r>
      <w:r w:rsidRPr="005316B5">
        <w:rPr>
          <w:rStyle w:val="a6"/>
          <w:rtl/>
        </w:rPr>
        <w:endnoteReference w:id="19"/>
      </w:r>
      <w:r w:rsidRPr="00781C87">
        <w:rPr>
          <w:rFonts w:hint="cs"/>
          <w:rtl/>
        </w:rPr>
        <w:t xml:space="preserve"> שיפרה את </w:t>
      </w:r>
      <w:proofErr w:type="spellStart"/>
      <w:r w:rsidRPr="00781C87">
        <w:rPr>
          <w:rFonts w:hint="cs"/>
          <w:rtl/>
        </w:rPr>
        <w:t>האשה</w:t>
      </w:r>
      <w:proofErr w:type="spellEnd"/>
      <w:r w:rsidRPr="00781C87">
        <w:rPr>
          <w:rFonts w:hint="cs"/>
          <w:rtl/>
        </w:rPr>
        <w:t xml:space="preserve">, דרך בירור הבר מן הפסולת בתהליך </w:t>
      </w:r>
      <w:proofErr w:type="spellStart"/>
      <w:r w:rsidRPr="00781C87">
        <w:rPr>
          <w:rFonts w:hint="cs"/>
          <w:rtl/>
        </w:rPr>
        <w:t>ההריון</w:t>
      </w:r>
      <w:proofErr w:type="spellEnd"/>
      <w:r w:rsidRPr="00781C87">
        <w:rPr>
          <w:rFonts w:hint="cs"/>
          <w:rtl/>
        </w:rPr>
        <w:t xml:space="preserve">, ועד לבירור מה מתאי הגזע הגולמיים ישמש ליצירת כל אבר וחלק בגוף, מהמח שבראש ועד לקצות </w:t>
      </w:r>
      <w:proofErr w:type="spellStart"/>
      <w:r w:rsidRPr="00781C87">
        <w:rPr>
          <w:rFonts w:hint="cs"/>
          <w:rtl/>
        </w:rPr>
        <w:t>הצפרניים</w:t>
      </w:r>
      <w:proofErr w:type="spellEnd"/>
      <w:r w:rsidRPr="005316B5">
        <w:rPr>
          <w:rStyle w:val="a6"/>
          <w:rtl/>
        </w:rPr>
        <w:endnoteReference w:id="20"/>
      </w:r>
      <w:r w:rsidRPr="00781C87">
        <w:rPr>
          <w:rFonts w:hint="cs"/>
          <w:rtl/>
        </w:rPr>
        <w:t xml:space="preserve"> (וכדרשות החכמים על הבירור שבהריון</w:t>
      </w:r>
      <w:r>
        <w:rPr>
          <w:rFonts w:hint="cs"/>
          <w:rtl/>
        </w:rPr>
        <w:t>:</w:t>
      </w:r>
      <w:r w:rsidRPr="00781C87">
        <w:rPr>
          <w:rFonts w:hint="cs"/>
          <w:rtl/>
        </w:rPr>
        <w:t xml:space="preserve"> "</w:t>
      </w:r>
      <w:proofErr w:type="spellStart"/>
      <w:r w:rsidRPr="00781C87">
        <w:rPr>
          <w:rFonts w:hint="cs"/>
          <w:rtl/>
        </w:rPr>
        <w:t>דריש</w:t>
      </w:r>
      <w:proofErr w:type="spellEnd"/>
      <w:r w:rsidRPr="00781C87">
        <w:rPr>
          <w:rFonts w:hint="cs"/>
          <w:rtl/>
        </w:rPr>
        <w:t xml:space="preserve"> רבי </w:t>
      </w:r>
      <w:proofErr w:type="spellStart"/>
      <w:r w:rsidRPr="00781C87">
        <w:rPr>
          <w:rFonts w:hint="cs"/>
          <w:rtl/>
        </w:rPr>
        <w:t>חנינא</w:t>
      </w:r>
      <w:proofErr w:type="spellEnd"/>
      <w:r w:rsidRPr="00781C87">
        <w:rPr>
          <w:rFonts w:hint="cs"/>
          <w:rtl/>
        </w:rPr>
        <w:t xml:space="preserve"> בר </w:t>
      </w:r>
      <w:proofErr w:type="spellStart"/>
      <w:r w:rsidRPr="00781C87">
        <w:rPr>
          <w:rFonts w:hint="cs"/>
          <w:rtl/>
        </w:rPr>
        <w:t>פפא</w:t>
      </w:r>
      <w:proofErr w:type="spellEnd"/>
      <w:r w:rsidRPr="00781C87">
        <w:rPr>
          <w:rFonts w:hint="cs"/>
          <w:rtl/>
        </w:rPr>
        <w:t xml:space="preserve">, מאי </w:t>
      </w:r>
      <w:proofErr w:type="spellStart"/>
      <w:r w:rsidRPr="00781C87">
        <w:rPr>
          <w:rFonts w:hint="cs"/>
          <w:rtl/>
        </w:rPr>
        <w:t>דכתיב</w:t>
      </w:r>
      <w:proofErr w:type="spellEnd"/>
      <w:r w:rsidRPr="00781C87">
        <w:rPr>
          <w:rFonts w:hint="cs"/>
          <w:rtl/>
        </w:rPr>
        <w:t xml:space="preserve"> 'ארחי ורבעי זרית וכל דרכי הסכנת'</w:t>
      </w:r>
      <w:r w:rsidRPr="005316B5">
        <w:rPr>
          <w:rStyle w:val="a6"/>
          <w:rtl/>
        </w:rPr>
        <w:endnoteReference w:id="21"/>
      </w:r>
      <w:r w:rsidRPr="00781C87">
        <w:rPr>
          <w:rFonts w:hint="cs"/>
          <w:rtl/>
        </w:rPr>
        <w:t xml:space="preserve">? מלמד שלא נוצר אדם מן כל הטפה אלא מן הברור שבה. תנא דבי רבי ישמעאל, משל לאדם שזורה בבית הגרנות נוטל את האוכל ומניח את הפסולת. כדרבי </w:t>
      </w:r>
      <w:proofErr w:type="spellStart"/>
      <w:r w:rsidRPr="00781C87">
        <w:rPr>
          <w:rFonts w:hint="cs"/>
          <w:rtl/>
        </w:rPr>
        <w:t>אבהו</w:t>
      </w:r>
      <w:proofErr w:type="spellEnd"/>
      <w:r w:rsidRPr="00781C87">
        <w:rPr>
          <w:rFonts w:hint="cs"/>
          <w:rtl/>
        </w:rPr>
        <w:t xml:space="preserve">, דרבי </w:t>
      </w:r>
      <w:proofErr w:type="spellStart"/>
      <w:r w:rsidRPr="00781C87">
        <w:rPr>
          <w:rFonts w:hint="cs"/>
          <w:rtl/>
        </w:rPr>
        <w:t>אבהו</w:t>
      </w:r>
      <w:proofErr w:type="spellEnd"/>
      <w:r w:rsidRPr="00781C87">
        <w:rPr>
          <w:rFonts w:hint="cs"/>
          <w:rtl/>
        </w:rPr>
        <w:t xml:space="preserve"> רמי כתיב '</w:t>
      </w:r>
      <w:proofErr w:type="spellStart"/>
      <w:r w:rsidRPr="00781C87">
        <w:rPr>
          <w:rFonts w:hint="cs"/>
          <w:rtl/>
        </w:rPr>
        <w:t>ותזרני</w:t>
      </w:r>
      <w:proofErr w:type="spellEnd"/>
      <w:r w:rsidRPr="00781C87">
        <w:rPr>
          <w:rFonts w:hint="cs"/>
          <w:rtl/>
        </w:rPr>
        <w:t xml:space="preserve"> חיל'</w:t>
      </w:r>
      <w:r w:rsidRPr="005316B5">
        <w:rPr>
          <w:rStyle w:val="a6"/>
          <w:rtl/>
        </w:rPr>
        <w:endnoteReference w:id="22"/>
      </w:r>
      <w:r w:rsidRPr="00781C87">
        <w:rPr>
          <w:rFonts w:hint="cs"/>
          <w:rtl/>
        </w:rPr>
        <w:t xml:space="preserve"> וכתיב 'האל </w:t>
      </w:r>
      <w:proofErr w:type="spellStart"/>
      <w:r w:rsidRPr="00781C87">
        <w:rPr>
          <w:rFonts w:hint="cs"/>
          <w:rtl/>
        </w:rPr>
        <w:t>המאזרני</w:t>
      </w:r>
      <w:proofErr w:type="spellEnd"/>
      <w:r w:rsidRPr="00781C87">
        <w:rPr>
          <w:rFonts w:hint="cs"/>
          <w:rtl/>
        </w:rPr>
        <w:t xml:space="preserve"> חיל'</w:t>
      </w:r>
      <w:r w:rsidRPr="005316B5">
        <w:rPr>
          <w:rStyle w:val="a6"/>
          <w:rtl/>
        </w:rPr>
        <w:endnoteReference w:id="23"/>
      </w:r>
      <w:r w:rsidRPr="00781C87">
        <w:rPr>
          <w:rFonts w:hint="cs"/>
          <w:rtl/>
        </w:rPr>
        <w:t xml:space="preserve"> </w:t>
      </w:r>
      <w:r w:rsidRPr="00781C87">
        <w:rPr>
          <w:rFonts w:hint="eastAsia"/>
          <w:rtl/>
        </w:rPr>
        <w:t xml:space="preserve">– </w:t>
      </w:r>
      <w:r w:rsidRPr="00781C87">
        <w:rPr>
          <w:rFonts w:hint="cs"/>
          <w:rtl/>
        </w:rPr>
        <w:t xml:space="preserve">אמר דוד לפני הקב"ה, רבש"ע </w:t>
      </w:r>
      <w:proofErr w:type="spellStart"/>
      <w:r w:rsidRPr="00781C87">
        <w:rPr>
          <w:rFonts w:hint="cs"/>
          <w:rtl/>
        </w:rPr>
        <w:t>זיריתני</w:t>
      </w:r>
      <w:proofErr w:type="spellEnd"/>
      <w:r w:rsidRPr="00781C87">
        <w:rPr>
          <w:rFonts w:hint="cs"/>
          <w:rtl/>
        </w:rPr>
        <w:t xml:space="preserve"> </w:t>
      </w:r>
      <w:proofErr w:type="spellStart"/>
      <w:r w:rsidRPr="00781C87">
        <w:rPr>
          <w:rFonts w:hint="cs"/>
          <w:rtl/>
        </w:rPr>
        <w:t>וזרזתני</w:t>
      </w:r>
      <w:proofErr w:type="spellEnd"/>
      <w:r w:rsidRPr="00781C87">
        <w:rPr>
          <w:rFonts w:hint="cs"/>
          <w:rtl/>
        </w:rPr>
        <w:t>"</w:t>
      </w:r>
      <w:r w:rsidRPr="005316B5">
        <w:rPr>
          <w:rStyle w:val="a6"/>
          <w:rtl/>
        </w:rPr>
        <w:endnoteReference w:id="24"/>
      </w:r>
      <w:r w:rsidRPr="00781C87">
        <w:rPr>
          <w:rFonts w:hint="cs"/>
          <w:rtl/>
        </w:rPr>
        <w:t>). במושגי מורנו הבעל שם טוב, תיקון הניצוצות היינו המשכת ה</w:t>
      </w:r>
      <w:r w:rsidRPr="00E84990">
        <w:rPr>
          <w:rStyle w:val="a3"/>
          <w:rFonts w:hint="cs"/>
          <w:rtl/>
        </w:rPr>
        <w:t>נשמות</w:t>
      </w:r>
      <w:r w:rsidRPr="00781C87">
        <w:rPr>
          <w:rFonts w:hint="cs"/>
          <w:rtl/>
        </w:rPr>
        <w:t xml:space="preserve"> לפעול בתוך העולם ולתקנו (וגם כאן נחשף ממד עמוק יותר, ומתברר כי עיקר החידוש איננו בירור הניצוצות מתוך הפסולת, אלא "התקשרות הנשמות"</w:t>
      </w:r>
      <w:r w:rsidRPr="00781C87">
        <w:rPr>
          <w:rStyle w:val="a6"/>
          <w:rtl/>
        </w:rPr>
        <w:fldChar w:fldCharType="begin"/>
      </w:r>
      <w:r w:rsidRPr="00781C87">
        <w:rPr>
          <w:rStyle w:val="a6"/>
          <w:rtl/>
        </w:rPr>
        <w:instrText xml:space="preserve"> </w:instrText>
      </w:r>
      <w:r w:rsidRPr="00781C87">
        <w:rPr>
          <w:rStyle w:val="a6"/>
          <w:rFonts w:hint="cs"/>
        </w:rPr>
        <w:instrText>NOTEREF</w:instrText>
      </w:r>
      <w:r w:rsidRPr="00781C87">
        <w:rPr>
          <w:rStyle w:val="a6"/>
          <w:rFonts w:hint="cs"/>
          <w:rtl/>
        </w:rPr>
        <w:instrText xml:space="preserve"> _</w:instrText>
      </w:r>
      <w:r w:rsidRPr="00781C87">
        <w:rPr>
          <w:rStyle w:val="a6"/>
          <w:rFonts w:hint="cs"/>
        </w:rPr>
        <w:instrText>Ref145006895 \h</w:instrText>
      </w:r>
      <w:r w:rsidRPr="00781C87">
        <w:rPr>
          <w:rStyle w:val="a6"/>
          <w:rtl/>
        </w:rPr>
        <w:instrText xml:space="preserve"> </w:instrText>
      </w:r>
      <w:r w:rsidRPr="00781C87">
        <w:rPr>
          <w:rStyle w:val="a6"/>
        </w:rPr>
      </w:r>
      <w:r w:rsidRPr="00781C87">
        <w:rPr>
          <w:rStyle w:val="a6"/>
          <w:rtl/>
        </w:rPr>
        <w:instrText xml:space="preserve"> \* </w:instrText>
      </w:r>
      <w:r w:rsidRPr="00781C87">
        <w:rPr>
          <w:rStyle w:val="a6"/>
        </w:rPr>
        <w:instrText>MERGEFORMAT</w:instrText>
      </w:r>
      <w:r w:rsidRPr="00781C87">
        <w:rPr>
          <w:rStyle w:val="a6"/>
          <w:rtl/>
        </w:rPr>
        <w:instrText xml:space="preserve"> </w:instrText>
      </w:r>
      <w:r w:rsidRPr="00781C87">
        <w:rPr>
          <w:rStyle w:val="a6"/>
          <w:rtl/>
        </w:rPr>
        <w:fldChar w:fldCharType="separate"/>
      </w:r>
      <w:r>
        <w:rPr>
          <w:rStyle w:val="a6"/>
          <w:rtl/>
        </w:rPr>
        <w:t>יד</w:t>
      </w:r>
      <w:r w:rsidRPr="00781C87">
        <w:rPr>
          <w:rStyle w:val="a6"/>
          <w:rtl/>
        </w:rPr>
        <w:fldChar w:fldCharType="end"/>
      </w:r>
      <w:r>
        <w:rPr>
          <w:rFonts w:hint="cs"/>
          <w:rtl/>
        </w:rPr>
        <w:t>:</w:t>
      </w:r>
      <w:r w:rsidRPr="00781C87">
        <w:rPr>
          <w:rFonts w:hint="cs"/>
          <w:rtl/>
        </w:rPr>
        <w:t xml:space="preserve"> </w:t>
      </w:r>
      <w:r w:rsidRPr="00781C87">
        <w:rPr>
          <w:rFonts w:hint="eastAsia"/>
          <w:rtl/>
        </w:rPr>
        <w:t xml:space="preserve">התקשרות </w:t>
      </w:r>
      <w:r w:rsidRPr="00781C87">
        <w:rPr>
          <w:rFonts w:hint="cs"/>
          <w:rtl/>
        </w:rPr>
        <w:t xml:space="preserve">הניצוצות של שני בני הזוג בוולד אחד, התקשרות הנשמה הנמשכת מלמעלה עם הניצוצות שבגוף, וכאשר מדובר בהמשכת נשמות גרים או הרהורי תשובה </w:t>
      </w:r>
      <w:r w:rsidRPr="00781C87">
        <w:rPr>
          <w:rFonts w:hint="eastAsia"/>
          <w:rtl/>
        </w:rPr>
        <w:t xml:space="preserve">– </w:t>
      </w:r>
      <w:r w:rsidRPr="00781C87">
        <w:rPr>
          <w:rFonts w:hint="cs"/>
          <w:rtl/>
        </w:rPr>
        <w:t>התקשרות נשמות בני הזוג והניצוצות שהם מבררים לאנשים אחרים עליהם פועלת המשכת הזיווג).</w:t>
      </w:r>
    </w:p>
    <w:p w:rsidR="00AD552B" w:rsidRPr="00781C87" w:rsidRDefault="00AD552B" w:rsidP="00AD552B">
      <w:pPr>
        <w:rPr>
          <w:rFonts w:hint="cs"/>
          <w:rtl/>
        </w:rPr>
      </w:pPr>
      <w:r w:rsidRPr="00781C87">
        <w:rPr>
          <w:rFonts w:hint="cs"/>
          <w:rtl/>
        </w:rPr>
        <w:t xml:space="preserve">סוג שלישי של ידיעת האדם את אשתו הוא זיווגים </w:t>
      </w:r>
      <w:proofErr w:type="spellStart"/>
      <w:r w:rsidRPr="00781C87">
        <w:rPr>
          <w:rFonts w:hint="cs"/>
          <w:rtl/>
        </w:rPr>
        <w:t>שענינם</w:t>
      </w:r>
      <w:proofErr w:type="spellEnd"/>
      <w:r w:rsidRPr="00781C87">
        <w:rPr>
          <w:rFonts w:hint="cs"/>
          <w:rtl/>
        </w:rPr>
        <w:t xml:space="preserve"> תענוג עצמי – שעשועים עצמיים בין בני הזוג, ללא מחשבה על תכלית מוחשית בעולמנו. </w:t>
      </w:r>
      <w:proofErr w:type="spellStart"/>
      <w:r w:rsidRPr="00781C87">
        <w:rPr>
          <w:rFonts w:hint="cs"/>
          <w:rtl/>
        </w:rPr>
        <w:t>בכחם</w:t>
      </w:r>
      <w:proofErr w:type="spellEnd"/>
      <w:r w:rsidRPr="00781C87">
        <w:rPr>
          <w:rFonts w:hint="cs"/>
          <w:rtl/>
        </w:rPr>
        <w:t xml:space="preserve"> של זיווגים אלו להמשיך חזרה את ה</w:t>
      </w:r>
      <w:r w:rsidRPr="00E84990">
        <w:rPr>
          <w:rStyle w:val="a3"/>
          <w:rFonts w:hint="cs"/>
          <w:rtl/>
        </w:rPr>
        <w:t>אורות</w:t>
      </w:r>
      <w:r w:rsidRPr="00781C87">
        <w:rPr>
          <w:rFonts w:hint="cs"/>
          <w:rtl/>
        </w:rPr>
        <w:t xml:space="preserve"> שנסתלקו בזמן שבירת הכלים, ואף להביא לידי גילוי "אור חדש" ממש</w:t>
      </w:r>
      <w:r w:rsidRPr="005316B5">
        <w:rPr>
          <w:rStyle w:val="a6"/>
          <w:rtl/>
        </w:rPr>
        <w:endnoteReference w:id="25"/>
      </w:r>
      <w:r w:rsidRPr="00781C87">
        <w:rPr>
          <w:rFonts w:hint="cs"/>
          <w:rtl/>
        </w:rPr>
        <w:t xml:space="preserve">. במושגי מורנו הבעל שם טוב, השעשועים העצמיים הללו מייחדים את </w:t>
      </w:r>
      <w:proofErr w:type="spellStart"/>
      <w:r w:rsidRPr="00781C87">
        <w:rPr>
          <w:rFonts w:hint="cs"/>
          <w:rtl/>
        </w:rPr>
        <w:t>ה</w:t>
      </w:r>
      <w:r w:rsidRPr="00E84990">
        <w:rPr>
          <w:rStyle w:val="a3"/>
          <w:rFonts w:hint="cs"/>
          <w:rtl/>
        </w:rPr>
        <w:t>אלקות</w:t>
      </w:r>
      <w:proofErr w:type="spellEnd"/>
      <w:r w:rsidRPr="00781C87">
        <w:rPr>
          <w:rFonts w:hint="cs"/>
          <w:rtl/>
        </w:rPr>
        <w:t xml:space="preserve"> בתוך העולם</w:t>
      </w:r>
      <w:r w:rsidRPr="00781C87">
        <w:rPr>
          <w:rStyle w:val="a6"/>
          <w:rtl/>
        </w:rPr>
        <w:fldChar w:fldCharType="begin"/>
      </w:r>
      <w:r w:rsidRPr="00781C87">
        <w:rPr>
          <w:rStyle w:val="a6"/>
          <w:rtl/>
        </w:rPr>
        <w:instrText xml:space="preserve"> </w:instrText>
      </w:r>
      <w:r w:rsidRPr="00781C87">
        <w:rPr>
          <w:rStyle w:val="a6"/>
          <w:rFonts w:hint="cs"/>
        </w:rPr>
        <w:instrText>NOTEREF</w:instrText>
      </w:r>
      <w:r w:rsidRPr="00781C87">
        <w:rPr>
          <w:rStyle w:val="a6"/>
          <w:rFonts w:hint="cs"/>
          <w:rtl/>
        </w:rPr>
        <w:instrText xml:space="preserve"> _</w:instrText>
      </w:r>
      <w:r w:rsidRPr="00781C87">
        <w:rPr>
          <w:rStyle w:val="a6"/>
          <w:rFonts w:hint="cs"/>
        </w:rPr>
        <w:instrText>Ref145006895 \h</w:instrText>
      </w:r>
      <w:r w:rsidRPr="00781C87">
        <w:rPr>
          <w:rStyle w:val="a6"/>
          <w:rtl/>
        </w:rPr>
        <w:instrText xml:space="preserve"> </w:instrText>
      </w:r>
      <w:r w:rsidRPr="00781C87">
        <w:rPr>
          <w:rStyle w:val="a6"/>
        </w:rPr>
      </w:r>
      <w:r w:rsidRPr="00781C87">
        <w:rPr>
          <w:rStyle w:val="a6"/>
          <w:rtl/>
        </w:rPr>
        <w:instrText xml:space="preserve"> \* </w:instrText>
      </w:r>
      <w:r w:rsidRPr="00781C87">
        <w:rPr>
          <w:rStyle w:val="a6"/>
        </w:rPr>
        <w:instrText>MERGEFORMAT</w:instrText>
      </w:r>
      <w:r w:rsidRPr="00781C87">
        <w:rPr>
          <w:rStyle w:val="a6"/>
          <w:rtl/>
        </w:rPr>
        <w:instrText xml:space="preserve"> </w:instrText>
      </w:r>
      <w:r w:rsidRPr="00781C87">
        <w:rPr>
          <w:rStyle w:val="a6"/>
          <w:rtl/>
        </w:rPr>
        <w:fldChar w:fldCharType="separate"/>
      </w:r>
      <w:r>
        <w:rPr>
          <w:rStyle w:val="a6"/>
          <w:rtl/>
        </w:rPr>
        <w:t>יד</w:t>
      </w:r>
      <w:r w:rsidRPr="00781C87">
        <w:rPr>
          <w:rStyle w:val="a6"/>
          <w:rtl/>
        </w:rPr>
        <w:fldChar w:fldCharType="end"/>
      </w:r>
      <w:r w:rsidRPr="00781C87">
        <w:rPr>
          <w:rFonts w:hint="cs"/>
          <w:rtl/>
        </w:rPr>
        <w:t>, כשהם מגלים כי גם לשעשועי ה' הנעלים לגמרי מהבריאה יש המחשה במציאות העולם.</w:t>
      </w:r>
    </w:p>
    <w:p w:rsidR="00AD552B" w:rsidRPr="00781C87" w:rsidRDefault="00AD552B" w:rsidP="00AD552B">
      <w:pPr>
        <w:rPr>
          <w:rFonts w:hint="cs"/>
          <w:rtl/>
        </w:rPr>
      </w:pPr>
      <w:r w:rsidRPr="00781C87">
        <w:rPr>
          <w:rFonts w:hint="cs"/>
          <w:rtl/>
        </w:rPr>
        <w:t xml:space="preserve">עולה כי ברמות השונות של זיווגי האיש </w:t>
      </w:r>
      <w:proofErr w:type="spellStart"/>
      <w:r w:rsidRPr="00781C87">
        <w:rPr>
          <w:rFonts w:hint="cs"/>
          <w:rtl/>
        </w:rPr>
        <w:t>והאשה</w:t>
      </w:r>
      <w:proofErr w:type="spellEnd"/>
      <w:r w:rsidRPr="00781C87">
        <w:rPr>
          <w:rFonts w:hint="cs"/>
          <w:rtl/>
        </w:rPr>
        <w:t xml:space="preserve">, לאורך התקופות בחיי הנישואין שלהם, כלולה כל עבודת התיקון השלמה של המציאות השבורה – החל מתיקון הכלים, דרך בירור הניצוצות שנפלו </w:t>
      </w:r>
      <w:proofErr w:type="spellStart"/>
      <w:r w:rsidRPr="00781C87">
        <w:rPr>
          <w:rFonts w:hint="cs"/>
          <w:rtl/>
        </w:rPr>
        <w:t>ונתפזרו</w:t>
      </w:r>
      <w:proofErr w:type="spellEnd"/>
      <w:r w:rsidRPr="00781C87">
        <w:rPr>
          <w:rFonts w:hint="cs"/>
          <w:rtl/>
        </w:rPr>
        <w:t>, ועד להמשכה מחודשת של האורות שנעלמו בשבירה (ואף אורות חדשים שלא האירו מעולם).</w:t>
      </w:r>
    </w:p>
    <w:p w:rsidR="00AD552B" w:rsidRPr="00781C87" w:rsidRDefault="00AD552B" w:rsidP="00AD552B">
      <w:pPr>
        <w:rPr>
          <w:rFonts w:hint="cs"/>
          <w:rtl/>
        </w:rPr>
      </w:pPr>
      <w:r w:rsidRPr="00781C87">
        <w:rPr>
          <w:rFonts w:hint="cs"/>
          <w:rtl/>
        </w:rPr>
        <w:t xml:space="preserve">[והנה, את כל המבואר עד כה ניתן לנסח גם בסגנון אחר, על פי סוד כוונות הזיווג כנגד עולמות </w:t>
      </w:r>
      <w:proofErr w:type="spellStart"/>
      <w:r w:rsidRPr="00781C87">
        <w:rPr>
          <w:rFonts w:hint="cs"/>
          <w:rtl/>
        </w:rPr>
        <w:t>אבי"ע</w:t>
      </w:r>
      <w:proofErr w:type="spellEnd"/>
      <w:r w:rsidRPr="005316B5">
        <w:rPr>
          <w:rStyle w:val="a6"/>
          <w:rtl/>
        </w:rPr>
        <w:endnoteReference w:id="26"/>
      </w:r>
      <w:r>
        <w:rPr>
          <w:rFonts w:hint="cs"/>
          <w:rtl/>
        </w:rPr>
        <w:t>:</w:t>
      </w:r>
      <w:r w:rsidRPr="00781C87">
        <w:rPr>
          <w:rFonts w:hint="cs"/>
          <w:rtl/>
        </w:rPr>
        <w:t xml:space="preserve"> בביאה הראשונה, המתקנת ובונה את גופם של בני הזוג, הכוונות שייכות לעולם </w:t>
      </w:r>
      <w:proofErr w:type="spellStart"/>
      <w:r w:rsidRPr="00781C87">
        <w:rPr>
          <w:rFonts w:hint="cs"/>
          <w:rtl/>
        </w:rPr>
        <w:t>העשיה</w:t>
      </w:r>
      <w:proofErr w:type="spellEnd"/>
      <w:r w:rsidRPr="00781C87">
        <w:rPr>
          <w:rFonts w:hint="cs"/>
          <w:rtl/>
        </w:rPr>
        <w:t xml:space="preserve"> (בו </w:t>
      </w:r>
      <w:proofErr w:type="spellStart"/>
      <w:r w:rsidRPr="00781C87">
        <w:rPr>
          <w:rFonts w:hint="cs"/>
          <w:rtl/>
        </w:rPr>
        <w:t>הכונה</w:t>
      </w:r>
      <w:proofErr w:type="spellEnd"/>
      <w:r w:rsidRPr="00781C87">
        <w:rPr>
          <w:rFonts w:hint="cs"/>
          <w:rtl/>
        </w:rPr>
        <w:t xml:space="preserve"> היא להשתיק את </w:t>
      </w:r>
      <w:proofErr w:type="spellStart"/>
      <w:r w:rsidRPr="00781C87">
        <w:rPr>
          <w:rFonts w:hint="cs"/>
          <w:rtl/>
        </w:rPr>
        <w:t>התאוה</w:t>
      </w:r>
      <w:proofErr w:type="spellEnd"/>
      <w:r w:rsidRPr="00781C87">
        <w:rPr>
          <w:rFonts w:hint="cs"/>
          <w:rtl/>
        </w:rPr>
        <w:t xml:space="preserve">, ובכך לתקן את גוף האיש ולשומרו מחטא) ולעולם היצירה (בו הכוונה היא לענג את </w:t>
      </w:r>
      <w:proofErr w:type="spellStart"/>
      <w:r w:rsidRPr="00781C87">
        <w:rPr>
          <w:rFonts w:hint="cs"/>
          <w:rtl/>
        </w:rPr>
        <w:t>האשה</w:t>
      </w:r>
      <w:proofErr w:type="spellEnd"/>
      <w:r w:rsidRPr="00781C87">
        <w:rPr>
          <w:rFonts w:hint="cs"/>
          <w:rtl/>
        </w:rPr>
        <w:t xml:space="preserve"> בקיום מצות עונה, והיינו </w:t>
      </w:r>
      <w:proofErr w:type="spellStart"/>
      <w:r w:rsidRPr="00781C87">
        <w:rPr>
          <w:rFonts w:hint="cs"/>
          <w:rtl/>
        </w:rPr>
        <w:t>התיחסות</w:t>
      </w:r>
      <w:proofErr w:type="spellEnd"/>
      <w:r w:rsidRPr="00781C87">
        <w:rPr>
          <w:rFonts w:hint="cs"/>
          <w:rtl/>
        </w:rPr>
        <w:t xml:space="preserve"> לצרכי גוף </w:t>
      </w:r>
      <w:proofErr w:type="spellStart"/>
      <w:r w:rsidRPr="00781C87">
        <w:rPr>
          <w:rFonts w:hint="cs"/>
          <w:rtl/>
        </w:rPr>
        <w:t>האשה</w:t>
      </w:r>
      <w:proofErr w:type="spellEnd"/>
      <w:r w:rsidRPr="00781C87">
        <w:rPr>
          <w:rFonts w:hint="cs"/>
          <w:rtl/>
        </w:rPr>
        <w:t xml:space="preserve"> ולתיקון הכלי שלה). שהרי, הפירוש המילולי של יצירה ועשיה הן הטבעת צורת הכלי (בחומר הגלם הראשוני) ושכלולו. בביאה </w:t>
      </w:r>
      <w:proofErr w:type="spellStart"/>
      <w:r w:rsidRPr="00781C87">
        <w:rPr>
          <w:rFonts w:hint="cs"/>
          <w:rtl/>
        </w:rPr>
        <w:t>השניה</w:t>
      </w:r>
      <w:proofErr w:type="spellEnd"/>
      <w:r w:rsidRPr="00781C87">
        <w:rPr>
          <w:rFonts w:hint="cs"/>
          <w:rtl/>
        </w:rPr>
        <w:t>, שתכליתה הריון (גשמי או רוחני), הכוונה שייכת לעולם הבריאה (בו כוונת הזיווג היא קיום מצות "פרו ורבו"</w:t>
      </w:r>
      <w:r w:rsidRPr="005316B5">
        <w:rPr>
          <w:rStyle w:val="a6"/>
          <w:rtl/>
        </w:rPr>
        <w:endnoteReference w:id="27"/>
      </w:r>
      <w:r w:rsidRPr="00781C87">
        <w:rPr>
          <w:rFonts w:hint="cs"/>
          <w:rtl/>
        </w:rPr>
        <w:t xml:space="preserve"> בבריאת-המשכת נשמה </w:t>
      </w:r>
      <w:proofErr w:type="spellStart"/>
      <w:r w:rsidRPr="00781C87">
        <w:rPr>
          <w:rFonts w:hint="cs"/>
          <w:rtl/>
        </w:rPr>
        <w:t>מה"גוף</w:t>
      </w:r>
      <w:proofErr w:type="spellEnd"/>
      <w:r w:rsidRPr="00781C87">
        <w:rPr>
          <w:rFonts w:hint="cs"/>
          <w:rtl/>
        </w:rPr>
        <w:t>" העליון</w:t>
      </w:r>
      <w:r w:rsidRPr="005316B5">
        <w:rPr>
          <w:rStyle w:val="a6"/>
          <w:rtl/>
        </w:rPr>
        <w:endnoteReference w:id="28"/>
      </w:r>
      <w:r w:rsidRPr="00781C87">
        <w:rPr>
          <w:rFonts w:hint="cs"/>
          <w:rtl/>
        </w:rPr>
        <w:t xml:space="preserve"> לגוף התחתון). בביאה השלישית, </w:t>
      </w:r>
      <w:proofErr w:type="spellStart"/>
      <w:r w:rsidRPr="00781C87">
        <w:rPr>
          <w:rFonts w:hint="cs"/>
          <w:rtl/>
        </w:rPr>
        <w:t>שענינה</w:t>
      </w:r>
      <w:proofErr w:type="spellEnd"/>
      <w:r w:rsidRPr="00781C87">
        <w:rPr>
          <w:rFonts w:hint="cs"/>
          <w:rtl/>
        </w:rPr>
        <w:t xml:space="preserve"> שעשועים </w:t>
      </w:r>
      <w:proofErr w:type="spellStart"/>
      <w:r w:rsidRPr="00781C87">
        <w:rPr>
          <w:rFonts w:hint="cs"/>
          <w:rtl/>
        </w:rPr>
        <w:t>אלקיים</w:t>
      </w:r>
      <w:proofErr w:type="spellEnd"/>
      <w:r w:rsidRPr="00781C87">
        <w:rPr>
          <w:rFonts w:hint="cs"/>
          <w:rtl/>
        </w:rPr>
        <w:t xml:space="preserve"> של בני הזוג, הכוונה שייכת לעולם האצילות (בו כוונת הזיווג היא להתדמות </w:t>
      </w:r>
      <w:proofErr w:type="spellStart"/>
      <w:r w:rsidRPr="00781C87">
        <w:rPr>
          <w:rFonts w:hint="cs"/>
          <w:rtl/>
        </w:rPr>
        <w:t>ליחוד</w:t>
      </w:r>
      <w:proofErr w:type="spellEnd"/>
      <w:r w:rsidRPr="00781C87">
        <w:rPr>
          <w:rFonts w:hint="cs"/>
          <w:rtl/>
        </w:rPr>
        <w:t xml:space="preserve"> </w:t>
      </w:r>
      <w:proofErr w:type="spellStart"/>
      <w:r w:rsidRPr="00781C87">
        <w:rPr>
          <w:rFonts w:hint="cs"/>
          <w:rtl/>
        </w:rPr>
        <w:t>קוב"ה</w:t>
      </w:r>
      <w:proofErr w:type="spellEnd"/>
      <w:r w:rsidRPr="00781C87">
        <w:rPr>
          <w:rFonts w:hint="cs"/>
          <w:rtl/>
        </w:rPr>
        <w:t xml:space="preserve"> </w:t>
      </w:r>
      <w:proofErr w:type="spellStart"/>
      <w:r w:rsidRPr="00781C87">
        <w:rPr>
          <w:rFonts w:hint="cs"/>
          <w:rtl/>
        </w:rPr>
        <w:t>ושכינתיה</w:t>
      </w:r>
      <w:proofErr w:type="spellEnd"/>
      <w:r w:rsidRPr="00781C87">
        <w:rPr>
          <w:rFonts w:hint="cs"/>
          <w:rtl/>
        </w:rPr>
        <w:t xml:space="preserve">, וכך לפעול אותו ולהמשיך את אורו בעולם). ההתבוננות בסוד הכוונות מפשיטה את שלבי התיקון משלבי החיים השונים של בני </w:t>
      </w:r>
      <w:r w:rsidRPr="00781C87">
        <w:rPr>
          <w:rFonts w:hint="cs"/>
          <w:rtl/>
        </w:rPr>
        <w:lastRenderedPageBreak/>
        <w:t>הזוג, ומגמישה את מהות התיקון המתחולל בכל זיווג, התלויה בכוונת הלב של בני הזוג (ועד שניתן בכל זיווג לחולל את כל רמות התיקון</w:t>
      </w:r>
      <w:r w:rsidRPr="005316B5">
        <w:rPr>
          <w:rStyle w:val="a6"/>
          <w:rtl/>
        </w:rPr>
        <w:endnoteReference w:id="29"/>
      </w:r>
      <w:r w:rsidRPr="00781C87">
        <w:rPr>
          <w:rFonts w:hint="cs"/>
          <w:rtl/>
        </w:rPr>
        <w:t>).]</w:t>
      </w:r>
    </w:p>
    <w:p w:rsidR="005F4A47" w:rsidRDefault="00146625">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6625" w:rsidRDefault="00146625" w:rsidP="00AD552B">
      <w:pPr>
        <w:spacing w:after="0" w:line="240" w:lineRule="auto"/>
      </w:pPr>
      <w:r>
        <w:separator/>
      </w:r>
    </w:p>
  </w:endnote>
  <w:endnote w:type="continuationSeparator" w:id="0">
    <w:p w:rsidR="00146625" w:rsidRDefault="00146625" w:rsidP="00AD552B">
      <w:pPr>
        <w:spacing w:after="0" w:line="240" w:lineRule="auto"/>
      </w:pPr>
      <w:r>
        <w:continuationSeparator/>
      </w:r>
    </w:p>
  </w:endnote>
  <w:endnote w:id="1">
    <w:p w:rsidR="00AD552B" w:rsidRDefault="00AD552B" w:rsidP="00AD552B">
      <w:pPr>
        <w:pStyle w:val="a4"/>
        <w:rPr>
          <w:rFonts w:hint="cs"/>
          <w:rtl/>
        </w:rPr>
      </w:pPr>
      <w:r>
        <w:rPr>
          <w:rtl/>
        </w:rPr>
        <w:tab/>
      </w:r>
      <w:r w:rsidRPr="00E15672">
        <w:rPr>
          <w:rtl/>
        </w:rPr>
        <w:endnoteRef/>
      </w:r>
      <w:r>
        <w:rPr>
          <w:rtl/>
        </w:rPr>
        <w:t>.</w:t>
      </w:r>
      <w:r>
        <w:rPr>
          <w:rtl/>
        </w:rPr>
        <w:tab/>
      </w:r>
      <w:r>
        <w:rPr>
          <w:rFonts w:hint="cs"/>
          <w:rtl/>
        </w:rPr>
        <w:t>וראה ד"ה "על כן יאמרו המושלים" תרצ"א (</w:t>
      </w:r>
      <w:proofErr w:type="spellStart"/>
      <w:r>
        <w:rPr>
          <w:rFonts w:hint="cs"/>
          <w:rtl/>
        </w:rPr>
        <w:t>סה"מ</w:t>
      </w:r>
      <w:proofErr w:type="spellEnd"/>
      <w:r>
        <w:rPr>
          <w:rFonts w:hint="cs"/>
          <w:rtl/>
        </w:rPr>
        <w:t xml:space="preserve"> קונטרסים ח"א קצב, א ואילך).</w:t>
      </w:r>
    </w:p>
  </w:endnote>
  <w:endnote w:id="2">
    <w:p w:rsidR="00AD552B" w:rsidRDefault="00AD552B" w:rsidP="00AD552B">
      <w:pPr>
        <w:pStyle w:val="a4"/>
        <w:rPr>
          <w:rFonts w:hint="cs"/>
          <w:rtl/>
        </w:rPr>
      </w:pPr>
      <w:r>
        <w:rPr>
          <w:rtl/>
        </w:rPr>
        <w:tab/>
      </w:r>
      <w:r w:rsidRPr="00E15672">
        <w:rPr>
          <w:rtl/>
        </w:rPr>
        <w:endnoteRef/>
      </w:r>
      <w:r>
        <w:rPr>
          <w:rtl/>
        </w:rPr>
        <w:t>.</w:t>
      </w:r>
      <w:r>
        <w:rPr>
          <w:rtl/>
        </w:rPr>
        <w:tab/>
      </w:r>
      <w:r>
        <w:rPr>
          <w:rFonts w:hint="cs"/>
          <w:rtl/>
        </w:rPr>
        <w:t>עץ חיים שער הכללים פ"א ובכ"ד.</w:t>
      </w:r>
    </w:p>
  </w:endnote>
  <w:endnote w:id="3">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כתר שם טוב (הוצאת </w:t>
      </w:r>
      <w:proofErr w:type="spellStart"/>
      <w:r>
        <w:rPr>
          <w:rFonts w:hint="cs"/>
          <w:rtl/>
        </w:rPr>
        <w:t>קה"ת</w:t>
      </w:r>
      <w:proofErr w:type="spellEnd"/>
      <w:r>
        <w:rPr>
          <w:rFonts w:hint="cs"/>
          <w:rtl/>
        </w:rPr>
        <w:t>) אות א.</w:t>
      </w:r>
    </w:p>
  </w:endnote>
  <w:endnote w:id="4">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ובפרט באה הקבלה זו בכתבי בעל "היכל הברכה" </w:t>
      </w:r>
      <w:proofErr w:type="spellStart"/>
      <w:r>
        <w:rPr>
          <w:rFonts w:hint="cs"/>
          <w:rtl/>
        </w:rPr>
        <w:t>מקאמרנא</w:t>
      </w:r>
      <w:proofErr w:type="spellEnd"/>
      <w:r>
        <w:rPr>
          <w:rFonts w:hint="cs"/>
          <w:rtl/>
        </w:rPr>
        <w:t xml:space="preserve"> זצ"ל.</w:t>
      </w:r>
    </w:p>
  </w:endnote>
  <w:endnote w:id="5">
    <w:p w:rsidR="00AD552B" w:rsidRDefault="00AD552B" w:rsidP="00AD552B">
      <w:pPr>
        <w:pStyle w:val="a4"/>
        <w:rPr>
          <w:rFonts w:hint="cs"/>
          <w:rtl/>
        </w:rPr>
      </w:pPr>
      <w:r>
        <w:rPr>
          <w:rtl/>
        </w:rPr>
        <w:tab/>
      </w:r>
      <w:r w:rsidRPr="00E15672">
        <w:rPr>
          <w:rtl/>
        </w:rPr>
        <w:endnoteRef/>
      </w:r>
      <w:r>
        <w:rPr>
          <w:rtl/>
        </w:rPr>
        <w:t>.</w:t>
      </w:r>
      <w:r>
        <w:rPr>
          <w:rtl/>
        </w:rPr>
        <w:tab/>
      </w:r>
      <w:r>
        <w:rPr>
          <w:rFonts w:hint="cs"/>
          <w:rtl/>
        </w:rPr>
        <w:t>בראשית ד, א.</w:t>
      </w:r>
    </w:p>
  </w:endnote>
  <w:endnote w:id="6">
    <w:p w:rsidR="00AD552B" w:rsidRDefault="00AD552B" w:rsidP="00AD552B">
      <w:pPr>
        <w:pStyle w:val="a4"/>
        <w:rPr>
          <w:rFonts w:hint="cs"/>
          <w:rtl/>
        </w:rPr>
      </w:pPr>
      <w:r>
        <w:rPr>
          <w:rtl/>
        </w:rPr>
        <w:tab/>
      </w:r>
      <w:r w:rsidRPr="00E15672">
        <w:rPr>
          <w:rtl/>
        </w:rPr>
        <w:endnoteRef/>
      </w:r>
      <w:r>
        <w:rPr>
          <w:rtl/>
        </w:rPr>
        <w:t>.</w:t>
      </w:r>
      <w:r>
        <w:rPr>
          <w:rtl/>
        </w:rPr>
        <w:tab/>
      </w:r>
      <w:r>
        <w:rPr>
          <w:rFonts w:hint="cs"/>
          <w:rtl/>
        </w:rPr>
        <w:t>ראה רש"י על הפסוק.</w:t>
      </w:r>
    </w:p>
  </w:endnote>
  <w:endnote w:id="7">
    <w:p w:rsidR="00AD552B" w:rsidRDefault="00AD552B" w:rsidP="00AD552B">
      <w:pPr>
        <w:pStyle w:val="a4"/>
        <w:rPr>
          <w:rtl/>
        </w:rPr>
      </w:pPr>
      <w:r>
        <w:rPr>
          <w:rtl/>
        </w:rPr>
        <w:tab/>
      </w:r>
      <w:r w:rsidRPr="00E15672">
        <w:rPr>
          <w:rtl/>
        </w:rPr>
        <w:endnoteRef/>
      </w:r>
      <w:r>
        <w:rPr>
          <w:rtl/>
        </w:rPr>
        <w:t>.</w:t>
      </w:r>
      <w:r>
        <w:rPr>
          <w:rtl/>
        </w:rPr>
        <w:tab/>
      </w:r>
      <w:r>
        <w:rPr>
          <w:rFonts w:hint="cs"/>
          <w:rtl/>
        </w:rPr>
        <w:t xml:space="preserve">ראה בראשית רבה </w:t>
      </w:r>
      <w:proofErr w:type="spellStart"/>
      <w:r>
        <w:rPr>
          <w:rFonts w:hint="cs"/>
          <w:rtl/>
        </w:rPr>
        <w:t>יח</w:t>
      </w:r>
      <w:proofErr w:type="spellEnd"/>
      <w:r>
        <w:rPr>
          <w:rFonts w:hint="cs"/>
          <w:rtl/>
        </w:rPr>
        <w:t>, ו (וברש"י לבראשית ג, כ).</w:t>
      </w:r>
    </w:p>
  </w:endnote>
  <w:endnote w:id="8">
    <w:p w:rsidR="00AD552B" w:rsidRDefault="00AD552B" w:rsidP="00AD552B">
      <w:pPr>
        <w:pStyle w:val="a4"/>
        <w:rPr>
          <w:rtl/>
        </w:rPr>
      </w:pPr>
      <w:r>
        <w:rPr>
          <w:rtl/>
        </w:rPr>
        <w:tab/>
      </w:r>
      <w:r w:rsidRPr="00E15672">
        <w:rPr>
          <w:rtl/>
        </w:rPr>
        <w:endnoteRef/>
      </w:r>
      <w:r>
        <w:rPr>
          <w:rtl/>
        </w:rPr>
        <w:t>.</w:t>
      </w:r>
      <w:r>
        <w:rPr>
          <w:rtl/>
        </w:rPr>
        <w:tab/>
      </w:r>
      <w:r>
        <w:rPr>
          <w:rFonts w:hint="cs"/>
          <w:rtl/>
        </w:rPr>
        <w:t xml:space="preserve">וראה בספר הטבע היהודי עמ' </w:t>
      </w:r>
      <w:proofErr w:type="spellStart"/>
      <w:r>
        <w:rPr>
          <w:rFonts w:hint="cs"/>
          <w:rtl/>
        </w:rPr>
        <w:t>קנג-קנד</w:t>
      </w:r>
      <w:proofErr w:type="spellEnd"/>
      <w:r>
        <w:rPr>
          <w:rFonts w:hint="cs"/>
          <w:rtl/>
        </w:rPr>
        <w:t xml:space="preserve"> </w:t>
      </w:r>
      <w:proofErr w:type="spellStart"/>
      <w:r>
        <w:rPr>
          <w:rFonts w:hint="cs"/>
          <w:rtl/>
        </w:rPr>
        <w:t>והנסמן</w:t>
      </w:r>
      <w:proofErr w:type="spellEnd"/>
      <w:r>
        <w:rPr>
          <w:rFonts w:hint="cs"/>
          <w:rtl/>
        </w:rPr>
        <w:t xml:space="preserve"> שם (ובכ"ד).</w:t>
      </w:r>
    </w:p>
  </w:endnote>
  <w:endnote w:id="9">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w:t>
      </w:r>
    </w:p>
  </w:endnote>
  <w:endnote w:id="10">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ובפרט אמורים הדברים בזיווגי האבות </w:t>
      </w:r>
      <w:proofErr w:type="spellStart"/>
      <w:r>
        <w:rPr>
          <w:rFonts w:hint="cs"/>
          <w:rtl/>
        </w:rPr>
        <w:t>והאמהות</w:t>
      </w:r>
      <w:proofErr w:type="spellEnd"/>
      <w:r>
        <w:rPr>
          <w:rFonts w:hint="cs"/>
          <w:rtl/>
        </w:rPr>
        <w:t>, הזוגות הקדושים והטהורים המתקנים את הזוג הראשון בעולם, כנודע – וראה לקמן בסיום התורה "מעשה אבות".</w:t>
      </w:r>
    </w:p>
  </w:endnote>
  <w:endnote w:id="11">
    <w:p w:rsidR="00AD552B" w:rsidRDefault="00AD552B" w:rsidP="00AD552B">
      <w:pPr>
        <w:pStyle w:val="a4"/>
        <w:rPr>
          <w:rFonts w:hint="cs"/>
          <w:rtl/>
        </w:rPr>
      </w:pPr>
      <w:r>
        <w:rPr>
          <w:rtl/>
        </w:rPr>
        <w:tab/>
      </w:r>
      <w:r w:rsidRPr="00E15672">
        <w:rPr>
          <w:rtl/>
        </w:rPr>
        <w:endnoteRef/>
      </w:r>
      <w:r>
        <w:rPr>
          <w:rtl/>
        </w:rPr>
        <w:t>.</w:t>
      </w:r>
      <w:r>
        <w:rPr>
          <w:rtl/>
        </w:rPr>
        <w:tab/>
      </w:r>
      <w:r>
        <w:rPr>
          <w:rFonts w:hint="cs"/>
          <w:rtl/>
        </w:rPr>
        <w:t>בהתבסס על שלש רמות הדעת בזיווג שנתבארו בתורה הקודמת – "והאדם ידע את חוה אשתו".</w:t>
      </w:r>
    </w:p>
  </w:endnote>
  <w:endnote w:id="12">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סנהדרין </w:t>
      </w:r>
      <w:proofErr w:type="spellStart"/>
      <w:r>
        <w:rPr>
          <w:rFonts w:hint="cs"/>
          <w:rtl/>
        </w:rPr>
        <w:t>כב</w:t>
      </w:r>
      <w:proofErr w:type="spellEnd"/>
      <w:r>
        <w:rPr>
          <w:rFonts w:hint="cs"/>
          <w:rtl/>
        </w:rPr>
        <w:t>, ב.</w:t>
      </w:r>
    </w:p>
  </w:endnote>
  <w:endnote w:id="13">
    <w:p w:rsidR="00AD552B" w:rsidRDefault="00AD552B" w:rsidP="00AD552B">
      <w:pPr>
        <w:pStyle w:val="a4"/>
        <w:rPr>
          <w:rFonts w:hint="cs"/>
          <w:rtl/>
        </w:rPr>
      </w:pPr>
      <w:r>
        <w:rPr>
          <w:rtl/>
        </w:rPr>
        <w:tab/>
      </w:r>
      <w:r w:rsidRPr="00E15672">
        <w:rPr>
          <w:rtl/>
        </w:rPr>
        <w:endnoteRef/>
      </w:r>
      <w:r>
        <w:rPr>
          <w:rtl/>
        </w:rPr>
        <w:t>.</w:t>
      </w:r>
      <w:r>
        <w:rPr>
          <w:rtl/>
        </w:rPr>
        <w:tab/>
      </w:r>
      <w:r>
        <w:rPr>
          <w:rFonts w:hint="cs"/>
          <w:rtl/>
        </w:rPr>
        <w:t>וכנ"ל בתורה "אין כלי שלם יותר מלב שבור" בשער ב.</w:t>
      </w:r>
    </w:p>
  </w:endnote>
  <w:endnote w:id="14">
    <w:p w:rsidR="00AD552B" w:rsidRDefault="00AD552B" w:rsidP="00AD552B">
      <w:pPr>
        <w:pStyle w:val="a4"/>
        <w:rPr>
          <w:rFonts w:hint="cs"/>
          <w:rtl/>
        </w:rPr>
      </w:pPr>
      <w:r>
        <w:rPr>
          <w:rtl/>
        </w:rPr>
        <w:tab/>
      </w:r>
      <w:r w:rsidRPr="00E15672">
        <w:rPr>
          <w:rtl/>
        </w:rPr>
        <w:endnoteRef/>
      </w:r>
      <w:r>
        <w:rPr>
          <w:rtl/>
        </w:rPr>
        <w:t>.</w:t>
      </w:r>
      <w:r>
        <w:rPr>
          <w:rtl/>
        </w:rPr>
        <w:tab/>
      </w:r>
      <w:r>
        <w:rPr>
          <w:rFonts w:hint="cs"/>
          <w:rtl/>
        </w:rPr>
        <w:t>כמבואר בכתר שם טוב שם כי תיקון עולמות-נשמות-</w:t>
      </w:r>
      <w:proofErr w:type="spellStart"/>
      <w:r>
        <w:rPr>
          <w:rFonts w:hint="cs"/>
          <w:rtl/>
        </w:rPr>
        <w:t>אלקות</w:t>
      </w:r>
      <w:proofErr w:type="spellEnd"/>
      <w:r>
        <w:rPr>
          <w:rFonts w:hint="cs"/>
          <w:rtl/>
        </w:rPr>
        <w:t xml:space="preserve"> הוא ב"עלית העולמות", "התקשרות הנשמות" ו"יחוד </w:t>
      </w:r>
      <w:proofErr w:type="spellStart"/>
      <w:r>
        <w:rPr>
          <w:rFonts w:hint="cs"/>
          <w:rtl/>
        </w:rPr>
        <w:t>האלקות</w:t>
      </w:r>
      <w:proofErr w:type="spellEnd"/>
      <w:r>
        <w:rPr>
          <w:rFonts w:hint="cs"/>
          <w:rtl/>
        </w:rPr>
        <w:t xml:space="preserve">" (וראה גם כלל גדול בתורה עמ' </w:t>
      </w:r>
      <w:proofErr w:type="spellStart"/>
      <w:r>
        <w:rPr>
          <w:rFonts w:hint="cs"/>
          <w:rtl/>
        </w:rPr>
        <w:t>נז</w:t>
      </w:r>
      <w:proofErr w:type="spellEnd"/>
      <w:r>
        <w:rPr>
          <w:rFonts w:hint="cs"/>
          <w:rtl/>
        </w:rPr>
        <w:t xml:space="preserve"> ואילך, ובכ"ד).</w:t>
      </w:r>
    </w:p>
  </w:endnote>
  <w:endnote w:id="15">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עפ"י זהר </w:t>
      </w:r>
      <w:proofErr w:type="spellStart"/>
      <w:r>
        <w:rPr>
          <w:rFonts w:hint="cs"/>
          <w:rtl/>
        </w:rPr>
        <w:t>ח"ב</w:t>
      </w:r>
      <w:proofErr w:type="spellEnd"/>
      <w:r>
        <w:rPr>
          <w:rFonts w:hint="cs"/>
          <w:rtl/>
        </w:rPr>
        <w:t xml:space="preserve"> </w:t>
      </w:r>
      <w:proofErr w:type="spellStart"/>
      <w:r>
        <w:rPr>
          <w:rFonts w:hint="cs"/>
          <w:rtl/>
        </w:rPr>
        <w:t>קא</w:t>
      </w:r>
      <w:proofErr w:type="spellEnd"/>
      <w:r>
        <w:rPr>
          <w:rFonts w:hint="cs"/>
          <w:rtl/>
        </w:rPr>
        <w:t>, ב (וראה עוד בתורה "אין כלי שלם יותר מלב שבור" בשער ב ולעיל בתורה "</w:t>
      </w:r>
      <w:proofErr w:type="spellStart"/>
      <w:r>
        <w:rPr>
          <w:rFonts w:hint="cs"/>
          <w:rtl/>
        </w:rPr>
        <w:t>לארקא</w:t>
      </w:r>
      <w:proofErr w:type="spellEnd"/>
      <w:r>
        <w:rPr>
          <w:rFonts w:hint="cs"/>
          <w:rtl/>
        </w:rPr>
        <w:t xml:space="preserve"> </w:t>
      </w:r>
      <w:proofErr w:type="spellStart"/>
      <w:r>
        <w:rPr>
          <w:rFonts w:hint="cs"/>
          <w:rtl/>
        </w:rPr>
        <w:t>ולאמשכא</w:t>
      </w:r>
      <w:proofErr w:type="spellEnd"/>
      <w:r>
        <w:rPr>
          <w:rFonts w:hint="cs"/>
          <w:rtl/>
        </w:rPr>
        <w:t xml:space="preserve"> </w:t>
      </w:r>
      <w:proofErr w:type="spellStart"/>
      <w:r>
        <w:rPr>
          <w:rFonts w:hint="cs"/>
          <w:rtl/>
        </w:rPr>
        <w:t>ולאנהרא</w:t>
      </w:r>
      <w:proofErr w:type="spellEnd"/>
      <w:r>
        <w:rPr>
          <w:rFonts w:hint="cs"/>
          <w:rtl/>
        </w:rPr>
        <w:t>" בסוד "וחשך על פני תהום").</w:t>
      </w:r>
    </w:p>
  </w:endnote>
  <w:endnote w:id="16">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ראה </w:t>
      </w:r>
      <w:proofErr w:type="spellStart"/>
      <w:r>
        <w:rPr>
          <w:rFonts w:hint="cs"/>
          <w:rtl/>
        </w:rPr>
        <w:t>דרמ"צ</w:t>
      </w:r>
      <w:proofErr w:type="spellEnd"/>
      <w:r>
        <w:rPr>
          <w:rFonts w:hint="cs"/>
          <w:rtl/>
        </w:rPr>
        <w:t xml:space="preserve"> מצות </w:t>
      </w:r>
      <w:proofErr w:type="spellStart"/>
      <w:r>
        <w:rPr>
          <w:rFonts w:hint="cs"/>
          <w:rtl/>
        </w:rPr>
        <w:t>פו"ר</w:t>
      </w:r>
      <w:proofErr w:type="spellEnd"/>
      <w:r>
        <w:rPr>
          <w:rFonts w:hint="cs"/>
          <w:rtl/>
        </w:rPr>
        <w:t>.</w:t>
      </w:r>
    </w:p>
  </w:endnote>
  <w:endnote w:id="17">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וראה שכינה ביניהם סוף פרק ז ויין משמח </w:t>
      </w:r>
      <w:proofErr w:type="spellStart"/>
      <w:r>
        <w:rPr>
          <w:rFonts w:hint="cs"/>
          <w:rtl/>
        </w:rPr>
        <w:t>ח"ב</w:t>
      </w:r>
      <w:proofErr w:type="spellEnd"/>
      <w:r>
        <w:rPr>
          <w:rFonts w:hint="cs"/>
          <w:rtl/>
        </w:rPr>
        <w:t xml:space="preserve"> שער ו בתורה "ירידה צורך עליה".</w:t>
      </w:r>
    </w:p>
  </w:endnote>
  <w:endnote w:id="18">
    <w:p w:rsidR="00AD552B" w:rsidRDefault="00AD552B" w:rsidP="00AD552B">
      <w:pPr>
        <w:pStyle w:val="a4"/>
        <w:rPr>
          <w:rFonts w:hint="cs"/>
          <w:rtl/>
        </w:rPr>
      </w:pPr>
      <w:r>
        <w:rPr>
          <w:rtl/>
        </w:rPr>
        <w:tab/>
      </w:r>
      <w:r w:rsidRPr="00E15672">
        <w:rPr>
          <w:rtl/>
        </w:rPr>
        <w:endnoteRef/>
      </w:r>
      <w:r>
        <w:rPr>
          <w:rtl/>
        </w:rPr>
        <w:t>.</w:t>
      </w:r>
      <w:r>
        <w:rPr>
          <w:rtl/>
        </w:rPr>
        <w:tab/>
      </w:r>
      <w:r>
        <w:rPr>
          <w:rFonts w:hint="cs"/>
          <w:rtl/>
        </w:rPr>
        <w:t>וראה גם שכינה ביניהם סוף פ"ו.</w:t>
      </w:r>
    </w:p>
  </w:endnote>
  <w:endnote w:id="19">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ירמיה ב, </w:t>
      </w:r>
      <w:proofErr w:type="spellStart"/>
      <w:r>
        <w:rPr>
          <w:rFonts w:hint="cs"/>
          <w:rtl/>
        </w:rPr>
        <w:t>כא</w:t>
      </w:r>
      <w:proofErr w:type="spellEnd"/>
      <w:r>
        <w:rPr>
          <w:rFonts w:hint="cs"/>
          <w:rtl/>
        </w:rPr>
        <w:t>.</w:t>
      </w:r>
    </w:p>
  </w:endnote>
  <w:endnote w:id="20">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וראה תניא פ"ב </w:t>
      </w:r>
      <w:proofErr w:type="spellStart"/>
      <w:r>
        <w:rPr>
          <w:rFonts w:hint="cs"/>
          <w:rtl/>
        </w:rPr>
        <w:t>ולקו"ת</w:t>
      </w:r>
      <w:proofErr w:type="spellEnd"/>
      <w:r>
        <w:rPr>
          <w:rFonts w:hint="cs"/>
          <w:rtl/>
        </w:rPr>
        <w:t xml:space="preserve"> במדבר </w:t>
      </w:r>
      <w:proofErr w:type="spellStart"/>
      <w:r>
        <w:rPr>
          <w:rFonts w:hint="cs"/>
          <w:rtl/>
        </w:rPr>
        <w:t>עה</w:t>
      </w:r>
      <w:proofErr w:type="spellEnd"/>
      <w:r>
        <w:rPr>
          <w:rFonts w:hint="cs"/>
          <w:rtl/>
        </w:rPr>
        <w:t>, ג (</w:t>
      </w:r>
      <w:r>
        <w:rPr>
          <w:rFonts w:hint="eastAsia"/>
          <w:rtl/>
        </w:rPr>
        <w:t>ובכ</w:t>
      </w:r>
      <w:r>
        <w:rPr>
          <w:rFonts w:hint="cs"/>
          <w:rtl/>
        </w:rPr>
        <w:t>"ד).</w:t>
      </w:r>
    </w:p>
  </w:endnote>
  <w:endnote w:id="21">
    <w:p w:rsidR="00AD552B" w:rsidRDefault="00AD552B" w:rsidP="00AD552B">
      <w:pPr>
        <w:pStyle w:val="a4"/>
        <w:rPr>
          <w:rFonts w:hint="cs"/>
          <w:rtl/>
        </w:rPr>
      </w:pPr>
      <w:r>
        <w:rPr>
          <w:rtl/>
        </w:rPr>
        <w:tab/>
      </w:r>
      <w:r w:rsidRPr="00E15672">
        <w:rPr>
          <w:rtl/>
        </w:rPr>
        <w:endnoteRef/>
      </w:r>
      <w:r>
        <w:rPr>
          <w:rtl/>
        </w:rPr>
        <w:t>.</w:t>
      </w:r>
      <w:r>
        <w:rPr>
          <w:rtl/>
        </w:rPr>
        <w:tab/>
      </w:r>
      <w:r>
        <w:rPr>
          <w:rFonts w:hint="cs"/>
          <w:rtl/>
        </w:rPr>
        <w:t>תהלים קלט, ג.</w:t>
      </w:r>
    </w:p>
  </w:endnote>
  <w:endnote w:id="22">
    <w:p w:rsidR="00AD552B" w:rsidRDefault="00AD552B" w:rsidP="00AD552B">
      <w:pPr>
        <w:pStyle w:val="a4"/>
        <w:rPr>
          <w:rFonts w:hint="cs"/>
        </w:rPr>
      </w:pPr>
      <w:r>
        <w:rPr>
          <w:rtl/>
        </w:rPr>
        <w:tab/>
      </w:r>
      <w:r w:rsidRPr="00E15672">
        <w:rPr>
          <w:rtl/>
        </w:rPr>
        <w:endnoteRef/>
      </w:r>
      <w:r>
        <w:rPr>
          <w:rtl/>
        </w:rPr>
        <w:t>.</w:t>
      </w:r>
      <w:r>
        <w:rPr>
          <w:rtl/>
        </w:rPr>
        <w:tab/>
      </w:r>
      <w:r>
        <w:rPr>
          <w:rFonts w:hint="cs"/>
          <w:rtl/>
        </w:rPr>
        <w:t xml:space="preserve">שמואל-ב </w:t>
      </w:r>
      <w:proofErr w:type="spellStart"/>
      <w:r>
        <w:rPr>
          <w:rFonts w:hint="cs"/>
          <w:rtl/>
        </w:rPr>
        <w:t>כב</w:t>
      </w:r>
      <w:proofErr w:type="spellEnd"/>
      <w:r>
        <w:rPr>
          <w:rFonts w:hint="cs"/>
          <w:rtl/>
        </w:rPr>
        <w:t>, מ.</w:t>
      </w:r>
    </w:p>
  </w:endnote>
  <w:endnote w:id="23">
    <w:p w:rsidR="00AD552B" w:rsidRDefault="00AD552B" w:rsidP="00AD552B">
      <w:pPr>
        <w:pStyle w:val="a4"/>
        <w:rPr>
          <w:rFonts w:hint="cs"/>
        </w:rPr>
      </w:pPr>
      <w:r>
        <w:rPr>
          <w:rtl/>
        </w:rPr>
        <w:tab/>
      </w:r>
      <w:r w:rsidRPr="00E15672">
        <w:rPr>
          <w:rtl/>
        </w:rPr>
        <w:endnoteRef/>
      </w:r>
      <w:r>
        <w:rPr>
          <w:rtl/>
        </w:rPr>
        <w:t>.</w:t>
      </w:r>
      <w:r>
        <w:rPr>
          <w:rtl/>
        </w:rPr>
        <w:tab/>
      </w:r>
      <w:r>
        <w:rPr>
          <w:rFonts w:hint="cs"/>
          <w:rtl/>
        </w:rPr>
        <w:t xml:space="preserve">תהלים </w:t>
      </w:r>
      <w:proofErr w:type="spellStart"/>
      <w:r>
        <w:rPr>
          <w:rFonts w:hint="cs"/>
          <w:rtl/>
        </w:rPr>
        <w:t>יח</w:t>
      </w:r>
      <w:proofErr w:type="spellEnd"/>
      <w:r>
        <w:rPr>
          <w:rFonts w:hint="cs"/>
          <w:rtl/>
        </w:rPr>
        <w:t>, לג.</w:t>
      </w:r>
    </w:p>
  </w:endnote>
  <w:endnote w:id="24">
    <w:p w:rsidR="00AD552B" w:rsidRDefault="00AD552B" w:rsidP="00AD552B">
      <w:pPr>
        <w:pStyle w:val="a4"/>
        <w:rPr>
          <w:rFonts w:hint="cs"/>
          <w:rtl/>
        </w:rPr>
      </w:pPr>
      <w:r>
        <w:rPr>
          <w:rtl/>
        </w:rPr>
        <w:tab/>
      </w:r>
      <w:r w:rsidRPr="00E15672">
        <w:rPr>
          <w:rtl/>
        </w:rPr>
        <w:endnoteRef/>
      </w:r>
      <w:r>
        <w:rPr>
          <w:rtl/>
        </w:rPr>
        <w:t>.</w:t>
      </w:r>
      <w:r>
        <w:rPr>
          <w:rtl/>
        </w:rPr>
        <w:tab/>
      </w:r>
      <w:r>
        <w:rPr>
          <w:rFonts w:hint="cs"/>
          <w:rtl/>
        </w:rPr>
        <w:t>נדה לא, א.</w:t>
      </w:r>
    </w:p>
  </w:endnote>
  <w:endnote w:id="25">
    <w:p w:rsidR="00AD552B" w:rsidRDefault="00AD552B" w:rsidP="00AD552B">
      <w:pPr>
        <w:pStyle w:val="a4"/>
        <w:rPr>
          <w:rFonts w:hint="cs"/>
          <w:rtl/>
        </w:rPr>
      </w:pPr>
      <w:r>
        <w:rPr>
          <w:rtl/>
        </w:rPr>
        <w:tab/>
      </w:r>
      <w:r w:rsidRPr="00E15672">
        <w:rPr>
          <w:rtl/>
        </w:rPr>
        <w:endnoteRef/>
      </w:r>
      <w:r>
        <w:rPr>
          <w:rtl/>
        </w:rPr>
        <w:t>.</w:t>
      </w:r>
      <w:r>
        <w:rPr>
          <w:rtl/>
        </w:rPr>
        <w:tab/>
      </w:r>
      <w:r>
        <w:rPr>
          <w:rFonts w:hint="cs"/>
          <w:rtl/>
        </w:rPr>
        <w:t>וראה לקמן שער ו בתורה "</w:t>
      </w:r>
      <w:proofErr w:type="spellStart"/>
      <w:r>
        <w:rPr>
          <w:rFonts w:hint="cs"/>
          <w:rtl/>
        </w:rPr>
        <w:t>ישת</w:t>
      </w:r>
      <w:proofErr w:type="spellEnd"/>
      <w:r>
        <w:rPr>
          <w:rFonts w:hint="cs"/>
          <w:rtl/>
        </w:rPr>
        <w:t xml:space="preserve"> חשך סתרו".</w:t>
      </w:r>
    </w:p>
  </w:endnote>
  <w:endnote w:id="26">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כפי </w:t>
      </w:r>
      <w:proofErr w:type="spellStart"/>
      <w:r>
        <w:rPr>
          <w:rFonts w:hint="cs"/>
          <w:rtl/>
        </w:rPr>
        <w:t>שנתפרשו</w:t>
      </w:r>
      <w:proofErr w:type="spellEnd"/>
      <w:r>
        <w:rPr>
          <w:rFonts w:hint="cs"/>
          <w:rtl/>
        </w:rPr>
        <w:t xml:space="preserve"> ביין משמח ח"א שער ז בתורה "ארבע כוונות הזיווג", </w:t>
      </w:r>
      <w:proofErr w:type="spellStart"/>
      <w:r>
        <w:rPr>
          <w:rFonts w:hint="cs"/>
          <w:rtl/>
        </w:rPr>
        <w:t>וש"נ</w:t>
      </w:r>
      <w:proofErr w:type="spellEnd"/>
      <w:r>
        <w:rPr>
          <w:rFonts w:hint="cs"/>
          <w:rtl/>
        </w:rPr>
        <w:t>.</w:t>
      </w:r>
    </w:p>
  </w:endnote>
  <w:endnote w:id="27">
    <w:p w:rsidR="00AD552B" w:rsidRDefault="00AD552B" w:rsidP="00AD552B">
      <w:pPr>
        <w:pStyle w:val="a4"/>
        <w:rPr>
          <w:rFonts w:hint="cs"/>
          <w:rtl/>
        </w:rPr>
      </w:pPr>
      <w:r>
        <w:rPr>
          <w:rtl/>
        </w:rPr>
        <w:tab/>
      </w:r>
      <w:r w:rsidRPr="00E15672">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w:t>
      </w:r>
    </w:p>
  </w:endnote>
  <w:endnote w:id="28">
    <w:p w:rsidR="00AD552B" w:rsidRDefault="00AD552B" w:rsidP="00AD552B">
      <w:pPr>
        <w:pStyle w:val="a4"/>
        <w:rPr>
          <w:rFonts w:hint="cs"/>
          <w:rtl/>
        </w:rPr>
      </w:pPr>
      <w:r>
        <w:rPr>
          <w:rtl/>
        </w:rPr>
        <w:tab/>
      </w:r>
      <w:r w:rsidRPr="00E15672">
        <w:rPr>
          <w:rtl/>
        </w:rPr>
        <w:endnoteRef/>
      </w:r>
      <w:r>
        <w:rPr>
          <w:rtl/>
        </w:rPr>
        <w:t>.</w:t>
      </w:r>
      <w:r>
        <w:rPr>
          <w:rtl/>
        </w:rPr>
        <w:tab/>
      </w:r>
      <w:r>
        <w:rPr>
          <w:rFonts w:hint="cs"/>
          <w:rtl/>
        </w:rPr>
        <w:t>ראה יבמות סב, א; ע"ז ה, א (וברש"י ותוספות שם).</w:t>
      </w:r>
    </w:p>
  </w:endnote>
  <w:endnote w:id="29">
    <w:p w:rsidR="00AD552B" w:rsidRDefault="00AD552B" w:rsidP="00AD552B">
      <w:pPr>
        <w:pStyle w:val="a4"/>
        <w:rPr>
          <w:rFonts w:hint="cs"/>
          <w:rtl/>
        </w:rPr>
      </w:pPr>
      <w:r>
        <w:rPr>
          <w:rtl/>
        </w:rPr>
        <w:tab/>
      </w:r>
      <w:r w:rsidRPr="00E15672">
        <w:rPr>
          <w:rtl/>
        </w:rPr>
        <w:endnoteRef/>
      </w:r>
      <w:r>
        <w:rPr>
          <w:rtl/>
        </w:rPr>
        <w:t>.</w:t>
      </w:r>
      <w:r>
        <w:rPr>
          <w:rtl/>
        </w:rPr>
        <w:tab/>
      </w:r>
      <w:r>
        <w:rPr>
          <w:rFonts w:hint="cs"/>
          <w:rtl/>
        </w:rPr>
        <w:t>כמבואר ביין משמח שם כיצד ניתן ליישם את ארבע הכוונות כארבעה שלבים בכל זיווג.</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6625" w:rsidRDefault="00146625" w:rsidP="00AD552B">
      <w:pPr>
        <w:spacing w:after="0" w:line="240" w:lineRule="auto"/>
      </w:pPr>
      <w:r>
        <w:separator/>
      </w:r>
    </w:p>
  </w:footnote>
  <w:footnote w:type="continuationSeparator" w:id="0">
    <w:p w:rsidR="00146625" w:rsidRDefault="00146625" w:rsidP="00AD55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3F71"/>
    <w:rsid w:val="00061E65"/>
    <w:rsid w:val="00146625"/>
    <w:rsid w:val="00863F71"/>
    <w:rsid w:val="00AC2310"/>
    <w:rsid w:val="00AD55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D552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D552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D552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D552B"/>
    <w:rPr>
      <w:rFonts w:cs="Miriam"/>
      <w:w w:val="100"/>
      <w:sz w:val="21"/>
      <w:szCs w:val="23"/>
    </w:rPr>
  </w:style>
  <w:style w:type="paragraph" w:styleId="a4">
    <w:name w:val="endnote text"/>
    <w:aliases w:val="Endnote Text"/>
    <w:basedOn w:val="a"/>
    <w:link w:val="a5"/>
    <w:autoRedefine/>
    <w:semiHidden/>
    <w:rsid w:val="00AD552B"/>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AD552B"/>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AD552B"/>
    <w:rPr>
      <w:noProof/>
      <w:position w:val="-4"/>
      <w:szCs w:val="27"/>
      <w:vertAlign w:val="superscript"/>
    </w:rPr>
  </w:style>
  <w:style w:type="paragraph" w:customStyle="1" w:styleId="a8">
    <w:name w:val="פתיח תו"/>
    <w:basedOn w:val="a"/>
    <w:link w:val="a9"/>
    <w:rsid w:val="00AD552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D552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D552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AD552B"/>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AD552B"/>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AD552B"/>
    <w:rPr>
      <w:rFonts w:ascii="DF Calligraphic Ornaments LET" w:eastAsia="Times New Roman" w:hAnsi="DF Calligraphic Ornaments LET" w:cs="Guttman Soncino"/>
      <w:noProof/>
      <w:spacing w:val="20"/>
      <w:w w:val="90"/>
      <w:kern w:val="28"/>
      <w:sz w:val="44"/>
      <w:szCs w:val="46"/>
    </w:rPr>
  </w:style>
  <w:style w:type="character" w:customStyle="1" w:styleId="a3">
    <w:name w:val="מרים"/>
    <w:basedOn w:val="a0"/>
    <w:rsid w:val="00AD552B"/>
    <w:rPr>
      <w:rFonts w:cs="Miriam"/>
      <w:w w:val="100"/>
      <w:sz w:val="21"/>
      <w:szCs w:val="23"/>
    </w:rPr>
  </w:style>
  <w:style w:type="paragraph" w:styleId="a4">
    <w:name w:val="endnote text"/>
    <w:aliases w:val="Endnote Text"/>
    <w:basedOn w:val="a"/>
    <w:link w:val="a5"/>
    <w:autoRedefine/>
    <w:semiHidden/>
    <w:rsid w:val="00AD552B"/>
    <w:pPr>
      <w:tabs>
        <w:tab w:val="right" w:pos="266"/>
        <w:tab w:val="left" w:pos="340"/>
      </w:tabs>
      <w:spacing w:after="20" w:line="260" w:lineRule="exact"/>
      <w:ind w:left="340" w:hanging="340"/>
    </w:pPr>
    <w:rPr>
      <w:sz w:val="20"/>
      <w:szCs w:val="23"/>
    </w:rPr>
  </w:style>
  <w:style w:type="character" w:customStyle="1" w:styleId="a5">
    <w:name w:val="טקסט הערת סיום תו"/>
    <w:basedOn w:val="a0"/>
    <w:link w:val="a4"/>
    <w:semiHidden/>
    <w:rsid w:val="00AD552B"/>
    <w:rPr>
      <w:rFonts w:ascii="Times New Roman" w:eastAsia="Times New Roman" w:hAnsi="Times New Roman" w:cs="FrankRuehl"/>
      <w:sz w:val="20"/>
      <w:szCs w:val="23"/>
      <w:lang w:eastAsia="he-IL"/>
    </w:rPr>
  </w:style>
  <w:style w:type="character" w:styleId="a6">
    <w:name w:val="endnote reference"/>
    <w:aliases w:val="Endnote Reference"/>
    <w:basedOn w:val="a7"/>
    <w:semiHidden/>
    <w:rsid w:val="00AD552B"/>
    <w:rPr>
      <w:noProof/>
      <w:position w:val="-4"/>
      <w:szCs w:val="27"/>
      <w:vertAlign w:val="superscript"/>
    </w:rPr>
  </w:style>
  <w:style w:type="paragraph" w:customStyle="1" w:styleId="a8">
    <w:name w:val="פתיח תו"/>
    <w:basedOn w:val="a"/>
    <w:link w:val="a9"/>
    <w:rsid w:val="00AD552B"/>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9">
    <w:name w:val="פתיח תו תו"/>
    <w:basedOn w:val="a0"/>
    <w:link w:val="a8"/>
    <w:rsid w:val="00AD552B"/>
    <w:rPr>
      <w:rFonts w:ascii="Times New Roman" w:eastAsia="Times New Roman" w:hAnsi="Times New Roman" w:cs="Guttman Soncino"/>
      <w:b/>
      <w:bCs/>
      <w:color w:val="808080"/>
      <w:position w:val="-5"/>
      <w:sz w:val="85"/>
      <w:szCs w:val="85"/>
      <w:lang w:eastAsia="he-IL"/>
    </w:rPr>
  </w:style>
  <w:style w:type="character" w:styleId="a7">
    <w:name w:val="footnote reference"/>
    <w:basedOn w:val="a0"/>
    <w:uiPriority w:val="99"/>
    <w:semiHidden/>
    <w:unhideWhenUsed/>
    <w:rsid w:val="00AD55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90;\&#1513;&#1506;&#1512;%20&#1513;&#1500;&#1497;&#1513;&#1497;%20&#1493;&#1492;&#1488;&#1491;&#1501;%20&#1497;&#1491;&#1506;\&#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857</Words>
  <Characters>4289</Characters>
  <Application>Microsoft Office Word</Application>
  <DocSecurity>0</DocSecurity>
  <Lines>35</Lines>
  <Paragraphs>10</Paragraphs>
  <ScaleCrop>false</ScaleCrop>
  <Company/>
  <LinksUpToDate>false</LinksUpToDate>
  <CharactersWithSpaces>5136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2017-08-14T22:41:00Z</dcterms:created>
  <dcterms:modified xsi:type="dcterms:W3CDTF">2017-08-14T22:41:00Z</dcterms:modified>
</cp:coreProperties>
</file>