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49" w:rsidRPr="000A2158" w:rsidRDefault="00C04749" w:rsidP="00C04749">
      <w:pPr>
        <w:pStyle w:val="2"/>
        <w:rPr>
          <w:rFonts w:hint="cs"/>
          <w:rtl/>
        </w:rPr>
      </w:pPr>
      <w:bookmarkStart w:id="0" w:name="_Toc145068673"/>
      <w:bookmarkStart w:id="1" w:name="_Ref145068936"/>
      <w:r w:rsidRPr="000A2158">
        <w:rPr>
          <w:rFonts w:hint="cs"/>
          <w:rtl/>
        </w:rPr>
        <w:t xml:space="preserve">אין כלי שלם </w:t>
      </w:r>
      <w:r>
        <w:rPr>
          <w:rFonts w:hint="cs"/>
          <w:rtl/>
        </w:rPr>
        <w:t xml:space="preserve">יותר מלב </w:t>
      </w:r>
      <w:r w:rsidRPr="000A2158">
        <w:rPr>
          <w:rFonts w:hint="cs"/>
          <w:rtl/>
        </w:rPr>
        <w:t>שב</w:t>
      </w:r>
      <w:r>
        <w:rPr>
          <w:rFonts w:hint="cs"/>
          <w:rtl/>
        </w:rPr>
        <w:t>ו</w:t>
      </w:r>
      <w:r w:rsidRPr="000A2158">
        <w:rPr>
          <w:rFonts w:hint="cs"/>
          <w:rtl/>
        </w:rPr>
        <w:t>ר</w:t>
      </w:r>
      <w:bookmarkEnd w:id="0"/>
      <w:bookmarkEnd w:id="1"/>
    </w:p>
    <w:p w:rsidR="00C04749" w:rsidRPr="00EC42E6" w:rsidRDefault="00C04749" w:rsidP="00C04749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42E6">
        <w:rPr>
          <w:rStyle w:val="a9"/>
          <w:rFonts w:hint="cs"/>
          <w:rtl/>
        </w:rPr>
        <w:t>ח</w:t>
      </w:r>
    </w:p>
    <w:p w:rsidR="00C04749" w:rsidRDefault="00C04749" w:rsidP="00C04749">
      <w:pPr>
        <w:rPr>
          <w:rFonts w:hint="cs"/>
          <w:rtl/>
        </w:rPr>
      </w:pPr>
      <w:r>
        <w:rPr>
          <w:rFonts w:hint="cs"/>
          <w:rtl/>
        </w:rPr>
        <w:t xml:space="preserve">יי הנישואין מתחילים בשבירה – בלילה הראשון, בביאת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>, מתחוללת שבירת הבתולים. כל שבירה היא מהלך של תהו, הדומה לשבירת הכלים שהתחוללה קודם לבריאת העולם (כאשר הקב"ה היה "בורא עולמות ומחריבן"</w:t>
      </w:r>
      <w:r w:rsidRPr="005316B5">
        <w:rPr>
          <w:rStyle w:val="a6"/>
          <w:rtl/>
        </w:rPr>
        <w:endnoteReference w:id="1"/>
      </w:r>
      <w:r>
        <w:rPr>
          <w:rFonts w:hint="cs"/>
          <w:rtl/>
        </w:rPr>
        <w:t xml:space="preserve">), בשלב הראשית בו "והארץ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תהו ובהו"</w:t>
      </w:r>
      <w:r w:rsidRPr="005316B5">
        <w:rPr>
          <w:rStyle w:val="a6"/>
          <w:rtl/>
        </w:rPr>
        <w:endnoteReference w:id="2"/>
      </w:r>
      <w:r>
        <w:rPr>
          <w:rFonts w:hint="cs"/>
          <w:rtl/>
        </w:rPr>
        <w:t xml:space="preserve">. מעבר לשבירה עצמה, גם </w:t>
      </w:r>
      <w:proofErr w:type="spellStart"/>
      <w:r>
        <w:rPr>
          <w:rFonts w:hint="cs"/>
          <w:rtl/>
        </w:rPr>
        <w:t>הכח</w:t>
      </w:r>
      <w:proofErr w:type="spellEnd"/>
      <w:r>
        <w:rPr>
          <w:rFonts w:hint="cs"/>
          <w:rtl/>
        </w:rPr>
        <w:t xml:space="preserve"> התקיף אשר נדרש לביאה הראשונה </w:t>
      </w:r>
      <w:r>
        <w:rPr>
          <w:rtl/>
        </w:rPr>
        <w:t>–</w:t>
      </w:r>
      <w:r>
        <w:rPr>
          <w:rFonts w:hint="cs"/>
          <w:rtl/>
        </w:rPr>
        <w:t xml:space="preserve"> מעל ומעבר לביאות שלאחריה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של תהו,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שמסוגל לחולל שבירה. כיצד ניתן לבסס את חיי הנישואין </w:t>
      </w:r>
      <w:r>
        <w:rPr>
          <w:rtl/>
        </w:rPr>
        <w:t>–</w:t>
      </w:r>
      <w:r>
        <w:rPr>
          <w:rFonts w:hint="eastAsia"/>
          <w:rtl/>
        </w:rPr>
        <w:t xml:space="preserve"> </w:t>
      </w:r>
      <w:r>
        <w:rPr>
          <w:rFonts w:hint="cs"/>
          <w:rtl/>
        </w:rPr>
        <w:t xml:space="preserve">חיים של תיקון, </w:t>
      </w:r>
      <w:r>
        <w:rPr>
          <w:rFonts w:hint="eastAsia"/>
          <w:rtl/>
        </w:rPr>
        <w:t xml:space="preserve">עליהם </w:t>
      </w:r>
      <w:r>
        <w:rPr>
          <w:rFonts w:hint="cs"/>
          <w:rtl/>
        </w:rPr>
        <w:t>נאמר "לא תהו בראה, לשבת יצרה"</w:t>
      </w:r>
      <w:r w:rsidRPr="005316B5">
        <w:rPr>
          <w:rStyle w:val="a6"/>
          <w:rtl/>
        </w:rPr>
        <w:endnoteReference w:id="3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מהלך של תהו ושבירה?</w:t>
      </w:r>
    </w:p>
    <w:p w:rsidR="00C04749" w:rsidRDefault="00C04749" w:rsidP="00C04749">
      <w:pPr>
        <w:rPr>
          <w:rFonts w:hint="cs"/>
          <w:rtl/>
        </w:rPr>
      </w:pPr>
      <w:r>
        <w:rPr>
          <w:rFonts w:hint="cs"/>
          <w:rtl/>
        </w:rPr>
        <w:t xml:space="preserve">רמז מובהק לקשר בין שבירת הבתולים לסוד שבירת הכלים של 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 הוא בכך ש</w:t>
      </w:r>
      <w:r w:rsidRPr="00773B9C">
        <w:rPr>
          <w:rFonts w:hint="cs"/>
          <w:b/>
          <w:bCs/>
          <w:sz w:val="28"/>
          <w:szCs w:val="28"/>
          <w:rtl/>
        </w:rPr>
        <w:t>שבירת</w:t>
      </w:r>
      <w:r>
        <w:rPr>
          <w:rFonts w:hint="cs"/>
          <w:rtl/>
        </w:rPr>
        <w:t xml:space="preserve"> </w:t>
      </w:r>
      <w:r w:rsidRPr="00773B9C">
        <w:rPr>
          <w:rFonts w:hint="cs"/>
          <w:b/>
          <w:bCs/>
          <w:sz w:val="28"/>
          <w:szCs w:val="28"/>
          <w:rtl/>
        </w:rPr>
        <w:t>הבתולים</w:t>
      </w:r>
      <w:r>
        <w:rPr>
          <w:rFonts w:hint="cs"/>
          <w:rtl/>
        </w:rPr>
        <w:t xml:space="preserve"> עולה 1405 (מספר ההשראה ה-</w:t>
      </w:r>
      <w:proofErr w:type="spellStart"/>
      <w:r w:rsidRPr="00664EDC">
        <w:rPr>
          <w:rFonts w:hint="cs"/>
          <w:b/>
          <w:bCs/>
          <w:sz w:val="28"/>
          <w:szCs w:val="28"/>
          <w:rtl/>
        </w:rPr>
        <w:t>כז</w:t>
      </w:r>
      <w:proofErr w:type="spellEnd"/>
      <w:r>
        <w:rPr>
          <w:rFonts w:hint="cs"/>
          <w:rtl/>
        </w:rPr>
        <w:t>)</w:t>
      </w:r>
      <w:r w:rsidRPr="005316B5">
        <w:rPr>
          <w:rStyle w:val="a6"/>
          <w:rtl/>
        </w:rPr>
        <w:endnoteReference w:id="4"/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כמנין</w:t>
      </w:r>
      <w:proofErr w:type="spellEnd"/>
      <w:r>
        <w:rPr>
          <w:rFonts w:hint="cs"/>
          <w:rtl/>
        </w:rPr>
        <w:t xml:space="preserve"> שמות כל ה-</w:t>
      </w:r>
      <w:r w:rsidRPr="00664EDC">
        <w:rPr>
          <w:rFonts w:hint="cs"/>
          <w:b/>
          <w:bCs/>
          <w:sz w:val="28"/>
          <w:szCs w:val="28"/>
          <w:rtl/>
        </w:rPr>
        <w:t>ז</w:t>
      </w:r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מלכין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קדמאין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דמיתו</w:t>
      </w:r>
      <w:proofErr w:type="spellEnd"/>
      <w:r>
        <w:rPr>
          <w:rFonts w:hint="cs"/>
          <w:rtl/>
        </w:rPr>
        <w:t>" (המלכים אשר מלכו בארץ אדום לפני מלוך מלך לבני ישראל</w:t>
      </w:r>
      <w:r w:rsidRPr="005316B5">
        <w:rPr>
          <w:rStyle w:val="a6"/>
          <w:rtl/>
        </w:rPr>
        <w:endnoteReference w:id="5"/>
      </w:r>
      <w:r>
        <w:rPr>
          <w:rFonts w:hint="cs"/>
          <w:rtl/>
        </w:rPr>
        <w:t xml:space="preserve">, אשר מסמלים את כללות 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 ומהם לומד </w:t>
      </w:r>
      <w:proofErr w:type="spellStart"/>
      <w:r>
        <w:rPr>
          <w:rFonts w:hint="cs"/>
          <w:rtl/>
        </w:rPr>
        <w:t>האריז"ל</w:t>
      </w:r>
      <w:proofErr w:type="spellEnd"/>
      <w:r>
        <w:rPr>
          <w:rFonts w:hint="cs"/>
          <w:rtl/>
        </w:rPr>
        <w:t xml:space="preserve"> את כל סוד שבירת הכלים)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64EDC">
        <w:rPr>
          <w:rFonts w:hint="cs"/>
          <w:b/>
          <w:bCs/>
          <w:sz w:val="28"/>
          <w:szCs w:val="28"/>
          <w:rtl/>
        </w:rPr>
        <w:t>בלע</w:t>
      </w:r>
      <w:r>
        <w:rPr>
          <w:rFonts w:hint="cs"/>
          <w:rtl/>
        </w:rPr>
        <w:t xml:space="preserve"> </w:t>
      </w:r>
      <w:proofErr w:type="spellStart"/>
      <w:r w:rsidRPr="00664EDC">
        <w:rPr>
          <w:rFonts w:hint="cs"/>
          <w:b/>
          <w:bCs/>
          <w:sz w:val="28"/>
          <w:szCs w:val="28"/>
          <w:rtl/>
        </w:rPr>
        <w:t>יובב</w:t>
      </w:r>
      <w:proofErr w:type="spellEnd"/>
      <w:r>
        <w:rPr>
          <w:rFonts w:hint="cs"/>
          <w:rtl/>
        </w:rPr>
        <w:t xml:space="preserve"> </w:t>
      </w:r>
      <w:proofErr w:type="spellStart"/>
      <w:r w:rsidRPr="00664EDC">
        <w:rPr>
          <w:rFonts w:hint="cs"/>
          <w:b/>
          <w:bCs/>
          <w:sz w:val="28"/>
          <w:szCs w:val="28"/>
          <w:rtl/>
        </w:rPr>
        <w:t>חשם</w:t>
      </w:r>
      <w:proofErr w:type="spellEnd"/>
      <w:r>
        <w:rPr>
          <w:rFonts w:hint="cs"/>
          <w:rtl/>
        </w:rPr>
        <w:t xml:space="preserve"> </w:t>
      </w:r>
      <w:r w:rsidRPr="00664EDC">
        <w:rPr>
          <w:rFonts w:hint="cs"/>
          <w:b/>
          <w:bCs/>
          <w:sz w:val="28"/>
          <w:szCs w:val="28"/>
          <w:rtl/>
        </w:rPr>
        <w:t>הדד</w:t>
      </w:r>
      <w:r>
        <w:rPr>
          <w:rFonts w:hint="cs"/>
          <w:rtl/>
        </w:rPr>
        <w:t xml:space="preserve"> </w:t>
      </w:r>
      <w:r w:rsidRPr="00664EDC">
        <w:rPr>
          <w:rFonts w:hint="cs"/>
          <w:b/>
          <w:bCs/>
          <w:sz w:val="28"/>
          <w:szCs w:val="28"/>
          <w:rtl/>
        </w:rPr>
        <w:t>שמלה</w:t>
      </w:r>
      <w:r>
        <w:rPr>
          <w:rFonts w:hint="cs"/>
          <w:rtl/>
        </w:rPr>
        <w:t xml:space="preserve"> </w:t>
      </w:r>
      <w:r w:rsidRPr="00664EDC">
        <w:rPr>
          <w:rFonts w:hint="cs"/>
          <w:b/>
          <w:bCs/>
          <w:sz w:val="28"/>
          <w:szCs w:val="28"/>
          <w:rtl/>
        </w:rPr>
        <w:t>שאול</w:t>
      </w:r>
      <w:r>
        <w:rPr>
          <w:rFonts w:hint="cs"/>
          <w:rtl/>
        </w:rPr>
        <w:t xml:space="preserve"> </w:t>
      </w:r>
      <w:r w:rsidRPr="00664EDC">
        <w:rPr>
          <w:rFonts w:hint="cs"/>
          <w:b/>
          <w:bCs/>
          <w:sz w:val="28"/>
          <w:szCs w:val="28"/>
          <w:rtl/>
        </w:rPr>
        <w:t>בעל</w:t>
      </w:r>
      <w:r>
        <w:rPr>
          <w:rFonts w:hint="cs"/>
          <w:rtl/>
        </w:rPr>
        <w:t>-</w:t>
      </w:r>
      <w:r w:rsidRPr="00664EDC">
        <w:rPr>
          <w:rFonts w:hint="cs"/>
          <w:b/>
          <w:bCs/>
          <w:sz w:val="28"/>
          <w:szCs w:val="28"/>
          <w:rtl/>
        </w:rPr>
        <w:t>חנן</w:t>
      </w:r>
      <w:r>
        <w:rPr>
          <w:rFonts w:hint="cs"/>
          <w:rtl/>
        </w:rPr>
        <w:t xml:space="preserve">! אך </w:t>
      </w:r>
      <w:proofErr w:type="spellStart"/>
      <w:r>
        <w:rPr>
          <w:rFonts w:hint="cs"/>
          <w:rtl/>
        </w:rPr>
        <w:t>לאידך</w:t>
      </w:r>
      <w:proofErr w:type="spellEnd"/>
      <w:r>
        <w:rPr>
          <w:rFonts w:hint="cs"/>
          <w:rtl/>
        </w:rPr>
        <w:t xml:space="preserve">, עם הקשר המובהק לשבירת הכלים, הרי הפעולה הברורה של 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ושבירת הבתולים היא דווקא תיקון ועשית כלי </w:t>
      </w:r>
      <w:r>
        <w:rPr>
          <w:rtl/>
        </w:rPr>
        <w:t>–</w:t>
      </w:r>
      <w:r>
        <w:rPr>
          <w:rFonts w:hint="cs"/>
          <w:rtl/>
        </w:rPr>
        <w:t xml:space="preserve"> "אין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כורתת ברית אלא למי </w:t>
      </w:r>
      <w:proofErr w:type="spellStart"/>
      <w:r>
        <w:rPr>
          <w:rFonts w:hint="cs"/>
          <w:rtl/>
        </w:rPr>
        <w:t>שעשאה</w:t>
      </w:r>
      <w:proofErr w:type="spellEnd"/>
      <w:r>
        <w:rPr>
          <w:rFonts w:hint="cs"/>
          <w:rtl/>
        </w:rPr>
        <w:t xml:space="preserve"> כלי"</w:t>
      </w:r>
      <w:r w:rsidRPr="005316B5">
        <w:rPr>
          <w:rStyle w:val="a6"/>
          <w:rtl/>
        </w:rPr>
        <w:endnoteReference w:id="6"/>
      </w:r>
      <w:r>
        <w:rPr>
          <w:rFonts w:hint="cs"/>
          <w:rtl/>
        </w:rPr>
        <w:t xml:space="preserve">. לכן יש לומר כי שבירת הבתולים כוללת בתוכה </w:t>
      </w:r>
      <w:r>
        <w:rPr>
          <w:rtl/>
        </w:rPr>
        <w:t>–</w:t>
      </w:r>
      <w:r>
        <w:rPr>
          <w:rFonts w:hint="cs"/>
          <w:rtl/>
        </w:rPr>
        <w:t xml:space="preserve"> באופן מתוקן ומאוזן </w:t>
      </w:r>
      <w:r>
        <w:rPr>
          <w:rtl/>
        </w:rPr>
        <w:t>–</w:t>
      </w:r>
      <w:r>
        <w:rPr>
          <w:rFonts w:hint="cs"/>
          <w:rtl/>
        </w:rPr>
        <w:t xml:space="preserve"> את כל תהליך שבירת הכלים, ומיניה וביה גם את בנין הכלי המתוקן ואת ההשראה על כל תהליך התיקון השלם שעתיד להתחולל בהמשך חיי הנישואין</w:t>
      </w:r>
      <w:r w:rsidRPr="005316B5">
        <w:rPr>
          <w:rStyle w:val="a6"/>
          <w:rtl/>
        </w:rPr>
        <w:endnoteReference w:id="7"/>
      </w:r>
      <w:r>
        <w:rPr>
          <w:rFonts w:hint="cs"/>
          <w:rtl/>
        </w:rPr>
        <w:t>.</w:t>
      </w:r>
    </w:p>
    <w:p w:rsidR="00C04749" w:rsidRDefault="00C04749" w:rsidP="00C04749">
      <w:pPr>
        <w:rPr>
          <w:rFonts w:hint="cs"/>
          <w:rtl/>
        </w:rPr>
      </w:pPr>
      <w:r>
        <w:rPr>
          <w:rFonts w:hint="cs"/>
          <w:rtl/>
        </w:rPr>
        <w:t>כשמדייקים, עצם המעבר מחיי הרווקות לחיי הנישואין הוא מעבר מחיי תהו לחיי תיקון. ה</w:t>
      </w:r>
      <w:r w:rsidRPr="00E84990">
        <w:rPr>
          <w:rStyle w:val="a3"/>
          <w:rFonts w:hint="cs"/>
          <w:rtl/>
        </w:rPr>
        <w:t>רווקות</w:t>
      </w:r>
      <w:r>
        <w:rPr>
          <w:rFonts w:hint="cs"/>
          <w:rtl/>
        </w:rPr>
        <w:t xml:space="preserve"> היא מצב תהו (כרמוז גם בכך שתרגום הביטוי "תהו ובהו" הוא "</w:t>
      </w:r>
      <w:proofErr w:type="spellStart"/>
      <w:r>
        <w:rPr>
          <w:rFonts w:hint="cs"/>
          <w:rtl/>
        </w:rPr>
        <w:t>צדיא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</w:t>
      </w:r>
      <w:r w:rsidRPr="00E84990">
        <w:rPr>
          <w:rStyle w:val="a3"/>
          <w:rFonts w:hint="cs"/>
          <w:rtl/>
        </w:rPr>
        <w:t>ריקניא</w:t>
      </w:r>
      <w:proofErr w:type="spellEnd"/>
      <w:r>
        <w:rPr>
          <w:rFonts w:hint="cs"/>
          <w:rtl/>
        </w:rPr>
        <w:t xml:space="preserve">") </w:t>
      </w:r>
      <w:r>
        <w:rPr>
          <w:rtl/>
        </w:rPr>
        <w:t>–</w:t>
      </w:r>
      <w:r>
        <w:rPr>
          <w:rFonts w:hint="cs"/>
          <w:rtl/>
        </w:rPr>
        <w:t xml:space="preserve"> מצב בו אין </w:t>
      </w:r>
      <w:proofErr w:type="spellStart"/>
      <w:r>
        <w:rPr>
          <w:rFonts w:hint="cs"/>
          <w:rtl/>
        </w:rPr>
        <w:t>התכללות</w:t>
      </w:r>
      <w:proofErr w:type="spellEnd"/>
      <w:r>
        <w:rPr>
          <w:rFonts w:hint="cs"/>
          <w:rtl/>
        </w:rPr>
        <w:t xml:space="preserve"> בין האדם לבין זולתו ואין בנין בית וישוב עולם </w:t>
      </w:r>
      <w:r>
        <w:rPr>
          <w:rtl/>
        </w:rPr>
        <w:t>–</w:t>
      </w:r>
      <w:r>
        <w:rPr>
          <w:rFonts w:hint="cs"/>
          <w:rtl/>
        </w:rPr>
        <w:t xml:space="preserve"> הנשלל בפסוק "לא תהו בראה" (כנ"ל). </w:t>
      </w:r>
      <w:proofErr w:type="spellStart"/>
      <w:r>
        <w:rPr>
          <w:rFonts w:hint="cs"/>
          <w:rtl/>
        </w:rPr>
        <w:t>לאידך</w:t>
      </w:r>
      <w:proofErr w:type="spellEnd"/>
      <w:r>
        <w:rPr>
          <w:rFonts w:hint="cs"/>
          <w:rtl/>
        </w:rPr>
        <w:t xml:space="preserve">, החל </w:t>
      </w:r>
      <w:proofErr w:type="spellStart"/>
      <w:r>
        <w:rPr>
          <w:rFonts w:hint="cs"/>
          <w:rtl/>
        </w:rPr>
        <w:t>מקנין</w:t>
      </w:r>
      <w:proofErr w:type="spellEnd"/>
      <w:r>
        <w:rPr>
          <w:rFonts w:hint="cs"/>
          <w:rtl/>
        </w:rPr>
        <w:t xml:space="preserve"> הנישואין </w:t>
      </w:r>
      <w:r>
        <w:rPr>
          <w:rtl/>
        </w:rPr>
        <w:t>–</w:t>
      </w:r>
      <w:r>
        <w:rPr>
          <w:rFonts w:hint="cs"/>
          <w:rtl/>
        </w:rPr>
        <w:t xml:space="preserve"> "לשבת יצרה" </w:t>
      </w:r>
      <w:r>
        <w:rPr>
          <w:rtl/>
        </w:rPr>
        <w:t>–</w:t>
      </w:r>
      <w:r>
        <w:rPr>
          <w:rFonts w:hint="cs"/>
          <w:rtl/>
        </w:rPr>
        <w:t xml:space="preserve"> מתחיל בנין עולם התיקון, בו בני הזוג </w:t>
      </w:r>
      <w:proofErr w:type="spellStart"/>
      <w:r>
        <w:rPr>
          <w:rFonts w:hint="cs"/>
          <w:rtl/>
        </w:rPr>
        <w:t>מתכללים</w:t>
      </w:r>
      <w:proofErr w:type="spellEnd"/>
      <w:r>
        <w:rPr>
          <w:rFonts w:hint="cs"/>
          <w:rtl/>
        </w:rPr>
        <w:t xml:space="preserve"> ומתחברים (ולא כל אחד שרוי בעולמו הפרטי, בו הוא מלך יחיד, </w:t>
      </w:r>
      <w:proofErr w:type="spellStart"/>
      <w:r>
        <w:rPr>
          <w:rFonts w:hint="cs"/>
          <w:rtl/>
        </w:rPr>
        <w:t>כחוית</w:t>
      </w:r>
      <w:proofErr w:type="spellEnd"/>
      <w:r>
        <w:rPr>
          <w:rFonts w:hint="cs"/>
          <w:rtl/>
        </w:rPr>
        <w:t xml:space="preserve"> ה"אנא אמלוך"</w:t>
      </w:r>
      <w:r w:rsidRPr="005316B5">
        <w:rPr>
          <w:rStyle w:val="a6"/>
          <w:rtl/>
        </w:rPr>
        <w:endnoteReference w:id="8"/>
      </w:r>
      <w:r>
        <w:rPr>
          <w:rFonts w:hint="cs"/>
          <w:rtl/>
        </w:rPr>
        <w:t xml:space="preserve"> של 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) ומייסדים ביחד בית יציב ומשפחה הקיימת בע"ה לדורי דורות. ובפשטות, המעבר הזה כולל בחובו שבירה של עולם הרווקות, על כל אורחות החיים שנהגו בו, כדי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לסדר חיים חדש ומתוקן של חיי הנישואין. כלומר, שבירת הכלים של 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 היא הכרחית כדי להתחיל לבנות את עולם התיקון </w:t>
      </w:r>
      <w:r>
        <w:rPr>
          <w:rtl/>
        </w:rPr>
        <w:t>–</w:t>
      </w:r>
      <w:r>
        <w:rPr>
          <w:rFonts w:hint="cs"/>
          <w:rtl/>
        </w:rPr>
        <w:t xml:space="preserve"> המעבר לחיי הנישואין כולל בחובו משבר הכרחי של חיי הרווקות (כשבעומק שבירת עולמו של הרווק היא הדוחפת אותו להתגבר על היסוסיו ולהתחתן</w:t>
      </w:r>
      <w:r w:rsidRPr="005316B5">
        <w:rPr>
          <w:rStyle w:val="a6"/>
          <w:rtl/>
        </w:rPr>
        <w:endnoteReference w:id="9"/>
      </w:r>
      <w:r>
        <w:rPr>
          <w:rFonts w:hint="cs"/>
          <w:rtl/>
        </w:rPr>
        <w:t>). שבירה כזו איננה הרס וחורבן, אלא פעולה של "סותר על מנת לבנות"</w:t>
      </w:r>
      <w:r w:rsidRPr="005316B5">
        <w:rPr>
          <w:rStyle w:val="a6"/>
          <w:rtl/>
        </w:rPr>
        <w:endnoteReference w:id="10"/>
      </w:r>
      <w:r>
        <w:rPr>
          <w:rFonts w:hint="cs"/>
          <w:rtl/>
        </w:rPr>
        <w:t xml:space="preserve">, ממש כפי שעשה ה' בשבירת 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 בשביל לבנות אחריו את עולם התיקון.</w:t>
      </w:r>
    </w:p>
    <w:p w:rsidR="00C04749" w:rsidRDefault="00C04749" w:rsidP="00C04749">
      <w:pPr>
        <w:rPr>
          <w:rFonts w:hint="cs"/>
          <w:rtl/>
        </w:rPr>
      </w:pPr>
      <w:r>
        <w:rPr>
          <w:rFonts w:hint="cs"/>
          <w:rtl/>
        </w:rPr>
        <w:t xml:space="preserve">אמנם, בשבירה ובתיקון כפי שהם מופיעים בפרט בשבירת הבתולים יש ממד עמוק יותר ומתוקן יותר מאשר בתהליך השבירה והתיקון של כללות הכניסה לחיי הנישואין. בתהליך הכללי, השבירה </w:t>
      </w:r>
      <w:r>
        <w:rPr>
          <w:rFonts w:hint="cs"/>
          <w:rtl/>
        </w:rPr>
        <w:lastRenderedPageBreak/>
        <w:t xml:space="preserve">קודמת לתיקון </w:t>
      </w:r>
      <w:r>
        <w:rPr>
          <w:rtl/>
        </w:rPr>
        <w:t>–</w:t>
      </w:r>
      <w:r>
        <w:rPr>
          <w:rFonts w:hint="cs"/>
          <w:rtl/>
        </w:rPr>
        <w:t xml:space="preserve"> שבירת הרווקות היא תנאי ודרך </w:t>
      </w:r>
      <w:proofErr w:type="spellStart"/>
      <w:r>
        <w:rPr>
          <w:rFonts w:hint="cs"/>
          <w:rtl/>
        </w:rPr>
        <w:t>לבנין</w:t>
      </w:r>
      <w:proofErr w:type="spellEnd"/>
      <w:r>
        <w:rPr>
          <w:rFonts w:hint="cs"/>
          <w:rtl/>
        </w:rPr>
        <w:t xml:space="preserve"> הנישואין </w:t>
      </w:r>
      <w:r>
        <w:rPr>
          <w:rtl/>
        </w:rPr>
        <w:t>–</w:t>
      </w:r>
      <w:r>
        <w:rPr>
          <w:rFonts w:hint="cs"/>
          <w:rtl/>
        </w:rPr>
        <w:t xml:space="preserve"> ואילו שבירת הבתולים היא גופא התיקון ועשית הכלי. אין זה "סותר על מנת לבנות" אלא סתירה-שהיא-עצמה-בנין (על דרך מאמר חז"ל "סתירת זקנים [היא עצמה] בנין"</w:t>
      </w:r>
      <w:bookmarkStart w:id="2" w:name="_Ref144612903"/>
      <w:r w:rsidRPr="005316B5">
        <w:rPr>
          <w:rStyle w:val="a6"/>
          <w:rtl/>
        </w:rPr>
        <w:endnoteReference w:id="11"/>
      </w:r>
      <w:bookmarkEnd w:id="2"/>
      <w:r>
        <w:rPr>
          <w:rFonts w:hint="cs"/>
          <w:rtl/>
        </w:rPr>
        <w:t>) ואף ניתן לומר שזהו בנין-בדרך-של-סתירה (על דרך מאמר חז"ל "בנין נערים [נעשה דווקא בדרך של] סתירה"</w:t>
      </w:r>
      <w:r w:rsidRPr="009235BA">
        <w:rPr>
          <w:rStyle w:val="a6"/>
          <w:rtl/>
        </w:rPr>
        <w:fldChar w:fldCharType="begin"/>
      </w:r>
      <w:r w:rsidRPr="009235BA">
        <w:rPr>
          <w:rStyle w:val="a6"/>
          <w:rtl/>
        </w:rPr>
        <w:instrText xml:space="preserve"> </w:instrText>
      </w:r>
      <w:r w:rsidRPr="009235BA">
        <w:rPr>
          <w:rStyle w:val="a6"/>
          <w:rFonts w:hint="cs"/>
        </w:rPr>
        <w:instrText>NOTEREF</w:instrText>
      </w:r>
      <w:r w:rsidRPr="009235BA">
        <w:rPr>
          <w:rStyle w:val="a6"/>
          <w:rFonts w:hint="cs"/>
          <w:rtl/>
        </w:rPr>
        <w:instrText xml:space="preserve"> _</w:instrText>
      </w:r>
      <w:r w:rsidRPr="009235BA">
        <w:rPr>
          <w:rStyle w:val="a6"/>
          <w:rFonts w:hint="cs"/>
        </w:rPr>
        <w:instrText>Ref144612903 \h</w:instrText>
      </w:r>
      <w:r w:rsidRPr="009235BA">
        <w:rPr>
          <w:rStyle w:val="a6"/>
          <w:rtl/>
        </w:rPr>
        <w:instrText xml:space="preserve"> </w:instrText>
      </w:r>
      <w:r w:rsidRPr="009235BA">
        <w:rPr>
          <w:rStyle w:val="a6"/>
        </w:rPr>
      </w:r>
      <w:r>
        <w:rPr>
          <w:rStyle w:val="a6"/>
          <w:rtl/>
        </w:rPr>
        <w:instrText xml:space="preserve"> \* </w:instrText>
      </w:r>
      <w:r>
        <w:rPr>
          <w:rStyle w:val="a6"/>
        </w:rPr>
        <w:instrText>MERGEFORMAT</w:instrText>
      </w:r>
      <w:r>
        <w:rPr>
          <w:rStyle w:val="a6"/>
          <w:rtl/>
        </w:rPr>
        <w:instrText xml:space="preserve"> </w:instrText>
      </w:r>
      <w:r w:rsidRPr="009235BA">
        <w:rPr>
          <w:rStyle w:val="a6"/>
          <w:rtl/>
        </w:rPr>
        <w:fldChar w:fldCharType="separate"/>
      </w:r>
      <w:r>
        <w:rPr>
          <w:rStyle w:val="a6"/>
          <w:rtl/>
        </w:rPr>
        <w:t>יא</w:t>
      </w:r>
      <w:r w:rsidRPr="009235BA">
        <w:rPr>
          <w:rStyle w:val="a6"/>
          <w:rtl/>
        </w:rPr>
        <w:fldChar w:fldCharType="end"/>
      </w:r>
      <w:r>
        <w:rPr>
          <w:rFonts w:hint="cs"/>
          <w:rtl/>
        </w:rPr>
        <w:t xml:space="preserve">). </w:t>
      </w:r>
    </w:p>
    <w:p w:rsidR="00C04749" w:rsidRDefault="00C04749" w:rsidP="00C04749">
      <w:pPr>
        <w:rPr>
          <w:rFonts w:hint="cs"/>
          <w:rtl/>
        </w:rPr>
      </w:pPr>
      <w:r>
        <w:rPr>
          <w:rFonts w:hint="cs"/>
          <w:rtl/>
        </w:rPr>
        <w:t xml:space="preserve">העובדה שהשבירה היא הבונה את הכלי מלמדת כי מדובר בכלי שונה ואחר מהכלים הרגילים </w:t>
      </w:r>
      <w:r>
        <w:rPr>
          <w:rtl/>
        </w:rPr>
        <w:t>–</w:t>
      </w:r>
      <w:r>
        <w:rPr>
          <w:rFonts w:hint="cs"/>
          <w:rtl/>
        </w:rPr>
        <w:t xml:space="preserve"> זהו כלי דוגמת זה בו נאמר ש"אין כלי שלם יותר מלב </w:t>
      </w:r>
      <w:r w:rsidRPr="006942F7">
        <w:rPr>
          <w:rFonts w:hint="cs"/>
          <w:rtl/>
        </w:rPr>
        <w:t>שבור</w:t>
      </w:r>
      <w:r>
        <w:rPr>
          <w:rFonts w:hint="cs"/>
          <w:rtl/>
        </w:rPr>
        <w:t>"</w:t>
      </w:r>
      <w:r w:rsidRPr="005316B5">
        <w:rPr>
          <w:rStyle w:val="a6"/>
          <w:rtl/>
        </w:rPr>
        <w:endnoteReference w:id="12"/>
      </w:r>
      <w:r>
        <w:rPr>
          <w:rFonts w:hint="cs"/>
          <w:rtl/>
        </w:rPr>
        <w:t xml:space="preserve">. הכלי השלם והטהור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נבנה בדרך של שבירה, כאשר היא נפתחת לבעלה ומתעוררת בה תחושת </w:t>
      </w: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וההשתוקקות להשלמה (אותן פועלות שבירת הבתולים </w:t>
      </w:r>
      <w:proofErr w:type="spellStart"/>
      <w:r>
        <w:rPr>
          <w:rFonts w:hint="cs"/>
          <w:rtl/>
        </w:rPr>
        <w:t>וה"רוחא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דשביק</w:t>
      </w:r>
      <w:proofErr w:type="spellEnd"/>
      <w:r>
        <w:rPr>
          <w:rFonts w:hint="cs"/>
          <w:rtl/>
        </w:rPr>
        <w:t xml:space="preserve"> בה בעלה"</w:t>
      </w:r>
      <w:r w:rsidRPr="005316B5">
        <w:rPr>
          <w:rStyle w:val="a6"/>
          <w:rtl/>
        </w:rPr>
        <w:endnoteReference w:id="13"/>
      </w:r>
      <w:r>
        <w:rPr>
          <w:rFonts w:hint="cs"/>
          <w:rtl/>
        </w:rPr>
        <w:t xml:space="preserve"> בביאה הראשונה). שלמות הכלי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הוא דווקא </w:t>
      </w:r>
      <w:r w:rsidRPr="00781C87">
        <w:rPr>
          <w:rFonts w:hint="cs"/>
          <w:rtl/>
        </w:rPr>
        <w:t xml:space="preserve">תחושת ה"חצי" שלה, שאזי משלימים האיש </w:t>
      </w:r>
      <w:proofErr w:type="spellStart"/>
      <w:r w:rsidRPr="00781C87">
        <w:rPr>
          <w:rFonts w:hint="cs"/>
          <w:rtl/>
        </w:rPr>
        <w:t>והאשה</w:t>
      </w:r>
      <w:proofErr w:type="spellEnd"/>
      <w:r w:rsidRPr="00781C87">
        <w:rPr>
          <w:rFonts w:hint="cs"/>
          <w:rtl/>
        </w:rPr>
        <w:t xml:space="preserve"> זה את זו בסוד "שלם וחצי"</w:t>
      </w:r>
      <w:r w:rsidRPr="005316B5">
        <w:rPr>
          <w:rStyle w:val="a6"/>
          <w:rtl/>
        </w:rPr>
        <w:endnoteReference w:id="14"/>
      </w:r>
      <w:r w:rsidRPr="00781C87">
        <w:rPr>
          <w:rFonts w:hint="cs"/>
          <w:rtl/>
        </w:rPr>
        <w:t xml:space="preserve"> (תכלית השלמות, כפי שמלמד רבי אברהם </w:t>
      </w:r>
      <w:proofErr w:type="spellStart"/>
      <w:r w:rsidRPr="00781C87">
        <w:rPr>
          <w:rFonts w:hint="cs"/>
          <w:rtl/>
        </w:rPr>
        <w:t>אבולעפיא</w:t>
      </w:r>
      <w:proofErr w:type="spellEnd"/>
      <w:r w:rsidRPr="00781C87">
        <w:rPr>
          <w:rFonts w:hint="cs"/>
          <w:rtl/>
        </w:rPr>
        <w:t xml:space="preserve"> זצ"ל, והרמז</w:t>
      </w:r>
      <w:r>
        <w:rPr>
          <w:rFonts w:hint="cs"/>
          <w:rtl/>
        </w:rPr>
        <w:t>:</w:t>
      </w:r>
      <w:r w:rsidRPr="00781C87">
        <w:rPr>
          <w:rFonts w:hint="cs"/>
          <w:rtl/>
        </w:rPr>
        <w:t xml:space="preserve"> </w:t>
      </w:r>
      <w:r w:rsidRPr="00781C87">
        <w:rPr>
          <w:rFonts w:hint="cs"/>
          <w:b/>
          <w:bCs/>
          <w:sz w:val="28"/>
          <w:szCs w:val="28"/>
          <w:rtl/>
        </w:rPr>
        <w:t>שלם</w:t>
      </w:r>
      <w:r w:rsidRPr="00781C87">
        <w:rPr>
          <w:rFonts w:hint="cs"/>
          <w:rtl/>
        </w:rPr>
        <w:t xml:space="preserve"> </w:t>
      </w:r>
      <w:r w:rsidRPr="00781C87">
        <w:rPr>
          <w:rFonts w:hint="cs"/>
          <w:b/>
          <w:bCs/>
          <w:sz w:val="28"/>
          <w:szCs w:val="28"/>
          <w:rtl/>
        </w:rPr>
        <w:t>וחצי</w:t>
      </w:r>
      <w:r w:rsidRPr="00781C87">
        <w:rPr>
          <w:rFonts w:hint="cs"/>
          <w:rtl/>
        </w:rPr>
        <w:t xml:space="preserve"> עולה </w:t>
      </w:r>
      <w:proofErr w:type="spellStart"/>
      <w:r w:rsidRPr="00781C87">
        <w:rPr>
          <w:rFonts w:hint="cs"/>
          <w:b/>
          <w:bCs/>
          <w:sz w:val="28"/>
          <w:szCs w:val="28"/>
          <w:rtl/>
        </w:rPr>
        <w:t>כב</w:t>
      </w:r>
      <w:proofErr w:type="spellEnd"/>
      <w:r w:rsidRPr="00781C87">
        <w:rPr>
          <w:rFonts w:hint="cs"/>
          <w:rtl/>
        </w:rPr>
        <w:t xml:space="preserve"> בריבוע – השלמות של זוגות מושגים משלימים רבים, כדוגמת </w:t>
      </w:r>
      <w:r w:rsidRPr="00781C87">
        <w:rPr>
          <w:rFonts w:hint="cs"/>
          <w:b/>
          <w:bCs/>
          <w:sz w:val="28"/>
          <w:szCs w:val="28"/>
          <w:rtl/>
        </w:rPr>
        <w:t>שמחה</w:t>
      </w:r>
      <w:r w:rsidRPr="00781C87">
        <w:rPr>
          <w:rFonts w:hint="cs"/>
          <w:rtl/>
        </w:rPr>
        <w:t>-</w:t>
      </w:r>
      <w:r w:rsidRPr="00781C87">
        <w:rPr>
          <w:rFonts w:hint="cs"/>
          <w:b/>
          <w:bCs/>
          <w:sz w:val="28"/>
          <w:szCs w:val="28"/>
          <w:rtl/>
        </w:rPr>
        <w:t>ענוה</w:t>
      </w:r>
      <w:r w:rsidRPr="00781C87">
        <w:rPr>
          <w:rFonts w:hint="cs"/>
          <w:rtl/>
        </w:rPr>
        <w:t>,</w:t>
      </w:r>
      <w:r w:rsidRPr="00781C87">
        <w:rPr>
          <w:rFonts w:hint="cs"/>
          <w:b/>
          <w:bCs/>
          <w:sz w:val="28"/>
          <w:szCs w:val="28"/>
          <w:rtl/>
        </w:rPr>
        <w:t xml:space="preserve"> נשמה</w:t>
      </w:r>
      <w:r w:rsidRPr="00781C87">
        <w:rPr>
          <w:rFonts w:hint="cs"/>
          <w:sz w:val="28"/>
          <w:szCs w:val="28"/>
          <w:rtl/>
        </w:rPr>
        <w:t>-</w:t>
      </w:r>
      <w:r w:rsidRPr="00781C87">
        <w:rPr>
          <w:rFonts w:hint="cs"/>
          <w:b/>
          <w:bCs/>
          <w:sz w:val="28"/>
          <w:szCs w:val="28"/>
          <w:rtl/>
        </w:rPr>
        <w:t>גוף</w:t>
      </w:r>
      <w:r w:rsidRPr="00781C87">
        <w:rPr>
          <w:rFonts w:hint="cs"/>
          <w:rtl/>
        </w:rPr>
        <w:t xml:space="preserve"> וכו'). וכך בפשטות, הכלי השלם שבזכותו כורתת </w:t>
      </w:r>
      <w:proofErr w:type="spellStart"/>
      <w:r w:rsidRPr="00781C87">
        <w:rPr>
          <w:rFonts w:hint="cs"/>
          <w:rtl/>
        </w:rPr>
        <w:t>האשה</w:t>
      </w:r>
      <w:proofErr w:type="spellEnd"/>
      <w:r w:rsidRPr="00781C87">
        <w:rPr>
          <w:rFonts w:hint="cs"/>
          <w:rtl/>
        </w:rPr>
        <w:t xml:space="preserve"> ברית עם בעלה, הדחף הבונה קשר של אהבה</w:t>
      </w:r>
      <w:r>
        <w:rPr>
          <w:rFonts w:hint="cs"/>
          <w:rtl/>
        </w:rPr>
        <w:t xml:space="preserve"> ושמחה בכל זיווגיהם העתידים של החתן והכלה, הוא דווקא תאוותה ותחושת הצורך </w:t>
      </w:r>
      <w:proofErr w:type="spellStart"/>
      <w:r>
        <w:rPr>
          <w:rFonts w:hint="cs"/>
          <w:rtl/>
        </w:rPr>
        <w:t>והחסרון</w:t>
      </w:r>
      <w:proofErr w:type="spellEnd"/>
      <w:r>
        <w:rPr>
          <w:rFonts w:hint="cs"/>
          <w:rtl/>
        </w:rPr>
        <w:t xml:space="preserve"> שלה.</w:t>
      </w:r>
    </w:p>
    <w:p w:rsidR="00C04749" w:rsidRDefault="00C04749" w:rsidP="00C04749">
      <w:pPr>
        <w:rPr>
          <w:rFonts w:hint="cs"/>
          <w:rtl/>
        </w:rPr>
      </w:pPr>
      <w:r>
        <w:rPr>
          <w:rFonts w:hint="cs"/>
          <w:rtl/>
        </w:rPr>
        <w:t xml:space="preserve">כאשר מדובר בשבירה שהיא עצמה פועלת את עשית הכלי הרי זו שבירה שכל כולה אהבה. זאת בניגוד לשבירה לצורך בנין אחר, בה יש בקורת </w:t>
      </w:r>
      <w:r>
        <w:rPr>
          <w:rtl/>
        </w:rPr>
        <w:t>–</w:t>
      </w:r>
      <w:r>
        <w:rPr>
          <w:rFonts w:hint="cs"/>
          <w:rtl/>
        </w:rPr>
        <w:t xml:space="preserve"> או אפילו שנאה </w:t>
      </w:r>
      <w:r>
        <w:rPr>
          <w:rtl/>
        </w:rPr>
        <w:t>–</w:t>
      </w:r>
      <w:r>
        <w:rPr>
          <w:rFonts w:hint="cs"/>
          <w:rtl/>
        </w:rPr>
        <w:t xml:space="preserve"> למצב אותו צריך לשבור כדי לפתוח פתח לשינוי המצב. כך בפשטות, החתן איננו 'מתנגד' למצב הבתולים </w:t>
      </w:r>
      <w:r>
        <w:rPr>
          <w:rtl/>
        </w:rPr>
        <w:t>–</w:t>
      </w:r>
      <w:r>
        <w:rPr>
          <w:rFonts w:hint="cs"/>
          <w:rtl/>
        </w:rPr>
        <w:t xml:space="preserve"> ההיפך הוא הנכון, עיקר שמחתו וחשקו הוא למצוא את כלתו בתולה (והחשש שמא לא ימצא לה בתולים הוא הטורד אותו ביום הנישואין, כמפורש בחז"ל</w:t>
      </w:r>
      <w:r w:rsidRPr="005316B5">
        <w:rPr>
          <w:rStyle w:val="a6"/>
          <w:rtl/>
        </w:rPr>
        <w:endnoteReference w:id="15"/>
      </w:r>
      <w:r>
        <w:rPr>
          <w:rFonts w:hint="cs"/>
          <w:rtl/>
        </w:rPr>
        <w:t xml:space="preserve">), ושבירת הבתולים נעשית כולה מתוך שמחה ואהבה. אם כן, שבירת הכלים שבביאה הראשונה איננה חזרה נוספת על תהליך שבירת הכלים והתמוטטות 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שהתחוללה בזעיר אנפין גם בשבירת הרווקות </w:t>
      </w:r>
      <w:r>
        <w:rPr>
          <w:rtl/>
        </w:rPr>
        <w:t>–</w:t>
      </w:r>
      <w:r>
        <w:rPr>
          <w:rFonts w:hint="cs"/>
          <w:rtl/>
        </w:rPr>
        <w:t xml:space="preserve"> אלא היא </w:t>
      </w:r>
      <w:proofErr w:type="spellStart"/>
      <w:r>
        <w:rPr>
          <w:rFonts w:hint="cs"/>
          <w:rtl/>
        </w:rPr>
        <w:t>חויה</w:t>
      </w:r>
      <w:proofErr w:type="spellEnd"/>
      <w:r>
        <w:rPr>
          <w:rFonts w:hint="cs"/>
          <w:rtl/>
        </w:rPr>
        <w:t xml:space="preserve"> מתקנת, שחזור מרפא וממתק, של טראומות השבירה הקודמות שעברו בני הזוג בחייהם.</w:t>
      </w:r>
    </w:p>
    <w:p w:rsidR="00C04749" w:rsidRDefault="00C04749" w:rsidP="00C04749">
      <w:pPr>
        <w:rPr>
          <w:rFonts w:hint="cs"/>
          <w:rtl/>
        </w:rPr>
      </w:pPr>
      <w:r>
        <w:rPr>
          <w:rFonts w:hint="cs"/>
          <w:rtl/>
        </w:rPr>
        <w:t xml:space="preserve">רמז לשבירה כזו </w:t>
      </w:r>
      <w:r>
        <w:rPr>
          <w:rtl/>
        </w:rPr>
        <w:t>–</w:t>
      </w:r>
      <w:r>
        <w:rPr>
          <w:rFonts w:hint="cs"/>
          <w:rtl/>
        </w:rPr>
        <w:t xml:space="preserve"> שאיננה הכנה הקודמת לחיי הנישואין, אלא היא התחילה והיסוד שלהם בעצמם </w:t>
      </w:r>
      <w:r>
        <w:rPr>
          <w:rtl/>
        </w:rPr>
        <w:t>–</w:t>
      </w:r>
      <w:r>
        <w:rPr>
          <w:rFonts w:hint="cs"/>
          <w:rtl/>
        </w:rPr>
        <w:t xml:space="preserve"> יש כבר בחופה, בשבירת הכוס. בפשטות, שבירת הכוס היא זכר לחורבן</w:t>
      </w:r>
      <w:r w:rsidRPr="005316B5">
        <w:rPr>
          <w:rStyle w:val="a6"/>
          <w:rtl/>
        </w:rPr>
        <w:endnoteReference w:id="16"/>
      </w:r>
      <w:r>
        <w:rPr>
          <w:rFonts w:hint="cs"/>
          <w:rtl/>
        </w:rPr>
        <w:t>, כאשר גם הוודאות שהחורבן הוא "סותר על מנת לבנות" (כלשון המדרש ש"עלה אריה [</w:t>
      </w:r>
      <w:proofErr w:type="spellStart"/>
      <w:r>
        <w:rPr>
          <w:rFonts w:hint="cs"/>
          <w:rtl/>
        </w:rPr>
        <w:t>נבוכדנאצר</w:t>
      </w:r>
      <w:proofErr w:type="spellEnd"/>
      <w:r>
        <w:rPr>
          <w:rFonts w:hint="cs"/>
          <w:rtl/>
        </w:rPr>
        <w:t xml:space="preserve">] במזל אריה [חדש אב] והחריב אריאל [בית המקדש] </w:t>
      </w:r>
      <w:r w:rsidRPr="00E84990">
        <w:rPr>
          <w:rStyle w:val="a3"/>
          <w:rFonts w:hint="cs"/>
          <w:rtl/>
        </w:rPr>
        <w:t>על מנת</w:t>
      </w:r>
      <w:r>
        <w:rPr>
          <w:rFonts w:hint="cs"/>
          <w:rtl/>
        </w:rPr>
        <w:t xml:space="preserve"> שיעלה אריה [הקב"ה] במזל אריה [בחדש אב] ויבנה אריאל [את בית המקדש השלישי </w:t>
      </w:r>
      <w:r w:rsidRPr="00781C87">
        <w:rPr>
          <w:rFonts w:hint="cs"/>
          <w:rtl/>
        </w:rPr>
        <w:t>והנצחי]"</w:t>
      </w:r>
      <w:r w:rsidRPr="005316B5">
        <w:rPr>
          <w:rStyle w:val="a6"/>
          <w:rtl/>
        </w:rPr>
        <w:endnoteReference w:id="17"/>
      </w:r>
      <w:r w:rsidRPr="00781C87">
        <w:rPr>
          <w:rFonts w:hint="cs"/>
          <w:rtl/>
        </w:rPr>
        <w:t>), איננה ממתיקה לגמרי את הצער על החורבן עצמו ואיננה מבטלת את מצות האבלות (והרי "כל דור שלא נבנה בית המקדש בימיו כאילו נחרב בימיו"</w:t>
      </w:r>
      <w:r w:rsidRPr="005316B5">
        <w:rPr>
          <w:rStyle w:val="a6"/>
          <w:rtl/>
        </w:rPr>
        <w:endnoteReference w:id="18"/>
      </w:r>
      <w:r w:rsidRPr="00781C87">
        <w:rPr>
          <w:rFonts w:hint="cs"/>
          <w:rtl/>
        </w:rPr>
        <w:t>). אמנם, בפנימיות</w:t>
      </w:r>
      <w:r>
        <w:rPr>
          <w:rFonts w:hint="cs"/>
          <w:rtl/>
        </w:rPr>
        <w:t xml:space="preserve"> רומזת שבירת הכוס </w:t>
      </w:r>
      <w:r>
        <w:rPr>
          <w:rFonts w:hint="eastAsia"/>
          <w:rtl/>
        </w:rPr>
        <w:t xml:space="preserve">– הבאה אחרי האירוסין והנישואין </w:t>
      </w:r>
      <w:r>
        <w:rPr>
          <w:rFonts w:hint="cs"/>
          <w:rtl/>
        </w:rPr>
        <w:t xml:space="preserve">(לפי המנהגים השונים) </w:t>
      </w:r>
      <w:r>
        <w:rPr>
          <w:rtl/>
        </w:rPr>
        <w:t>–</w:t>
      </w:r>
      <w:r>
        <w:rPr>
          <w:rFonts w:hint="cs"/>
          <w:rtl/>
        </w:rPr>
        <w:t xml:space="preserve"> לשבירה המתוקה והשמחה העתידה להתחולל בחיי בני הזוג באותו הלילה. זו שבירה שכולה אהבה, ולכן נוהגים לשבור את הכוס ברגל ימין </w:t>
      </w:r>
      <w:r>
        <w:rPr>
          <w:rtl/>
        </w:rPr>
        <w:t>–</w:t>
      </w:r>
      <w:r>
        <w:rPr>
          <w:rFonts w:hint="cs"/>
          <w:rtl/>
        </w:rPr>
        <w:t xml:space="preserve"> הרגל השייכת לקו החסד והאהבה (ובפרט, </w:t>
      </w:r>
      <w:proofErr w:type="spellStart"/>
      <w:r>
        <w:rPr>
          <w:rFonts w:hint="cs"/>
          <w:rtl/>
        </w:rPr>
        <w:t>מכיון</w:t>
      </w:r>
      <w:proofErr w:type="spellEnd"/>
      <w:r>
        <w:rPr>
          <w:rFonts w:hint="cs"/>
          <w:rtl/>
        </w:rPr>
        <w:t xml:space="preserve"> ש"רגל" היא גם כינוי לאבר הברית </w:t>
      </w:r>
      <w:r>
        <w:rPr>
          <w:rtl/>
        </w:rPr>
        <w:t>–</w:t>
      </w:r>
      <w:r>
        <w:rPr>
          <w:rFonts w:hint="cs"/>
          <w:rtl/>
        </w:rPr>
        <w:t xml:space="preserve"> 'הרגל השלישית' של הזכר</w:t>
      </w:r>
      <w:r w:rsidRPr="005316B5">
        <w:rPr>
          <w:rStyle w:val="a6"/>
          <w:rtl/>
        </w:rPr>
        <w:endnoteReference w:id="19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בשבירה זו רמז לכך שבעילת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צריכה </w:t>
      </w:r>
      <w:proofErr w:type="spellStart"/>
      <w:r>
        <w:rPr>
          <w:rFonts w:hint="cs"/>
          <w:rtl/>
        </w:rPr>
        <w:t>להעשות</w:t>
      </w:r>
      <w:proofErr w:type="spellEnd"/>
      <w:r>
        <w:rPr>
          <w:rFonts w:hint="cs"/>
          <w:rtl/>
        </w:rPr>
        <w:t xml:space="preserve"> ב"רגל ימין", כשכל כולה חסד ואהבה). זו גם הסיבה לכך ש"מנהג ישראל תורה"</w:t>
      </w:r>
      <w:r w:rsidRPr="005316B5">
        <w:rPr>
          <w:rStyle w:val="a6"/>
          <w:rtl/>
        </w:rPr>
        <w:endnoteReference w:id="20"/>
      </w:r>
      <w:r>
        <w:rPr>
          <w:rFonts w:hint="cs"/>
          <w:rtl/>
        </w:rPr>
        <w:t xml:space="preserve"> להכריז בשמחה אחרי שבירת הכוס "מזל טוב!"</w:t>
      </w:r>
      <w:r w:rsidRPr="005316B5">
        <w:rPr>
          <w:rStyle w:val="a6"/>
          <w:rtl/>
        </w:rPr>
        <w:endnoteReference w:id="21"/>
      </w:r>
      <w:r>
        <w:rPr>
          <w:rFonts w:hint="cs"/>
          <w:rtl/>
        </w:rPr>
        <w:t xml:space="preserve"> – עם כל הקושי שבשבירה, ועם הצער-לכאורה שיש בה, הרי שאחרי שבירת הבתולים ישנה </w:t>
      </w:r>
      <w:proofErr w:type="spellStart"/>
      <w:r>
        <w:rPr>
          <w:rFonts w:hint="cs"/>
          <w:rtl/>
        </w:rPr>
        <w:t>חויה</w:t>
      </w:r>
      <w:proofErr w:type="spellEnd"/>
      <w:r>
        <w:rPr>
          <w:rFonts w:hint="cs"/>
          <w:rtl/>
        </w:rPr>
        <w:t xml:space="preserve"> של שמחה </w:t>
      </w:r>
      <w:r>
        <w:rPr>
          <w:rFonts w:hint="cs"/>
          <w:rtl/>
        </w:rPr>
        <w:lastRenderedPageBreak/>
        <w:t xml:space="preserve">ורוממות הנפש (כמתבטא בברכת הבתולים </w:t>
      </w:r>
      <w:r>
        <w:rPr>
          <w:rtl/>
        </w:rPr>
        <w:t>–</w:t>
      </w:r>
      <w:r>
        <w:rPr>
          <w:rFonts w:hint="cs"/>
          <w:rtl/>
        </w:rPr>
        <w:t xml:space="preserve"> אותה ישנם נוהגים לברך כיום בלא שם ומלכות </w:t>
      </w:r>
      <w:r>
        <w:rPr>
          <w:rtl/>
        </w:rPr>
        <w:t>–</w:t>
      </w:r>
      <w:r>
        <w:rPr>
          <w:rFonts w:hint="cs"/>
          <w:rtl/>
        </w:rPr>
        <w:t xml:space="preserve"> "ברוך אתה ה' </w:t>
      </w:r>
      <w:proofErr w:type="spellStart"/>
      <w:r>
        <w:rPr>
          <w:rFonts w:hint="cs"/>
          <w:rtl/>
        </w:rPr>
        <w:t>אלהינו</w:t>
      </w:r>
      <w:proofErr w:type="spellEnd"/>
      <w:r>
        <w:rPr>
          <w:rFonts w:hint="cs"/>
          <w:rtl/>
        </w:rPr>
        <w:t xml:space="preserve"> מלך העולם אשר צג אגוז בגן עדן שושנת העמקים בל ימשול זר במעין חתום על כן אילת אהבים שמרה בטהרה וחוק לא הפרה ברוך הבוחר בזרעו של אברהם"</w:t>
      </w:r>
      <w:r w:rsidRPr="005316B5">
        <w:rPr>
          <w:rStyle w:val="a6"/>
          <w:rtl/>
        </w:rPr>
        <w:endnoteReference w:id="22"/>
      </w:r>
      <w:r>
        <w:rPr>
          <w:rFonts w:hint="cs"/>
          <w:rtl/>
        </w:rPr>
        <w:t>).</w:t>
      </w:r>
    </w:p>
    <w:p w:rsidR="005F4A47" w:rsidRDefault="006C2C38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C38" w:rsidRDefault="006C2C38" w:rsidP="00C04749">
      <w:pPr>
        <w:spacing w:after="0" w:line="240" w:lineRule="auto"/>
      </w:pPr>
      <w:r>
        <w:separator/>
      </w:r>
    </w:p>
  </w:endnote>
  <w:endnote w:type="continuationSeparator" w:id="0">
    <w:p w:rsidR="006C2C38" w:rsidRDefault="006C2C38" w:rsidP="00C04749">
      <w:pPr>
        <w:spacing w:after="0" w:line="240" w:lineRule="auto"/>
      </w:pPr>
      <w:r>
        <w:continuationSeparator/>
      </w:r>
    </w:p>
  </w:endnote>
  <w:endnote w:id="1">
    <w:p w:rsidR="00C04749" w:rsidRDefault="00C04749" w:rsidP="00C04749">
      <w:pPr>
        <w:pStyle w:val="a4"/>
        <w:rPr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רבה ג, ז (ובכ"ד).</w:t>
      </w:r>
    </w:p>
  </w:endnote>
  <w:endnote w:id="2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א, ב (וראה שער ג בתורה "</w:t>
      </w:r>
      <w:proofErr w:type="spellStart"/>
      <w:r>
        <w:rPr>
          <w:rFonts w:hint="cs"/>
          <w:rtl/>
        </w:rPr>
        <w:t>לארקא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ולאמשכא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ולאנהרא</w:t>
      </w:r>
      <w:proofErr w:type="spellEnd"/>
      <w:r>
        <w:rPr>
          <w:rFonts w:hint="cs"/>
          <w:rtl/>
        </w:rPr>
        <w:t>").</w:t>
      </w:r>
    </w:p>
  </w:endnote>
  <w:endnote w:id="3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מה,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 (וראה פסחים פח, ב ובכ"ד).</w:t>
      </w:r>
    </w:p>
  </w:endnote>
  <w:endnote w:id="4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באריכות בסודות מספר זה בהקשר לעולם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 בחסדי דוד הנאמנים חלק ח עמ' 71 ואילך.</w:t>
      </w:r>
    </w:p>
  </w:endnote>
  <w:endnote w:id="5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לו, לא-לט.</w:t>
      </w:r>
    </w:p>
  </w:endnote>
  <w:endnote w:id="6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סנהדרין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, ב (וראה גם שער ג בתורה "והאדם ידע את חוה אשתו").</w:t>
      </w:r>
    </w:p>
  </w:endnote>
  <w:endnote w:id="7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תהליך שהתפרט יותר בשער ג בתורה "והאדם ידע את חוה אשתו".</w:t>
      </w:r>
    </w:p>
  </w:endnote>
  <w:endnote w:id="8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מלכים-א א, ה.</w:t>
      </w:r>
    </w:p>
  </w:endnote>
  <w:endnote w:id="9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בספר אני לדודי ודודי לי עמ' </w:t>
      </w:r>
      <w:proofErr w:type="spellStart"/>
      <w:r>
        <w:rPr>
          <w:rFonts w:hint="cs"/>
          <w:rtl/>
        </w:rPr>
        <w:t>עו-עח</w:t>
      </w:r>
      <w:proofErr w:type="spellEnd"/>
      <w:r>
        <w:rPr>
          <w:rFonts w:hint="cs"/>
          <w:rtl/>
        </w:rPr>
        <w:t xml:space="preserve"> ובמבוא לקבלת </w:t>
      </w:r>
      <w:proofErr w:type="spellStart"/>
      <w:r>
        <w:rPr>
          <w:rFonts w:hint="cs"/>
          <w:rtl/>
        </w:rPr>
        <w:t>האריז"ל</w:t>
      </w:r>
      <w:proofErr w:type="spellEnd"/>
      <w:r>
        <w:rPr>
          <w:rFonts w:hint="cs"/>
          <w:rtl/>
        </w:rPr>
        <w:t xml:space="preserve"> עמ' </w:t>
      </w:r>
      <w:proofErr w:type="spellStart"/>
      <w:r>
        <w:rPr>
          <w:rFonts w:hint="cs"/>
          <w:rtl/>
        </w:rPr>
        <w:t>רמט-רנא</w:t>
      </w:r>
      <w:proofErr w:type="spellEnd"/>
      <w:r>
        <w:rPr>
          <w:rFonts w:hint="cs"/>
          <w:rtl/>
        </w:rPr>
        <w:t>.</w:t>
      </w:r>
    </w:p>
  </w:endnote>
  <w:endnote w:id="10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שבת לא, ב.</w:t>
      </w:r>
    </w:p>
  </w:endnote>
  <w:endnote w:id="11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מגילה לא, ב.</w:t>
      </w:r>
    </w:p>
  </w:endnote>
  <w:endnote w:id="12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כמובא בשם רבי שמחה בונים </w:t>
      </w:r>
      <w:proofErr w:type="spellStart"/>
      <w:r>
        <w:rPr>
          <w:rFonts w:hint="cs"/>
          <w:rtl/>
        </w:rPr>
        <w:t>מפרשיסחא</w:t>
      </w:r>
      <w:proofErr w:type="spellEnd"/>
      <w:r>
        <w:rPr>
          <w:rFonts w:hint="cs"/>
          <w:rtl/>
        </w:rPr>
        <w:t xml:space="preserve"> זצ"ל (קול מבשר ח"א לתהלים </w:t>
      </w:r>
      <w:proofErr w:type="spellStart"/>
      <w:r>
        <w:rPr>
          <w:rFonts w:hint="cs"/>
          <w:rtl/>
        </w:rPr>
        <w:t>קמז</w:t>
      </w:r>
      <w:proofErr w:type="spellEnd"/>
      <w:r>
        <w:rPr>
          <w:rFonts w:hint="cs"/>
          <w:rtl/>
        </w:rPr>
        <w:t>, ובכ"ד), וראה קונטרס התפלה פרקים יא-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 ובמלכות ישראל כרך ג מאמר "</w:t>
      </w:r>
      <w:proofErr w:type="spellStart"/>
      <w:r>
        <w:rPr>
          <w:rFonts w:hint="cs"/>
          <w:rtl/>
        </w:rPr>
        <w:t>הר</w:t>
      </w:r>
      <w:r w:rsidRPr="00B13E7E">
        <w:rPr>
          <w:rFonts w:hint="cs"/>
          <w:spacing w:val="-10"/>
          <w:rtl/>
        </w:rPr>
        <w:t>ֹ</w:t>
      </w:r>
      <w:r>
        <w:rPr>
          <w:rFonts w:hint="cs"/>
          <w:rtl/>
        </w:rPr>
        <w:t>פא</w:t>
      </w:r>
      <w:proofErr w:type="spellEnd"/>
      <w:r>
        <w:rPr>
          <w:rFonts w:hint="cs"/>
          <w:rtl/>
        </w:rPr>
        <w:t xml:space="preserve"> לשבורי לב".</w:t>
      </w:r>
    </w:p>
  </w:endnote>
  <w:endnote w:id="13">
    <w:p w:rsidR="00C04749" w:rsidRDefault="00C04749" w:rsidP="00C04749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זהר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קא</w:t>
      </w:r>
      <w:proofErr w:type="spellEnd"/>
      <w:r>
        <w:rPr>
          <w:rFonts w:hint="cs"/>
          <w:rtl/>
        </w:rPr>
        <w:t xml:space="preserve">, ב ובמקומות רבים בכתבי </w:t>
      </w:r>
      <w:proofErr w:type="spellStart"/>
      <w:r>
        <w:rPr>
          <w:rFonts w:hint="cs"/>
          <w:rtl/>
        </w:rPr>
        <w:t>האריז"ל</w:t>
      </w:r>
      <w:proofErr w:type="spellEnd"/>
      <w:r>
        <w:rPr>
          <w:rFonts w:hint="cs"/>
          <w:rtl/>
        </w:rPr>
        <w:t>.</w:t>
      </w:r>
    </w:p>
  </w:endnote>
  <w:endnote w:id="14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שכינה ביניהם פ"א אות ז.</w:t>
      </w:r>
    </w:p>
  </w:endnote>
  <w:endnote w:id="15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פ"ב מ"ה (וראה ברכות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, א).</w:t>
      </w:r>
    </w:p>
  </w:endnote>
  <w:endnote w:id="16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אם כי נאמרו כמה וכמה טעמים בזה, ואכמ"ל.</w:t>
      </w:r>
    </w:p>
  </w:endnote>
  <w:endnote w:id="17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פסיקתא </w:t>
      </w:r>
      <w:proofErr w:type="spellStart"/>
      <w:r>
        <w:rPr>
          <w:rFonts w:hint="cs"/>
          <w:rtl/>
        </w:rPr>
        <w:t>דרב</w:t>
      </w:r>
      <w:proofErr w:type="spellEnd"/>
      <w:r>
        <w:rPr>
          <w:rFonts w:hint="cs"/>
          <w:rtl/>
        </w:rPr>
        <w:t xml:space="preserve"> כהנא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, טו (הובא בילקוט שמעוני ירמיהו רמז רנט).</w:t>
      </w:r>
    </w:p>
  </w:endnote>
  <w:endnote w:id="18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פי ירושלמי יומא פ"א ה"א.</w:t>
      </w:r>
    </w:p>
  </w:endnote>
  <w:endnote w:id="19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לדוגמה ספר </w:t>
      </w:r>
      <w:proofErr w:type="spellStart"/>
      <w:r>
        <w:rPr>
          <w:rFonts w:hint="cs"/>
          <w:rtl/>
        </w:rPr>
        <w:t>הלקוטים</w:t>
      </w:r>
      <w:proofErr w:type="spellEnd"/>
      <w:r>
        <w:rPr>
          <w:rFonts w:hint="cs"/>
          <w:rtl/>
        </w:rPr>
        <w:t xml:space="preserve"> פרשת אמור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 (וראה משלי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ב).</w:t>
      </w:r>
    </w:p>
  </w:endnote>
  <w:endnote w:id="20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תוד"ה</w:t>
      </w:r>
      <w:proofErr w:type="spellEnd"/>
      <w:r>
        <w:rPr>
          <w:rFonts w:hint="cs"/>
          <w:rtl/>
        </w:rPr>
        <w:t xml:space="preserve"> נפסל במנחות כ, ב. </w:t>
      </w:r>
      <w:proofErr w:type="spellStart"/>
      <w:r>
        <w:rPr>
          <w:rFonts w:hint="cs"/>
          <w:rtl/>
        </w:rPr>
        <w:t>מהרי"ל</w:t>
      </w:r>
      <w:proofErr w:type="spellEnd"/>
      <w:r>
        <w:rPr>
          <w:rFonts w:hint="cs"/>
          <w:rtl/>
        </w:rPr>
        <w:t xml:space="preserve"> הובא </w:t>
      </w:r>
      <w:proofErr w:type="spellStart"/>
      <w:r>
        <w:rPr>
          <w:rFonts w:hint="cs"/>
          <w:rtl/>
        </w:rPr>
        <w:t>ברמ"א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יו"ד סימן שעו סעיף ד. מנהגים ישנים </w:t>
      </w:r>
      <w:proofErr w:type="spellStart"/>
      <w:r>
        <w:rPr>
          <w:rFonts w:hint="cs"/>
          <w:rtl/>
        </w:rPr>
        <w:t>מדורא</w:t>
      </w:r>
      <w:proofErr w:type="spellEnd"/>
      <w:r>
        <w:rPr>
          <w:rFonts w:hint="cs"/>
          <w:rtl/>
        </w:rPr>
        <w:t xml:space="preserve"> עמ' 153. ראה ירושלמי פסחים פ"ד ה"א.</w:t>
      </w:r>
    </w:p>
  </w:endnote>
  <w:endnote w:id="21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ואף שכמה רבנים בדור האחרון (ראה לדוגמה שו"ת יביע אומר ח"ד </w:t>
      </w:r>
      <w:proofErr w:type="spellStart"/>
      <w:r w:rsidRPr="000B3806">
        <w:rPr>
          <w:rFonts w:hint="cs"/>
          <w:rtl/>
        </w:rPr>
        <w:t>אבה"ע</w:t>
      </w:r>
      <w:proofErr w:type="spellEnd"/>
      <w:r w:rsidRPr="000B3806">
        <w:rPr>
          <w:rFonts w:hint="cs"/>
          <w:rtl/>
        </w:rPr>
        <w:t xml:space="preserve"> </w:t>
      </w:r>
      <w:r>
        <w:rPr>
          <w:rFonts w:hint="cs"/>
          <w:rtl/>
        </w:rPr>
        <w:t xml:space="preserve">ט) ערערו על קריאה זו, הרי המבואר בפנים מטעים ומנמק את "מנהג ישראל תורה", ו"הנח להם לישראל, שאם אין נביאים הן בני נביאים הן" (פסחים </w:t>
      </w:r>
      <w:proofErr w:type="spellStart"/>
      <w:r>
        <w:rPr>
          <w:rFonts w:hint="cs"/>
          <w:rtl/>
        </w:rPr>
        <w:t>סו</w:t>
      </w:r>
      <w:proofErr w:type="spellEnd"/>
      <w:r>
        <w:rPr>
          <w:rFonts w:hint="cs"/>
          <w:rtl/>
        </w:rPr>
        <w:t>, א).</w:t>
      </w:r>
    </w:p>
  </w:endnote>
  <w:endnote w:id="22">
    <w:p w:rsidR="00C04749" w:rsidRDefault="00C04749" w:rsidP="00C04749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טור </w:t>
      </w:r>
      <w:proofErr w:type="spellStart"/>
      <w:r>
        <w:rPr>
          <w:rFonts w:hint="cs"/>
          <w:rtl/>
        </w:rPr>
        <w:t>אבה"ע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סג</w:t>
      </w:r>
      <w:proofErr w:type="spellEnd"/>
      <w:r>
        <w:rPr>
          <w:rFonts w:hint="cs"/>
          <w:rtl/>
        </w:rPr>
        <w:t xml:space="preserve"> (וראה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אבה"ע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סג</w:t>
      </w:r>
      <w:proofErr w:type="spellEnd"/>
      <w:r>
        <w:rPr>
          <w:rFonts w:hint="cs"/>
          <w:rtl/>
        </w:rPr>
        <w:t xml:space="preserve"> סעיף ב ובחכמת אדם כלל </w:t>
      </w:r>
      <w:proofErr w:type="spellStart"/>
      <w:r>
        <w:rPr>
          <w:rFonts w:hint="cs"/>
          <w:rtl/>
        </w:rPr>
        <w:t>קטו</w:t>
      </w:r>
      <w:proofErr w:type="spellEnd"/>
      <w:r>
        <w:rPr>
          <w:rFonts w:hint="cs"/>
          <w:rtl/>
        </w:rPr>
        <w:t xml:space="preserve"> סעיף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). וראה עוד אודות ברכה זו בשער ג בתורה "מעשה אבות".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C38" w:rsidRDefault="006C2C38" w:rsidP="00C04749">
      <w:pPr>
        <w:spacing w:after="0" w:line="240" w:lineRule="auto"/>
      </w:pPr>
      <w:r>
        <w:separator/>
      </w:r>
    </w:p>
  </w:footnote>
  <w:footnote w:type="continuationSeparator" w:id="0">
    <w:p w:rsidR="006C2C38" w:rsidRDefault="006C2C38" w:rsidP="00C04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83"/>
    <w:rsid w:val="00061E65"/>
    <w:rsid w:val="006C2C38"/>
    <w:rsid w:val="00AC2310"/>
    <w:rsid w:val="00C04749"/>
    <w:rsid w:val="00D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04749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04749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04749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C04749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C04749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C04749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C04749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C04749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C04749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C047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04749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04749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04749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C04749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C04749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C04749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C04749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C04749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C04749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C047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2017-08-14T22:38:00Z</dcterms:created>
  <dcterms:modified xsi:type="dcterms:W3CDTF">2017-08-14T22:38:00Z</dcterms:modified>
</cp:coreProperties>
</file>