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120" w:rsidRPr="000A2158" w:rsidRDefault="00F11120" w:rsidP="00F11120">
      <w:pPr>
        <w:pStyle w:val="2"/>
        <w:rPr>
          <w:rFonts w:hint="cs"/>
          <w:rtl/>
        </w:rPr>
      </w:pPr>
      <w:bookmarkStart w:id="0" w:name="_Toc145068674"/>
      <w:bookmarkStart w:id="1" w:name="_Ref145068937"/>
      <w:r>
        <w:rPr>
          <w:w w:val="100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1058545</wp:posOffset>
            </wp:positionH>
            <wp:positionV relativeFrom="paragraph">
              <wp:posOffset>676275</wp:posOffset>
            </wp:positionV>
            <wp:extent cx="360680" cy="371475"/>
            <wp:effectExtent l="0" t="0" r="1270" b="9525"/>
            <wp:wrapNone/>
            <wp:docPr id="1" name="תמונה 1" descr="צורה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צורה4.tif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2158">
        <w:rPr>
          <w:rFonts w:hint="cs"/>
          <w:rtl/>
        </w:rPr>
        <w:t>"הולם פעם"</w:t>
      </w:r>
      <w:bookmarkEnd w:id="0"/>
      <w:bookmarkEnd w:id="1"/>
    </w:p>
    <w:p w:rsidR="00F11120" w:rsidRPr="00EC42E6" w:rsidRDefault="00F11120" w:rsidP="00F11120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Style w:val="a9"/>
          <w:rtl/>
        </w:rPr>
      </w:pPr>
      <w:r w:rsidRPr="00EC42E6">
        <w:rPr>
          <w:rStyle w:val="a9"/>
          <w:rFonts w:hint="cs"/>
          <w:rtl/>
        </w:rPr>
        <w:t>מ</w:t>
      </w:r>
    </w:p>
    <w:p w:rsidR="00F11120" w:rsidRDefault="00F11120" w:rsidP="00F11120">
      <w:pPr>
        <w:rPr>
          <w:rFonts w:hint="cs"/>
          <w:rtl/>
        </w:rPr>
      </w:pPr>
      <w:r>
        <w:rPr>
          <w:rFonts w:hint="cs"/>
          <w:rtl/>
        </w:rPr>
        <w:t xml:space="preserve">יד עם ראשית חיי הנישואין 'נידונים' בני הזוג </w:t>
      </w:r>
      <w:proofErr w:type="spellStart"/>
      <w:r>
        <w:rPr>
          <w:rFonts w:hint="cs"/>
          <w:rtl/>
        </w:rPr>
        <w:t>לחויה</w:t>
      </w:r>
      <w:proofErr w:type="spellEnd"/>
      <w:r>
        <w:rPr>
          <w:rFonts w:hint="cs"/>
          <w:rtl/>
        </w:rPr>
        <w:t xml:space="preserve"> טראומטית </w:t>
      </w:r>
      <w:r>
        <w:rPr>
          <w:rtl/>
        </w:rPr>
        <w:t>–</w:t>
      </w:r>
      <w:r>
        <w:rPr>
          <w:rFonts w:hint="cs"/>
          <w:rtl/>
        </w:rPr>
        <w:t xml:space="preserve"> ביאת מצוה, בה שובר החתן את בתולי הכלה</w:t>
      </w:r>
      <w:r w:rsidRPr="005316B5">
        <w:rPr>
          <w:rStyle w:val="a6"/>
          <w:rtl/>
        </w:rPr>
        <w:endnoteReference w:id="1"/>
      </w:r>
      <w:r>
        <w:rPr>
          <w:rFonts w:hint="cs"/>
          <w:rtl/>
        </w:rPr>
        <w:t xml:space="preserve">. עצם המהפך הנפשי בנוגע ליחסי האישות </w:t>
      </w:r>
      <w:r>
        <w:rPr>
          <w:rtl/>
        </w:rPr>
        <w:t>–</w:t>
      </w:r>
      <w:r>
        <w:rPr>
          <w:rFonts w:hint="cs"/>
          <w:rtl/>
        </w:rPr>
        <w:t xml:space="preserve"> ממצב של "</w:t>
      </w:r>
      <w:proofErr w:type="spellStart"/>
      <w:r>
        <w:rPr>
          <w:rFonts w:hint="cs"/>
          <w:rtl/>
        </w:rPr>
        <w:t>וצונו</w:t>
      </w:r>
      <w:proofErr w:type="spellEnd"/>
      <w:r>
        <w:rPr>
          <w:rFonts w:hint="cs"/>
          <w:rtl/>
        </w:rPr>
        <w:t xml:space="preserve"> על העריות [שהיא </w:t>
      </w:r>
      <w:proofErr w:type="spellStart"/>
      <w:r>
        <w:rPr>
          <w:rFonts w:hint="cs"/>
          <w:rtl/>
        </w:rPr>
        <w:t>החויה</w:t>
      </w:r>
      <w:proofErr w:type="spellEnd"/>
      <w:r>
        <w:rPr>
          <w:rFonts w:hint="cs"/>
          <w:rtl/>
        </w:rPr>
        <w:t xml:space="preserve"> הראויה לבני הזוג עד שהחלו לעסוק </w:t>
      </w:r>
      <w:proofErr w:type="spellStart"/>
      <w:r>
        <w:rPr>
          <w:rFonts w:hint="cs"/>
          <w:rtl/>
        </w:rPr>
        <w:t>בשידוכין</w:t>
      </w:r>
      <w:proofErr w:type="spellEnd"/>
      <w:r>
        <w:rPr>
          <w:rFonts w:hint="cs"/>
          <w:rtl/>
        </w:rPr>
        <w:t xml:space="preserve">] ואסר לנו את הארוסות [שהיא </w:t>
      </w:r>
      <w:proofErr w:type="spellStart"/>
      <w:r>
        <w:rPr>
          <w:rFonts w:hint="cs"/>
          <w:rtl/>
        </w:rPr>
        <w:t>החויה</w:t>
      </w:r>
      <w:proofErr w:type="spellEnd"/>
      <w:r>
        <w:rPr>
          <w:rFonts w:hint="cs"/>
          <w:rtl/>
        </w:rPr>
        <w:t xml:space="preserve"> הראויה לבני הזוג מתחילת העיסוק </w:t>
      </w:r>
      <w:proofErr w:type="spellStart"/>
      <w:r>
        <w:rPr>
          <w:rFonts w:hint="cs"/>
          <w:rtl/>
        </w:rPr>
        <w:t>בשידוכין</w:t>
      </w:r>
      <w:proofErr w:type="spellEnd"/>
      <w:r>
        <w:rPr>
          <w:rFonts w:hint="cs"/>
          <w:rtl/>
        </w:rPr>
        <w:t xml:space="preserve"> עד ליום החתונה]" למצב של "והתיר לנו את הנשואות לנו על ידי חֻפה </w:t>
      </w:r>
      <w:proofErr w:type="spellStart"/>
      <w:r>
        <w:rPr>
          <w:rFonts w:hint="cs"/>
          <w:rtl/>
        </w:rPr>
        <w:t>וקדושין</w:t>
      </w:r>
      <w:proofErr w:type="spellEnd"/>
      <w:r>
        <w:rPr>
          <w:rFonts w:hint="cs"/>
          <w:rtl/>
        </w:rPr>
        <w:t>"</w:t>
      </w:r>
      <w:r w:rsidRPr="005316B5">
        <w:rPr>
          <w:rStyle w:val="a6"/>
          <w:rtl/>
        </w:rPr>
        <w:endnoteReference w:id="2"/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הוא שידוד מערכות בנפש, הדורש עוז ותעצומות. אך מעבר למהפך הנפשי, ביאת </w:t>
      </w:r>
      <w:proofErr w:type="spellStart"/>
      <w:r>
        <w:rPr>
          <w:rFonts w:hint="cs"/>
          <w:rtl/>
        </w:rPr>
        <w:t>המצוה</w:t>
      </w:r>
      <w:proofErr w:type="spellEnd"/>
      <w:r>
        <w:rPr>
          <w:rFonts w:hint="cs"/>
          <w:rtl/>
        </w:rPr>
        <w:t xml:space="preserve"> עצמה היא </w:t>
      </w:r>
      <w:proofErr w:type="spellStart"/>
      <w:r>
        <w:rPr>
          <w:rFonts w:hint="cs"/>
          <w:rtl/>
        </w:rPr>
        <w:t>חויה</w:t>
      </w:r>
      <w:proofErr w:type="spellEnd"/>
      <w:r>
        <w:rPr>
          <w:rFonts w:hint="cs"/>
          <w:rtl/>
        </w:rPr>
        <w:t xml:space="preserve"> קשה ומלאת עוצמה, עד שחז"ל</w:t>
      </w:r>
      <w:r w:rsidRPr="005316B5">
        <w:rPr>
          <w:rStyle w:val="a6"/>
          <w:rtl/>
        </w:rPr>
        <w:endnoteReference w:id="3"/>
      </w:r>
      <w:r>
        <w:rPr>
          <w:rFonts w:hint="cs"/>
          <w:rtl/>
        </w:rPr>
        <w:t xml:space="preserve"> כללו אותה בין ששת הדברים (הקשים ברובם) ש"קולן יוצא מסוף העולם ועד סופו, ואין הקול נשמע" </w:t>
      </w:r>
      <w:r>
        <w:rPr>
          <w:rtl/>
        </w:rPr>
        <w:t>–</w:t>
      </w:r>
      <w:r>
        <w:rPr>
          <w:rFonts w:hint="cs"/>
          <w:rtl/>
        </w:rPr>
        <w:t xml:space="preserve"> "ובשעה </w:t>
      </w:r>
      <w:proofErr w:type="spellStart"/>
      <w:r>
        <w:rPr>
          <w:rFonts w:hint="cs"/>
          <w:rtl/>
        </w:rPr>
        <w:t>שהאשה</w:t>
      </w:r>
      <w:proofErr w:type="spellEnd"/>
      <w:r>
        <w:rPr>
          <w:rFonts w:hint="cs"/>
          <w:rtl/>
        </w:rPr>
        <w:t xml:space="preserve"> נבעל עם בעלה בעילה ראשונה, אבל אין קולה נשמע".</w:t>
      </w:r>
    </w:p>
    <w:p w:rsidR="00F11120" w:rsidRDefault="00F11120" w:rsidP="00F11120">
      <w:pPr>
        <w:rPr>
          <w:rFonts w:hint="cs"/>
          <w:rtl/>
        </w:rPr>
      </w:pPr>
      <w:r>
        <w:rPr>
          <w:rFonts w:hint="cs"/>
          <w:rtl/>
        </w:rPr>
        <w:t xml:space="preserve">ביאת </w:t>
      </w:r>
      <w:proofErr w:type="spellStart"/>
      <w:r>
        <w:rPr>
          <w:rFonts w:hint="cs"/>
          <w:rtl/>
        </w:rPr>
        <w:t>המצוה</w:t>
      </w:r>
      <w:proofErr w:type="spellEnd"/>
      <w:r>
        <w:rPr>
          <w:rFonts w:hint="cs"/>
          <w:rtl/>
        </w:rPr>
        <w:t xml:space="preserve"> דורשת מהחתן לפעול </w:t>
      </w:r>
      <w:proofErr w:type="spellStart"/>
      <w:r>
        <w:rPr>
          <w:rFonts w:hint="cs"/>
          <w:rtl/>
        </w:rPr>
        <w:t>בכח</w:t>
      </w:r>
      <w:proofErr w:type="spellEnd"/>
      <w:r>
        <w:rPr>
          <w:rFonts w:hint="cs"/>
          <w:rtl/>
        </w:rPr>
        <w:t xml:space="preserve"> רב, כדי לשבור את בתולי הכלה. בדרך כלל, עבור החתן, שנתחנך לטהרה ולעדינות, הצורך לפעול בכוחניות (ובתחום חדש וזר לו) דורש ממנו להתגבר על עכבות פנימיות ו'לצאת מעצמו'. ואכן, לקראת ביאת </w:t>
      </w:r>
      <w:proofErr w:type="spellStart"/>
      <w:r>
        <w:rPr>
          <w:rFonts w:hint="cs"/>
          <w:rtl/>
        </w:rPr>
        <w:t>המצוה</w:t>
      </w:r>
      <w:proofErr w:type="spellEnd"/>
      <w:r>
        <w:rPr>
          <w:rFonts w:hint="cs"/>
          <w:rtl/>
        </w:rPr>
        <w:t xml:space="preserve"> צריך החתן למקד את כל כולו בהתמסרות שלמה אל הכלה ולהפיק מתוכו את </w:t>
      </w:r>
      <w:proofErr w:type="spellStart"/>
      <w:r>
        <w:rPr>
          <w:rFonts w:hint="cs"/>
          <w:rtl/>
        </w:rPr>
        <w:t>כחו</w:t>
      </w:r>
      <w:proofErr w:type="spellEnd"/>
      <w:r>
        <w:rPr>
          <w:rFonts w:hint="cs"/>
          <w:rtl/>
        </w:rPr>
        <w:t xml:space="preserve"> העצמי ביותר כדי לפקוד אותה</w:t>
      </w:r>
      <w:r w:rsidRPr="005316B5">
        <w:rPr>
          <w:rStyle w:val="a6"/>
          <w:rtl/>
        </w:rPr>
        <w:endnoteReference w:id="4"/>
      </w:r>
      <w:r>
        <w:rPr>
          <w:rFonts w:hint="cs"/>
          <w:rtl/>
        </w:rPr>
        <w:t xml:space="preserve"> (וככל שזכה החתן </w:t>
      </w:r>
      <w:r w:rsidRPr="00E84990">
        <w:rPr>
          <w:rStyle w:val="a3"/>
          <w:rFonts w:hint="cs"/>
          <w:rtl/>
        </w:rPr>
        <w:t>להתאפק</w:t>
      </w:r>
      <w:r>
        <w:rPr>
          <w:rFonts w:hint="cs"/>
          <w:rtl/>
        </w:rPr>
        <w:t xml:space="preserve"> ולשמור את בריתו, ובכך לשמור על שלמותו העצמית</w:t>
      </w:r>
      <w:r w:rsidRPr="005316B5">
        <w:rPr>
          <w:rStyle w:val="a6"/>
          <w:rtl/>
        </w:rPr>
        <w:endnoteReference w:id="5"/>
      </w:r>
      <w:r>
        <w:rPr>
          <w:rFonts w:hint="cs"/>
          <w:rtl/>
        </w:rPr>
        <w:t xml:space="preserve">, כך יש בו יותר עוצמה </w:t>
      </w:r>
      <w:r w:rsidRPr="00E84990">
        <w:rPr>
          <w:rStyle w:val="a3"/>
          <w:rFonts w:hint="cs"/>
          <w:rtl/>
        </w:rPr>
        <w:t>להפיק</w:t>
      </w:r>
      <w:r>
        <w:rPr>
          <w:rFonts w:hint="cs"/>
          <w:rtl/>
        </w:rPr>
        <w:t xml:space="preserve"> בביאת </w:t>
      </w:r>
      <w:proofErr w:type="spellStart"/>
      <w:r>
        <w:rPr>
          <w:rFonts w:hint="cs"/>
          <w:rtl/>
        </w:rPr>
        <w:t>המצוה</w:t>
      </w:r>
      <w:proofErr w:type="spellEnd"/>
      <w:r>
        <w:rPr>
          <w:rFonts w:hint="cs"/>
          <w:rtl/>
        </w:rPr>
        <w:t xml:space="preserve"> את נקודת העצם שלו בקדושה ובטהרה </w:t>
      </w:r>
      <w:r>
        <w:rPr>
          <w:rtl/>
        </w:rPr>
        <w:t>–</w:t>
      </w:r>
      <w:r>
        <w:rPr>
          <w:rFonts w:hint="cs"/>
          <w:rtl/>
        </w:rPr>
        <w:t xml:space="preserve"> "מצא </w:t>
      </w:r>
      <w:proofErr w:type="spellStart"/>
      <w:r>
        <w:rPr>
          <w:rFonts w:hint="cs"/>
          <w:rtl/>
        </w:rPr>
        <w:t>אשה</w:t>
      </w:r>
      <w:proofErr w:type="spellEnd"/>
      <w:r>
        <w:rPr>
          <w:rFonts w:hint="cs"/>
          <w:rtl/>
        </w:rPr>
        <w:t xml:space="preserve"> מצא טוב </w:t>
      </w:r>
      <w:proofErr w:type="spellStart"/>
      <w:r>
        <w:rPr>
          <w:rFonts w:hint="cs"/>
          <w:rtl/>
        </w:rPr>
        <w:t>ויפק</w:t>
      </w:r>
      <w:proofErr w:type="spellEnd"/>
      <w:r>
        <w:rPr>
          <w:rFonts w:hint="cs"/>
          <w:rtl/>
        </w:rPr>
        <w:t xml:space="preserve"> רצון </w:t>
      </w:r>
      <w:proofErr w:type="spellStart"/>
      <w:r>
        <w:rPr>
          <w:rFonts w:hint="cs"/>
          <w:rtl/>
        </w:rPr>
        <w:t>מהוי</w:t>
      </w:r>
      <w:proofErr w:type="spellEnd"/>
      <w:r>
        <w:rPr>
          <w:rFonts w:hint="cs"/>
          <w:rtl/>
        </w:rPr>
        <w:t>'"</w:t>
      </w:r>
      <w:r w:rsidRPr="005316B5">
        <w:rPr>
          <w:rStyle w:val="a6"/>
          <w:rtl/>
        </w:rPr>
        <w:endnoteReference w:id="6"/>
      </w:r>
      <w:r>
        <w:rPr>
          <w:rFonts w:hint="cs"/>
          <w:rtl/>
        </w:rPr>
        <w:t>).</w:t>
      </w:r>
    </w:p>
    <w:p w:rsidR="00F11120" w:rsidRDefault="00F11120" w:rsidP="00F11120">
      <w:pPr>
        <w:rPr>
          <w:rFonts w:hint="cs"/>
          <w:rtl/>
        </w:rPr>
      </w:pPr>
      <w:r>
        <w:rPr>
          <w:rFonts w:hint="cs"/>
          <w:rtl/>
        </w:rPr>
        <w:t xml:space="preserve">אמנם, ברור כי עיקר הקושי והמשבר הוא ביחס לכלה, החווה על גופה שינוי, הלם ומשבר. אכן, כשם שאצל הכלה מורגש קושי רב יותר בביאת </w:t>
      </w:r>
      <w:proofErr w:type="spellStart"/>
      <w:r>
        <w:rPr>
          <w:rFonts w:hint="cs"/>
          <w:rtl/>
        </w:rPr>
        <w:t>המצוה</w:t>
      </w:r>
      <w:proofErr w:type="spellEnd"/>
      <w:r>
        <w:rPr>
          <w:rFonts w:hint="cs"/>
          <w:rtl/>
        </w:rPr>
        <w:t xml:space="preserve">, כך ביאה זו גם פועלת דווקא בה שינוי מוחלט </w:t>
      </w:r>
      <w:proofErr w:type="spellStart"/>
      <w:r>
        <w:rPr>
          <w:rFonts w:hint="cs"/>
          <w:rtl/>
        </w:rPr>
        <w:t>למעליותא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ביאה זו הופכת אותה מגולם (חומר גולמי, שלא נגמרה עשייתו וטרם ניתן להשתמש בו) לכלי. מהפך זה מעורר בה התמסרות וקונה את נפשה בצורה העמוקה ביותר </w:t>
      </w:r>
      <w:r>
        <w:rPr>
          <w:rtl/>
        </w:rPr>
        <w:t>–</w:t>
      </w:r>
      <w:r>
        <w:rPr>
          <w:rFonts w:hint="cs"/>
          <w:rtl/>
        </w:rPr>
        <w:t xml:space="preserve"> "אין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 xml:space="preserve"> כורתת ברית אלא למי </w:t>
      </w:r>
      <w:proofErr w:type="spellStart"/>
      <w:r>
        <w:rPr>
          <w:rFonts w:hint="cs"/>
          <w:rtl/>
        </w:rPr>
        <w:t>שעשאה</w:t>
      </w:r>
      <w:proofErr w:type="spellEnd"/>
      <w:r>
        <w:rPr>
          <w:rFonts w:hint="cs"/>
          <w:rtl/>
        </w:rPr>
        <w:t xml:space="preserve"> כלי"</w:t>
      </w:r>
      <w:r w:rsidRPr="005316B5">
        <w:rPr>
          <w:rStyle w:val="a6"/>
          <w:rtl/>
        </w:rPr>
        <w:endnoteReference w:id="7"/>
      </w:r>
      <w:r>
        <w:rPr>
          <w:rFonts w:hint="cs"/>
          <w:rtl/>
        </w:rPr>
        <w:t xml:space="preserve">. כשם שבגשמיות עשית הכלי דורשת מאמץ, ויש בה קושי והפעלת </w:t>
      </w:r>
      <w:proofErr w:type="spellStart"/>
      <w:r>
        <w:rPr>
          <w:rFonts w:hint="cs"/>
          <w:rtl/>
        </w:rPr>
        <w:t>כח</w:t>
      </w:r>
      <w:proofErr w:type="spellEnd"/>
      <w:r>
        <w:rPr>
          <w:rFonts w:hint="cs"/>
          <w:rtl/>
        </w:rPr>
        <w:t xml:space="preserve"> כלפי חומר הגלם ממנו נעשה הכלי, גם </w:t>
      </w:r>
      <w:proofErr w:type="spellStart"/>
      <w:r>
        <w:rPr>
          <w:rFonts w:hint="cs"/>
          <w:rtl/>
        </w:rPr>
        <w:t>בעשית</w:t>
      </w:r>
      <w:proofErr w:type="spellEnd"/>
      <w:r>
        <w:rPr>
          <w:rFonts w:hint="cs"/>
          <w:rtl/>
        </w:rPr>
        <w:t xml:space="preserve"> הכלי בחיי הנישואין </w:t>
      </w:r>
      <w:r>
        <w:rPr>
          <w:rtl/>
        </w:rPr>
        <w:t>–</w:t>
      </w:r>
      <w:r>
        <w:rPr>
          <w:rFonts w:hint="cs"/>
          <w:rtl/>
        </w:rPr>
        <w:t xml:space="preserve"> ההלם של הביאה הראשונה, שהוא חזק עד כדי כך שקולו יוצא מסוף העולם ועד סופו, הוא העושה את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 xml:space="preserve"> לכלי וכורת עמה ברית אהבה שלמה ונצחית. </w:t>
      </w:r>
    </w:p>
    <w:p w:rsidR="00F11120" w:rsidRDefault="00F11120" w:rsidP="00F11120">
      <w:pPr>
        <w:rPr>
          <w:rFonts w:hint="cs"/>
          <w:rtl/>
        </w:rPr>
      </w:pPr>
      <w:r>
        <w:rPr>
          <w:rFonts w:hint="cs"/>
          <w:rtl/>
        </w:rPr>
        <w:t xml:space="preserve">עשית הכלי על ידי </w:t>
      </w:r>
      <w:r w:rsidRPr="005F5C49">
        <w:rPr>
          <w:rFonts w:hint="cs"/>
          <w:rtl/>
        </w:rPr>
        <w:t>הלם</w:t>
      </w:r>
      <w:r>
        <w:rPr>
          <w:rFonts w:hint="cs"/>
          <w:rtl/>
        </w:rPr>
        <w:t xml:space="preserve"> דווקא מתוארת בפסוק "ויחזק חרש את צ</w:t>
      </w:r>
      <w:r w:rsidRPr="005964F5">
        <w:rPr>
          <w:rFonts w:hint="cs"/>
          <w:spacing w:val="-10"/>
          <w:rtl/>
        </w:rPr>
        <w:t>ֹ</w:t>
      </w:r>
      <w:r>
        <w:rPr>
          <w:rtl/>
        </w:rPr>
        <w:t xml:space="preserve">רף </w:t>
      </w:r>
      <w:r>
        <w:rPr>
          <w:rFonts w:hint="cs"/>
          <w:rtl/>
        </w:rPr>
        <w:t xml:space="preserve">מחליק פטיש את </w:t>
      </w:r>
      <w:r w:rsidRPr="005F5C49">
        <w:rPr>
          <w:rFonts w:hint="cs"/>
          <w:rtl/>
        </w:rPr>
        <w:t>הולם</w:t>
      </w:r>
      <w:r>
        <w:rPr>
          <w:rFonts w:hint="cs"/>
          <w:rtl/>
        </w:rPr>
        <w:t xml:space="preserve"> פעם א</w:t>
      </w:r>
      <w:r w:rsidRPr="005964F5">
        <w:rPr>
          <w:rFonts w:hint="cs"/>
          <w:spacing w:val="-10"/>
          <w:rtl/>
        </w:rPr>
        <w:t>ֹ</w:t>
      </w:r>
      <w:r>
        <w:rPr>
          <w:rFonts w:hint="cs"/>
          <w:rtl/>
        </w:rPr>
        <w:t>מר לדבק טוב ויחזקהו במסמרים לא ימוט"</w:t>
      </w:r>
      <w:r w:rsidRPr="005316B5">
        <w:rPr>
          <w:rStyle w:val="a6"/>
          <w:rtl/>
        </w:rPr>
        <w:endnoteReference w:id="8"/>
      </w:r>
      <w:r>
        <w:rPr>
          <w:rFonts w:hint="cs"/>
          <w:rtl/>
        </w:rPr>
        <w:t>. בביאה הראשונה האיש הוא "</w:t>
      </w:r>
      <w:r w:rsidRPr="00E84990">
        <w:rPr>
          <w:rStyle w:val="a3"/>
          <w:rFonts w:hint="cs"/>
          <w:rtl/>
        </w:rPr>
        <w:t>הולם</w:t>
      </w:r>
      <w:r>
        <w:rPr>
          <w:rFonts w:hint="cs"/>
          <w:rtl/>
        </w:rPr>
        <w:t xml:space="preserve"> </w:t>
      </w:r>
      <w:r w:rsidRPr="00E84990">
        <w:rPr>
          <w:rStyle w:val="a3"/>
          <w:rFonts w:hint="cs"/>
          <w:rtl/>
        </w:rPr>
        <w:t>פעם</w:t>
      </w:r>
      <w:r>
        <w:rPr>
          <w:rFonts w:hint="cs"/>
          <w:rtl/>
        </w:rPr>
        <w:t xml:space="preserve">", אך כאשר הביאה נגמרת בכי טוב </w:t>
      </w:r>
      <w:r>
        <w:rPr>
          <w:rtl/>
        </w:rPr>
        <w:t>–</w:t>
      </w:r>
      <w:r>
        <w:rPr>
          <w:rFonts w:hint="cs"/>
          <w:rtl/>
        </w:rPr>
        <w:t xml:space="preserve"> עם כל ה</w:t>
      </w:r>
      <w:r w:rsidRPr="00E84990">
        <w:rPr>
          <w:rStyle w:val="a3"/>
          <w:rFonts w:hint="cs"/>
          <w:rtl/>
        </w:rPr>
        <w:t>הלם</w:t>
      </w:r>
      <w:r>
        <w:rPr>
          <w:rFonts w:hint="cs"/>
          <w:rtl/>
        </w:rPr>
        <w:t xml:space="preserve"> היוצר שבה </w:t>
      </w:r>
      <w:r>
        <w:rPr>
          <w:rtl/>
        </w:rPr>
        <w:t>–</w:t>
      </w:r>
      <w:r>
        <w:rPr>
          <w:rFonts w:hint="cs"/>
          <w:rtl/>
        </w:rPr>
        <w:t xml:space="preserve"> מוחש כי "זאת ה</w:t>
      </w:r>
      <w:r w:rsidRPr="00E84990">
        <w:rPr>
          <w:rStyle w:val="a3"/>
          <w:rFonts w:hint="cs"/>
          <w:rtl/>
        </w:rPr>
        <w:t>פעם</w:t>
      </w:r>
      <w:r>
        <w:rPr>
          <w:rFonts w:hint="cs"/>
          <w:rtl/>
        </w:rPr>
        <w:t xml:space="preserve"> עצם מעצמי ובשר מבשרי"</w:t>
      </w:r>
      <w:r w:rsidRPr="005316B5">
        <w:rPr>
          <w:rStyle w:val="a6"/>
          <w:rtl/>
        </w:rPr>
        <w:endnoteReference w:id="9"/>
      </w:r>
      <w:r>
        <w:rPr>
          <w:rFonts w:hint="cs"/>
          <w:rtl/>
        </w:rPr>
        <w:t xml:space="preserve"> (ועד שאף שאין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 xml:space="preserve"> מתעברת מביאה ראשונה</w:t>
      </w:r>
      <w:r w:rsidRPr="005316B5">
        <w:rPr>
          <w:rStyle w:val="a6"/>
          <w:rtl/>
        </w:rPr>
        <w:endnoteReference w:id="10"/>
      </w:r>
      <w:r>
        <w:rPr>
          <w:rFonts w:hint="cs"/>
          <w:rtl/>
        </w:rPr>
        <w:t>, יש ל"</w:t>
      </w:r>
      <w:r w:rsidRPr="00392BF5">
        <w:rPr>
          <w:rFonts w:hint="cs"/>
          <w:b/>
          <w:bCs/>
          <w:sz w:val="28"/>
          <w:szCs w:val="28"/>
          <w:rtl/>
        </w:rPr>
        <w:t>הולם</w:t>
      </w:r>
      <w:r>
        <w:rPr>
          <w:rFonts w:hint="cs"/>
          <w:rtl/>
        </w:rPr>
        <w:t xml:space="preserve"> </w:t>
      </w:r>
      <w:r w:rsidRPr="00392BF5">
        <w:rPr>
          <w:rFonts w:hint="cs"/>
          <w:b/>
          <w:bCs/>
          <w:sz w:val="28"/>
          <w:szCs w:val="28"/>
          <w:rtl/>
        </w:rPr>
        <w:t>פעם</w:t>
      </w:r>
      <w:r>
        <w:rPr>
          <w:rFonts w:hint="cs"/>
          <w:rtl/>
        </w:rPr>
        <w:t xml:space="preserve">" השפעה ברוכה גם על כל </w:t>
      </w:r>
      <w:r w:rsidRPr="00392BF5">
        <w:rPr>
          <w:rFonts w:hint="cs"/>
          <w:b/>
          <w:bCs/>
          <w:sz w:val="28"/>
          <w:szCs w:val="28"/>
          <w:rtl/>
        </w:rPr>
        <w:t>הריון</w:t>
      </w:r>
      <w:r>
        <w:rPr>
          <w:rFonts w:hint="cs"/>
          <w:rtl/>
        </w:rPr>
        <w:t xml:space="preserve"> עתידי). בביאה הראשונה נותן האיש את רוחו באשתו, ואותה "</w:t>
      </w:r>
      <w:proofErr w:type="spellStart"/>
      <w:r>
        <w:rPr>
          <w:rFonts w:hint="cs"/>
          <w:rtl/>
        </w:rPr>
        <w:t>רוחא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דשביק</w:t>
      </w:r>
      <w:proofErr w:type="spellEnd"/>
      <w:r>
        <w:rPr>
          <w:rFonts w:hint="cs"/>
          <w:rtl/>
        </w:rPr>
        <w:t xml:space="preserve"> בה בעלה"</w:t>
      </w:r>
      <w:r w:rsidRPr="005316B5">
        <w:rPr>
          <w:rStyle w:val="a6"/>
          <w:rtl/>
        </w:rPr>
        <w:endnoteReference w:id="11"/>
      </w:r>
      <w:r>
        <w:rPr>
          <w:rFonts w:hint="cs"/>
          <w:rtl/>
        </w:rPr>
        <w:t xml:space="preserve"> מתחילה </w:t>
      </w:r>
      <w:r w:rsidRPr="00E84990">
        <w:rPr>
          <w:rStyle w:val="a3"/>
          <w:rFonts w:hint="cs"/>
          <w:rtl/>
        </w:rPr>
        <w:t>לפעם</w:t>
      </w:r>
      <w:r>
        <w:rPr>
          <w:rFonts w:hint="cs"/>
          <w:rtl/>
        </w:rPr>
        <w:t xml:space="preserve"> בתוכה בכמיהה לבן זוגה (ואז היא בבחינת "ותחל רוח הוי' לפעמו"</w:t>
      </w:r>
      <w:r w:rsidRPr="005316B5">
        <w:rPr>
          <w:rStyle w:val="a6"/>
          <w:rtl/>
        </w:rPr>
        <w:endnoteReference w:id="12"/>
      </w:r>
      <w:r>
        <w:rPr>
          <w:rFonts w:hint="cs"/>
          <w:rtl/>
        </w:rPr>
        <w:t xml:space="preserve"> </w:t>
      </w:r>
      <w:r>
        <w:rPr>
          <w:rtl/>
        </w:rPr>
        <w:lastRenderedPageBreak/>
        <w:t>–</w:t>
      </w:r>
      <w:r>
        <w:rPr>
          <w:rFonts w:hint="cs"/>
          <w:rtl/>
        </w:rPr>
        <w:t xml:space="preserve"> "מלמד </w:t>
      </w:r>
      <w:proofErr w:type="spellStart"/>
      <w:r>
        <w:rPr>
          <w:rFonts w:hint="cs"/>
          <w:rtl/>
        </w:rPr>
        <w:t>שהיתה</w:t>
      </w:r>
      <w:proofErr w:type="spellEnd"/>
      <w:r>
        <w:rPr>
          <w:rFonts w:hint="cs"/>
          <w:rtl/>
        </w:rPr>
        <w:t xml:space="preserve"> שכינה [השורה ביניהם] מקשקשת לפניו כזוג [בהרגשה שזהו זיווג </w:t>
      </w:r>
      <w:proofErr w:type="spellStart"/>
      <w:r>
        <w:rPr>
          <w:rFonts w:hint="cs"/>
          <w:rtl/>
        </w:rPr>
        <w:t>אמיתי</w:t>
      </w:r>
      <w:proofErr w:type="spellEnd"/>
      <w:r>
        <w:rPr>
          <w:rFonts w:hint="cs"/>
          <w:rtl/>
        </w:rPr>
        <w:t xml:space="preserve"> ונכון]"</w:t>
      </w:r>
      <w:r w:rsidRPr="005316B5">
        <w:rPr>
          <w:rStyle w:val="a6"/>
          <w:rtl/>
        </w:rPr>
        <w:endnoteReference w:id="13"/>
      </w:r>
      <w:r>
        <w:rPr>
          <w:rFonts w:hint="cs"/>
          <w:rtl/>
        </w:rPr>
        <w:t>). אז חשים בני הזוג כי הזיווג עלה יפה, וברור ביחס לשידוך זה כי נתקיים בו מן השמים "א</w:t>
      </w:r>
      <w:r w:rsidRPr="005964F5">
        <w:rPr>
          <w:rFonts w:hint="cs"/>
          <w:spacing w:val="-10"/>
          <w:rtl/>
        </w:rPr>
        <w:t>ֹ</w:t>
      </w:r>
      <w:r>
        <w:rPr>
          <w:rFonts w:hint="cs"/>
          <w:rtl/>
        </w:rPr>
        <w:t>מר לדבק טוב הוא</w:t>
      </w:r>
      <w:r w:rsidRPr="005316B5">
        <w:rPr>
          <w:rStyle w:val="a6"/>
          <w:rtl/>
        </w:rPr>
        <w:endnoteReference w:id="14"/>
      </w:r>
      <w:r>
        <w:rPr>
          <w:rFonts w:hint="cs"/>
          <w:rtl/>
        </w:rPr>
        <w:t xml:space="preserve"> [מצד כריתת ברית הדבקות המתחוללת </w:t>
      </w:r>
      <w:proofErr w:type="spellStart"/>
      <w:r>
        <w:rPr>
          <w:rFonts w:hint="cs"/>
          <w:rtl/>
        </w:rPr>
        <w:t>בעשית</w:t>
      </w:r>
      <w:proofErr w:type="spellEnd"/>
      <w:r>
        <w:rPr>
          <w:rFonts w:hint="cs"/>
          <w:rtl/>
        </w:rPr>
        <w:t xml:space="preserve"> הכלי של הביאה הראשונה</w:t>
      </w:r>
      <w:r w:rsidRPr="005316B5">
        <w:rPr>
          <w:rStyle w:val="a6"/>
          <w:rtl/>
        </w:rPr>
        <w:endnoteReference w:id="15"/>
      </w:r>
      <w:r>
        <w:rPr>
          <w:rFonts w:hint="cs"/>
          <w:rtl/>
        </w:rPr>
        <w:t>] ויחזקהו במסמרים [דהיינו ההשפעות הפנימיות והממוקדות של הביאות בהמשך חיי הנישואין</w:t>
      </w:r>
      <w:r w:rsidRPr="005316B5">
        <w:rPr>
          <w:rStyle w:val="a6"/>
          <w:rtl/>
        </w:rPr>
        <w:endnoteReference w:id="16"/>
      </w:r>
      <w:r>
        <w:rPr>
          <w:rFonts w:hint="cs"/>
          <w:rtl/>
        </w:rPr>
        <w:t>] לא ימוט [בהתפשטות אור האהבה לשלמות של בנין עדי עד</w:t>
      </w:r>
      <w:r w:rsidRPr="005316B5">
        <w:rPr>
          <w:rStyle w:val="a6"/>
          <w:rtl/>
        </w:rPr>
        <w:endnoteReference w:id="17"/>
      </w:r>
      <w:r>
        <w:rPr>
          <w:rFonts w:hint="cs"/>
          <w:rtl/>
        </w:rPr>
        <w:t>]".</w:t>
      </w:r>
    </w:p>
    <w:p w:rsidR="00F11120" w:rsidRDefault="00F11120" w:rsidP="00F11120">
      <w:pPr>
        <w:rPr>
          <w:rFonts w:hint="cs"/>
          <w:rtl/>
        </w:rPr>
      </w:pPr>
      <w:r>
        <w:rPr>
          <w:rFonts w:hint="cs"/>
          <w:rtl/>
        </w:rPr>
        <w:t>[והנה, הפסוק מלמד כי החיזוק ל"הולם פעם" הוא מ"מחליק פטיש". רש"י מפרש: "'</w:t>
      </w:r>
      <w:r>
        <w:rPr>
          <w:rtl/>
        </w:rPr>
        <w:t>מחליק פטיש</w:t>
      </w:r>
      <w:r>
        <w:rPr>
          <w:rFonts w:hint="cs"/>
          <w:rtl/>
        </w:rPr>
        <w:t>'</w:t>
      </w:r>
      <w:r>
        <w:rPr>
          <w:rtl/>
        </w:rPr>
        <w:t xml:space="preserve"> – באחרונה</w:t>
      </w:r>
      <w:r>
        <w:rPr>
          <w:rFonts w:hint="cs"/>
          <w:rtl/>
        </w:rPr>
        <w:t>,</w:t>
      </w:r>
      <w:r>
        <w:rPr>
          <w:rtl/>
        </w:rPr>
        <w:t xml:space="preserve"> כשהוא מכה בנחת להחליק את המלאכה. </w:t>
      </w:r>
      <w:r>
        <w:rPr>
          <w:rFonts w:hint="cs"/>
          <w:rtl/>
        </w:rPr>
        <w:t>'</w:t>
      </w:r>
      <w:r>
        <w:rPr>
          <w:rtl/>
        </w:rPr>
        <w:t>את הולם פעם</w:t>
      </w:r>
      <w:r>
        <w:rPr>
          <w:rFonts w:hint="cs"/>
          <w:rtl/>
        </w:rPr>
        <w:t>'</w:t>
      </w:r>
      <w:r>
        <w:rPr>
          <w:rtl/>
        </w:rPr>
        <w:t xml:space="preserve"> – הוא המתחיל בה</w:t>
      </w:r>
      <w:r>
        <w:rPr>
          <w:rFonts w:hint="cs"/>
          <w:rtl/>
        </w:rPr>
        <w:t>,</w:t>
      </w:r>
      <w:r>
        <w:rPr>
          <w:rtl/>
        </w:rPr>
        <w:t xml:space="preserve"> כשהיא עשת</w:t>
      </w:r>
      <w:r>
        <w:rPr>
          <w:rFonts w:hint="cs"/>
          <w:rtl/>
        </w:rPr>
        <w:t>,</w:t>
      </w:r>
      <w:r>
        <w:rPr>
          <w:rtl/>
        </w:rPr>
        <w:t xml:space="preserve"> ומכה בכל </w:t>
      </w:r>
      <w:proofErr w:type="spellStart"/>
      <w:r>
        <w:rPr>
          <w:rtl/>
        </w:rPr>
        <w:t>כחו</w:t>
      </w:r>
      <w:proofErr w:type="spellEnd"/>
      <w:r>
        <w:rPr>
          <w:rFonts w:hint="cs"/>
          <w:rtl/>
        </w:rPr>
        <w:t xml:space="preserve">". פירוש זה מלמד באופן מובהק כי "הולם פעם" בחיי הנישואין הוא הבא ביאה ראשונה, המתחיל </w:t>
      </w:r>
      <w:proofErr w:type="spellStart"/>
      <w:r>
        <w:rPr>
          <w:rFonts w:hint="cs"/>
          <w:rtl/>
        </w:rPr>
        <w:t>בעשית</w:t>
      </w:r>
      <w:proofErr w:type="spellEnd"/>
      <w:r>
        <w:rPr>
          <w:rFonts w:hint="cs"/>
          <w:rtl/>
        </w:rPr>
        <w:t xml:space="preserve"> הכלי של הכלה, כשהיא עדיין "</w:t>
      </w:r>
      <w:r w:rsidRPr="00E84990">
        <w:rPr>
          <w:rStyle w:val="a3"/>
          <w:rFonts w:hint="cs"/>
          <w:rtl/>
        </w:rPr>
        <w:t>עשת</w:t>
      </w:r>
      <w:r>
        <w:rPr>
          <w:rFonts w:hint="cs"/>
          <w:rtl/>
        </w:rPr>
        <w:t xml:space="preserve">", "ומכה בכל </w:t>
      </w:r>
      <w:proofErr w:type="spellStart"/>
      <w:r>
        <w:rPr>
          <w:rFonts w:hint="cs"/>
          <w:rtl/>
        </w:rPr>
        <w:t>כחו</w:t>
      </w:r>
      <w:proofErr w:type="spellEnd"/>
      <w:r>
        <w:rPr>
          <w:rFonts w:hint="cs"/>
          <w:rtl/>
        </w:rPr>
        <w:t xml:space="preserve">" כדי לגרום לה לאבד את </w:t>
      </w:r>
      <w:r w:rsidRPr="00E84990">
        <w:rPr>
          <w:rStyle w:val="a3"/>
          <w:rFonts w:hint="cs"/>
          <w:rtl/>
        </w:rPr>
        <w:t>עשתונותיה</w:t>
      </w:r>
      <w:r>
        <w:rPr>
          <w:rFonts w:hint="cs"/>
          <w:rtl/>
        </w:rPr>
        <w:t xml:space="preserve"> עד שתשתנה לחלוטין ממציאותה הראשונה (ובכך לחשוף את ה-</w:t>
      </w:r>
      <w:r w:rsidRPr="005A3CC7">
        <w:rPr>
          <w:rFonts w:hint="cs"/>
          <w:b/>
          <w:bCs/>
          <w:sz w:val="28"/>
          <w:szCs w:val="28"/>
          <w:rtl/>
        </w:rPr>
        <w:t>א</w:t>
      </w:r>
      <w:r>
        <w:rPr>
          <w:rFonts w:hint="cs"/>
          <w:rtl/>
        </w:rPr>
        <w:t xml:space="preserve"> המסתתרת בפנימיות ה-</w:t>
      </w:r>
      <w:r w:rsidRPr="005A3CC7">
        <w:rPr>
          <w:rFonts w:hint="cs"/>
          <w:b/>
          <w:bCs/>
          <w:sz w:val="28"/>
          <w:szCs w:val="28"/>
          <w:rtl/>
        </w:rPr>
        <w:t>ע</w:t>
      </w:r>
      <w:r>
        <w:rPr>
          <w:rFonts w:hint="cs"/>
          <w:rtl/>
        </w:rPr>
        <w:t xml:space="preserve"> של ה"</w:t>
      </w:r>
      <w:r w:rsidRPr="005A3CC7">
        <w:rPr>
          <w:rFonts w:hint="cs"/>
          <w:b/>
          <w:bCs/>
          <w:sz w:val="28"/>
          <w:szCs w:val="28"/>
          <w:rtl/>
        </w:rPr>
        <w:t>עשת</w:t>
      </w:r>
      <w:r>
        <w:rPr>
          <w:rFonts w:hint="cs"/>
          <w:rtl/>
        </w:rPr>
        <w:t>", ולהפוך אותה ל"</w:t>
      </w:r>
      <w:r w:rsidRPr="005A3CC7">
        <w:rPr>
          <w:rFonts w:hint="cs"/>
          <w:b/>
          <w:bCs/>
          <w:sz w:val="28"/>
          <w:szCs w:val="28"/>
          <w:rtl/>
        </w:rPr>
        <w:t>אשת</w:t>
      </w:r>
      <w:r>
        <w:rPr>
          <w:rFonts w:hint="cs"/>
          <w:rtl/>
        </w:rPr>
        <w:t xml:space="preserve"> איש"). ה"</w:t>
      </w:r>
      <w:r w:rsidRPr="00E84990">
        <w:rPr>
          <w:rStyle w:val="a3"/>
          <w:rFonts w:hint="cs"/>
          <w:rtl/>
        </w:rPr>
        <w:t>מחליק</w:t>
      </w:r>
      <w:r>
        <w:rPr>
          <w:rFonts w:hint="cs"/>
          <w:rtl/>
        </w:rPr>
        <w:t xml:space="preserve"> </w:t>
      </w:r>
      <w:r w:rsidRPr="00E84990">
        <w:rPr>
          <w:rStyle w:val="a3"/>
          <w:rFonts w:hint="cs"/>
          <w:rtl/>
        </w:rPr>
        <w:t>פטיש</w:t>
      </w:r>
      <w:r>
        <w:rPr>
          <w:rFonts w:hint="cs"/>
          <w:rtl/>
        </w:rPr>
        <w:t xml:space="preserve">" הצריך לחזק את ה"הולם פעם" הוא הנשוי </w:t>
      </w:r>
      <w:proofErr w:type="spellStart"/>
      <w:r>
        <w:rPr>
          <w:rFonts w:hint="cs"/>
          <w:rtl/>
        </w:rPr>
        <w:t>הותיק</w:t>
      </w:r>
      <w:proofErr w:type="spellEnd"/>
      <w:r>
        <w:rPr>
          <w:rFonts w:hint="cs"/>
          <w:rtl/>
        </w:rPr>
        <w:t>, אשר בעילותיו הן כבר '</w:t>
      </w:r>
      <w:r w:rsidRPr="00E84990">
        <w:rPr>
          <w:rStyle w:val="a3"/>
          <w:rFonts w:hint="cs"/>
          <w:rtl/>
        </w:rPr>
        <w:t>חלקות</w:t>
      </w:r>
      <w:r>
        <w:rPr>
          <w:rFonts w:hint="cs"/>
          <w:rtl/>
        </w:rPr>
        <w:t>' והוא "מכה ב</w:t>
      </w:r>
      <w:r w:rsidRPr="00E84990">
        <w:rPr>
          <w:rStyle w:val="a3"/>
          <w:rFonts w:hint="cs"/>
          <w:rtl/>
        </w:rPr>
        <w:t>נחת</w:t>
      </w:r>
      <w:r>
        <w:rPr>
          <w:rFonts w:hint="cs"/>
          <w:rtl/>
        </w:rPr>
        <w:t xml:space="preserve">", מתוך תחושת ההנאה שהוא מסב לאשתו </w:t>
      </w:r>
      <w:r>
        <w:rPr>
          <w:rtl/>
        </w:rPr>
        <w:t>–</w:t>
      </w:r>
      <w:r>
        <w:rPr>
          <w:rFonts w:hint="cs"/>
          <w:rtl/>
        </w:rPr>
        <w:t xml:space="preserve"> "יחבק לה בעלה, </w:t>
      </w:r>
      <w:proofErr w:type="spellStart"/>
      <w:r>
        <w:rPr>
          <w:rFonts w:hint="cs"/>
          <w:rtl/>
        </w:rPr>
        <w:t>וביסודא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דילה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דעביד</w:t>
      </w:r>
      <w:proofErr w:type="spellEnd"/>
      <w:r>
        <w:rPr>
          <w:rFonts w:hint="cs"/>
          <w:rtl/>
        </w:rPr>
        <w:t xml:space="preserve"> </w:t>
      </w:r>
      <w:r w:rsidRPr="00E84990">
        <w:rPr>
          <w:rStyle w:val="a3"/>
          <w:rFonts w:hint="cs"/>
          <w:rtl/>
        </w:rPr>
        <w:t>ניחא</w:t>
      </w:r>
      <w:r>
        <w:rPr>
          <w:rFonts w:hint="cs"/>
          <w:rtl/>
        </w:rPr>
        <w:t xml:space="preserve"> לה, יהא </w:t>
      </w:r>
      <w:r w:rsidRPr="00E84990">
        <w:rPr>
          <w:rStyle w:val="a3"/>
          <w:rFonts w:hint="cs"/>
          <w:rtl/>
        </w:rPr>
        <w:t>כתיש</w:t>
      </w:r>
      <w:r>
        <w:rPr>
          <w:rFonts w:hint="cs"/>
          <w:rtl/>
        </w:rPr>
        <w:t xml:space="preserve"> </w:t>
      </w:r>
      <w:proofErr w:type="spellStart"/>
      <w:r w:rsidRPr="00E84990">
        <w:rPr>
          <w:rStyle w:val="a3"/>
          <w:rFonts w:hint="cs"/>
          <w:rtl/>
        </w:rPr>
        <w:t>כתישין</w:t>
      </w:r>
      <w:proofErr w:type="spellEnd"/>
      <w:r>
        <w:rPr>
          <w:rFonts w:hint="cs"/>
          <w:rtl/>
        </w:rPr>
        <w:t xml:space="preserve">" </w:t>
      </w:r>
      <w:r>
        <w:rPr>
          <w:rtl/>
        </w:rPr>
        <w:t>–</w:t>
      </w:r>
      <w:r>
        <w:rPr>
          <w:rFonts w:hint="cs"/>
          <w:rtl/>
        </w:rPr>
        <w:t xml:space="preserve"> ועליו לחזק את החתן הטרי כי בזכות ביאת </w:t>
      </w:r>
      <w:proofErr w:type="spellStart"/>
      <w:r>
        <w:rPr>
          <w:rFonts w:hint="cs"/>
          <w:rtl/>
        </w:rPr>
        <w:t>המצוה</w:t>
      </w:r>
      <w:proofErr w:type="spellEnd"/>
      <w:r>
        <w:rPr>
          <w:rFonts w:hint="cs"/>
          <w:rtl/>
        </w:rPr>
        <w:t>, שיש בה קושי וטרדה לשני בני הזוג, הם עתידים להגיע להנאה ושמחה בזיווגיהם העתידים.]</w:t>
      </w:r>
    </w:p>
    <w:p w:rsidR="005F4A47" w:rsidRDefault="001E1CB3">
      <w:bookmarkStart w:id="2" w:name="_GoBack"/>
      <w:bookmarkEnd w:id="2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CB3" w:rsidRDefault="001E1CB3" w:rsidP="00F11120">
      <w:pPr>
        <w:spacing w:after="0" w:line="240" w:lineRule="auto"/>
      </w:pPr>
      <w:r>
        <w:separator/>
      </w:r>
    </w:p>
  </w:endnote>
  <w:endnote w:type="continuationSeparator" w:id="0">
    <w:p w:rsidR="001E1CB3" w:rsidRDefault="001E1CB3" w:rsidP="00F11120">
      <w:pPr>
        <w:spacing w:after="0" w:line="240" w:lineRule="auto"/>
      </w:pPr>
      <w:r>
        <w:continuationSeparator/>
      </w:r>
    </w:p>
  </w:endnote>
  <w:endnote w:id="1">
    <w:p w:rsidR="00F11120" w:rsidRDefault="00F11120" w:rsidP="00F11120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וראה גם בספר בעתה </w:t>
      </w:r>
      <w:proofErr w:type="spellStart"/>
      <w:r>
        <w:rPr>
          <w:rFonts w:hint="cs"/>
          <w:rtl/>
        </w:rPr>
        <w:t>אחישנה</w:t>
      </w:r>
      <w:proofErr w:type="spellEnd"/>
      <w:r>
        <w:rPr>
          <w:rFonts w:hint="cs"/>
          <w:rtl/>
        </w:rPr>
        <w:t xml:space="preserve"> עמ' </w:t>
      </w:r>
      <w:proofErr w:type="spellStart"/>
      <w:r>
        <w:rPr>
          <w:rFonts w:hint="cs"/>
          <w:rtl/>
        </w:rPr>
        <w:t>שג</w:t>
      </w:r>
      <w:proofErr w:type="spellEnd"/>
      <w:r>
        <w:rPr>
          <w:rFonts w:hint="cs"/>
          <w:rtl/>
        </w:rPr>
        <w:t>.</w:t>
      </w:r>
    </w:p>
  </w:endnote>
  <w:endnote w:id="2">
    <w:p w:rsidR="00F11120" w:rsidRDefault="00F11120" w:rsidP="00F11120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נוסח ברכת האירוסין.</w:t>
      </w:r>
    </w:p>
  </w:endnote>
  <w:endnote w:id="3">
    <w:p w:rsidR="00F11120" w:rsidRDefault="00F11120" w:rsidP="00F11120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פרקי דרבי אליעזר לד.</w:t>
      </w:r>
    </w:p>
  </w:endnote>
  <w:endnote w:id="4">
    <w:p w:rsidR="00F11120" w:rsidRDefault="00F11120" w:rsidP="00F11120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וראה עוד בתורות "</w:t>
      </w:r>
      <w:proofErr w:type="spellStart"/>
      <w:r>
        <w:rPr>
          <w:rFonts w:hint="cs"/>
          <w:rtl/>
        </w:rPr>
        <w:t>איהו</w:t>
      </w:r>
      <w:proofErr w:type="spellEnd"/>
      <w:r>
        <w:rPr>
          <w:rFonts w:hint="cs"/>
          <w:rtl/>
        </w:rPr>
        <w:t xml:space="preserve"> ברוך </w:t>
      </w:r>
      <w:proofErr w:type="spellStart"/>
      <w:r>
        <w:rPr>
          <w:rFonts w:hint="cs"/>
          <w:rtl/>
        </w:rPr>
        <w:t>ואיהי</w:t>
      </w:r>
      <w:proofErr w:type="spellEnd"/>
      <w:r>
        <w:rPr>
          <w:rFonts w:hint="cs"/>
          <w:rtl/>
        </w:rPr>
        <w:t xml:space="preserve"> ברכה" </w:t>
      </w:r>
      <w:proofErr w:type="spellStart"/>
      <w:r>
        <w:rPr>
          <w:rFonts w:hint="cs"/>
          <w:rtl/>
        </w:rPr>
        <w:t>ו"לארקא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ולאמשכא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ולאנהרא</w:t>
      </w:r>
      <w:proofErr w:type="spellEnd"/>
      <w:r>
        <w:rPr>
          <w:rFonts w:hint="cs"/>
          <w:rtl/>
        </w:rPr>
        <w:t>" בשער ג.</w:t>
      </w:r>
    </w:p>
  </w:endnote>
  <w:endnote w:id="5">
    <w:p w:rsidR="00F11120" w:rsidRDefault="00F11120" w:rsidP="00F11120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תורת שלום עמ' 172-173.</w:t>
      </w:r>
    </w:p>
  </w:endnote>
  <w:endnote w:id="6">
    <w:p w:rsidR="00F11120" w:rsidRDefault="00F11120" w:rsidP="00F11120">
      <w:pPr>
        <w:pStyle w:val="a4"/>
        <w:rPr>
          <w:rFonts w:hint="cs"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משלי </w:t>
      </w:r>
      <w:proofErr w:type="spellStart"/>
      <w:r>
        <w:rPr>
          <w:rFonts w:hint="cs"/>
          <w:rtl/>
        </w:rPr>
        <w:t>יח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כב</w:t>
      </w:r>
      <w:proofErr w:type="spellEnd"/>
      <w:r>
        <w:rPr>
          <w:rFonts w:hint="cs"/>
          <w:rtl/>
        </w:rPr>
        <w:t xml:space="preserve"> (וראה שכינה ביניהם עמ' י ואילך).</w:t>
      </w:r>
    </w:p>
  </w:endnote>
  <w:endnote w:id="7">
    <w:p w:rsidR="00F11120" w:rsidRDefault="00F11120" w:rsidP="00F11120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סנהדרין </w:t>
      </w:r>
      <w:proofErr w:type="spellStart"/>
      <w:r>
        <w:rPr>
          <w:rFonts w:hint="cs"/>
          <w:rtl/>
        </w:rPr>
        <w:t>כב</w:t>
      </w:r>
      <w:proofErr w:type="spellEnd"/>
      <w:r>
        <w:rPr>
          <w:rFonts w:hint="cs"/>
          <w:rtl/>
        </w:rPr>
        <w:t>, ב.</w:t>
      </w:r>
    </w:p>
  </w:endnote>
  <w:endnote w:id="8">
    <w:p w:rsidR="00F11120" w:rsidRDefault="00F11120" w:rsidP="00F11120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ישעיה </w:t>
      </w:r>
      <w:proofErr w:type="spellStart"/>
      <w:r>
        <w:rPr>
          <w:rFonts w:hint="cs"/>
          <w:rtl/>
        </w:rPr>
        <w:t>מא</w:t>
      </w:r>
      <w:proofErr w:type="spellEnd"/>
      <w:r>
        <w:rPr>
          <w:rFonts w:hint="cs"/>
          <w:rtl/>
        </w:rPr>
        <w:t>, ז.</w:t>
      </w:r>
    </w:p>
  </w:endnote>
  <w:endnote w:id="9">
    <w:p w:rsidR="00F11120" w:rsidRDefault="00F11120" w:rsidP="00F11120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בראשית ב, </w:t>
      </w:r>
      <w:proofErr w:type="spellStart"/>
      <w:r>
        <w:rPr>
          <w:rFonts w:hint="cs"/>
          <w:rtl/>
        </w:rPr>
        <w:t>כג</w:t>
      </w:r>
      <w:proofErr w:type="spellEnd"/>
      <w:r>
        <w:rPr>
          <w:rFonts w:hint="cs"/>
          <w:rtl/>
        </w:rPr>
        <w:t>.</w:t>
      </w:r>
    </w:p>
  </w:endnote>
  <w:endnote w:id="10">
    <w:p w:rsidR="00F11120" w:rsidRDefault="00F11120" w:rsidP="00F11120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יבמות לד, ב.</w:t>
      </w:r>
    </w:p>
  </w:endnote>
  <w:endnote w:id="11">
    <w:p w:rsidR="00F11120" w:rsidRDefault="00F11120" w:rsidP="00F11120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עפ"י זהר </w:t>
      </w:r>
      <w:proofErr w:type="spellStart"/>
      <w:r>
        <w:rPr>
          <w:rFonts w:hint="cs"/>
          <w:rtl/>
        </w:rPr>
        <w:t>ח"ב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קא</w:t>
      </w:r>
      <w:proofErr w:type="spellEnd"/>
      <w:r>
        <w:rPr>
          <w:rFonts w:hint="cs"/>
          <w:rtl/>
        </w:rPr>
        <w:t>, ב (וראה ביין משמח ח"א שער ז בתורה "ואל אישך תשוקתך").</w:t>
      </w:r>
    </w:p>
  </w:endnote>
  <w:endnote w:id="12">
    <w:p w:rsidR="00F11120" w:rsidRDefault="00F11120" w:rsidP="00F11120">
      <w:pPr>
        <w:pStyle w:val="a4"/>
        <w:rPr>
          <w:rFonts w:hint="cs"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שופטים </w:t>
      </w:r>
      <w:proofErr w:type="spellStart"/>
      <w:r>
        <w:rPr>
          <w:rFonts w:hint="cs"/>
          <w:rtl/>
        </w:rPr>
        <w:t>יג</w:t>
      </w:r>
      <w:proofErr w:type="spellEnd"/>
      <w:r>
        <w:rPr>
          <w:rFonts w:hint="cs"/>
          <w:rtl/>
        </w:rPr>
        <w:t>, כה.</w:t>
      </w:r>
    </w:p>
  </w:endnote>
  <w:endnote w:id="13">
    <w:p w:rsidR="00F11120" w:rsidRDefault="00F11120" w:rsidP="00F11120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סוטה ט, ב.</w:t>
      </w:r>
    </w:p>
  </w:endnote>
  <w:endnote w:id="14">
    <w:p w:rsidR="00F11120" w:rsidRDefault="00F11120" w:rsidP="00F11120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כלשון שטר התנאים.</w:t>
      </w:r>
    </w:p>
  </w:endnote>
  <w:endnote w:id="15">
    <w:p w:rsidR="00F11120" w:rsidRDefault="00F11120" w:rsidP="00F11120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בבחינת "</w:t>
      </w:r>
      <w:proofErr w:type="spellStart"/>
      <w:r>
        <w:rPr>
          <w:rFonts w:hint="cs"/>
          <w:rtl/>
        </w:rPr>
        <w:t>לארקא</w:t>
      </w:r>
      <w:proofErr w:type="spellEnd"/>
      <w:r>
        <w:rPr>
          <w:rFonts w:hint="cs"/>
          <w:rtl/>
        </w:rPr>
        <w:t>" המבוארת לקמן שער ג בתורות "</w:t>
      </w:r>
      <w:proofErr w:type="spellStart"/>
      <w:r>
        <w:rPr>
          <w:rFonts w:hint="cs"/>
          <w:rtl/>
        </w:rPr>
        <w:t>איהו</w:t>
      </w:r>
      <w:proofErr w:type="spellEnd"/>
      <w:r>
        <w:rPr>
          <w:rFonts w:hint="cs"/>
          <w:rtl/>
        </w:rPr>
        <w:t xml:space="preserve"> ברוך </w:t>
      </w:r>
      <w:proofErr w:type="spellStart"/>
      <w:r>
        <w:rPr>
          <w:rFonts w:hint="cs"/>
          <w:rtl/>
        </w:rPr>
        <w:t>ואיהי</w:t>
      </w:r>
      <w:proofErr w:type="spellEnd"/>
      <w:r>
        <w:rPr>
          <w:rFonts w:hint="cs"/>
          <w:rtl/>
        </w:rPr>
        <w:t xml:space="preserve"> ברכה" </w:t>
      </w:r>
      <w:proofErr w:type="spellStart"/>
      <w:r>
        <w:rPr>
          <w:rFonts w:hint="cs"/>
          <w:rtl/>
        </w:rPr>
        <w:t>ו"לארקא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ולאמשכא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ולאנהרא</w:t>
      </w:r>
      <w:proofErr w:type="spellEnd"/>
      <w:r>
        <w:rPr>
          <w:rFonts w:hint="cs"/>
          <w:rtl/>
        </w:rPr>
        <w:t>".</w:t>
      </w:r>
    </w:p>
  </w:endnote>
  <w:endnote w:id="16">
    <w:p w:rsidR="00F11120" w:rsidRDefault="00F11120" w:rsidP="00F11120">
      <w:pPr>
        <w:pStyle w:val="a4"/>
        <w:rPr>
          <w:rFonts w:hint="cs"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בבחינת "</w:t>
      </w:r>
      <w:proofErr w:type="spellStart"/>
      <w:r>
        <w:rPr>
          <w:rFonts w:hint="cs"/>
          <w:rtl/>
        </w:rPr>
        <w:t>לאמשכא</w:t>
      </w:r>
      <w:proofErr w:type="spellEnd"/>
      <w:r>
        <w:rPr>
          <w:rFonts w:hint="cs"/>
          <w:rtl/>
        </w:rPr>
        <w:t>" המבוארת בתורות הנ"ל.</w:t>
      </w:r>
    </w:p>
  </w:endnote>
  <w:endnote w:id="17">
    <w:p w:rsidR="00F11120" w:rsidRDefault="00F11120" w:rsidP="00F11120">
      <w:pPr>
        <w:pStyle w:val="a4"/>
        <w:rPr>
          <w:rFonts w:hint="cs"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בבחינת "</w:t>
      </w:r>
      <w:proofErr w:type="spellStart"/>
      <w:r>
        <w:rPr>
          <w:rFonts w:hint="cs"/>
          <w:rtl/>
        </w:rPr>
        <w:t>לאנהרא</w:t>
      </w:r>
      <w:proofErr w:type="spellEnd"/>
      <w:r>
        <w:rPr>
          <w:rFonts w:hint="cs"/>
          <w:rtl/>
        </w:rPr>
        <w:t>" המבוארת בתורות הנ"ל.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CB3" w:rsidRDefault="001E1CB3" w:rsidP="00F11120">
      <w:pPr>
        <w:spacing w:after="0" w:line="240" w:lineRule="auto"/>
      </w:pPr>
      <w:r>
        <w:separator/>
      </w:r>
    </w:p>
  </w:footnote>
  <w:footnote w:type="continuationSeparator" w:id="0">
    <w:p w:rsidR="001E1CB3" w:rsidRDefault="001E1CB3" w:rsidP="00F111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43C"/>
    <w:rsid w:val="00061E65"/>
    <w:rsid w:val="001E1CB3"/>
    <w:rsid w:val="0081443C"/>
    <w:rsid w:val="00AC2310"/>
    <w:rsid w:val="00F1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F11120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F11120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F11120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F11120"/>
    <w:rPr>
      <w:rFonts w:cs="Miriam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autoRedefine/>
    <w:semiHidden/>
    <w:rsid w:val="00F11120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5">
    <w:name w:val="טקסט הערת סיום תו"/>
    <w:basedOn w:val="a0"/>
    <w:link w:val="a4"/>
    <w:semiHidden/>
    <w:rsid w:val="00F11120"/>
    <w:rPr>
      <w:rFonts w:ascii="Times New Roman" w:eastAsia="Times New Roman" w:hAnsi="Times New Roman" w:cs="FrankRuehl"/>
      <w:sz w:val="20"/>
      <w:szCs w:val="23"/>
      <w:lang w:eastAsia="he-IL"/>
    </w:rPr>
  </w:style>
  <w:style w:type="character" w:styleId="a6">
    <w:name w:val="endnote reference"/>
    <w:aliases w:val="Endnote Reference"/>
    <w:basedOn w:val="a7"/>
    <w:semiHidden/>
    <w:rsid w:val="00F11120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F11120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F11120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7">
    <w:name w:val="footnote reference"/>
    <w:basedOn w:val="a0"/>
    <w:uiPriority w:val="99"/>
    <w:semiHidden/>
    <w:unhideWhenUsed/>
    <w:rsid w:val="00F1112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F11120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F11120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F11120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F11120"/>
    <w:rPr>
      <w:rFonts w:cs="Miriam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autoRedefine/>
    <w:semiHidden/>
    <w:rsid w:val="00F11120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5">
    <w:name w:val="טקסט הערת סיום תו"/>
    <w:basedOn w:val="a0"/>
    <w:link w:val="a4"/>
    <w:semiHidden/>
    <w:rsid w:val="00F11120"/>
    <w:rPr>
      <w:rFonts w:ascii="Times New Roman" w:eastAsia="Times New Roman" w:hAnsi="Times New Roman" w:cs="FrankRuehl"/>
      <w:sz w:val="20"/>
      <w:szCs w:val="23"/>
      <w:lang w:eastAsia="he-IL"/>
    </w:rPr>
  </w:style>
  <w:style w:type="character" w:styleId="a6">
    <w:name w:val="endnote reference"/>
    <w:aliases w:val="Endnote Reference"/>
    <w:basedOn w:val="a7"/>
    <w:semiHidden/>
    <w:rsid w:val="00F11120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F11120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F11120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7">
    <w:name w:val="footnote reference"/>
    <w:basedOn w:val="a0"/>
    <w:uiPriority w:val="99"/>
    <w:semiHidden/>
    <w:unhideWhenUsed/>
    <w:rsid w:val="00F1112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\Users\user\Documents\&#1502;&#1513;&#1512;&#1491;\&#1488;&#1514;&#1512;\&#1505;&#1508;&#1512;&#1497;&#1501;%20&#1502;&#1495;&#1493;&#1500;&#1511;&#1497;&#1501;%20&#1488;\&#1497;&#1497;&#1503;%20&#1502;&#1513;&#1502;&#1495;%20&#1490;\&#1513;&#1506;&#1512;%20&#1513;&#1504;&#1497;%20&#1488;&#1490;&#1493;&#1494;%20&#1489;&#1490;&#1503;%20&#1506;&#1491;&#1503;\&#1510;&#1493;&#1512;&#1492;4.ti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2017-08-14T22:39:00Z</dcterms:created>
  <dcterms:modified xsi:type="dcterms:W3CDTF">2017-08-14T22:39:00Z</dcterms:modified>
</cp:coreProperties>
</file>