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61" w:rsidRPr="000A2158" w:rsidRDefault="00381761" w:rsidP="00381761">
      <w:pPr>
        <w:pStyle w:val="2"/>
        <w:rPr>
          <w:rFonts w:hint="cs"/>
          <w:rtl/>
        </w:rPr>
      </w:pPr>
      <w:bookmarkStart w:id="0" w:name="_Toc145068675"/>
      <w:bookmarkStart w:id="1" w:name="_Ref145068938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685800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158">
        <w:rPr>
          <w:rFonts w:hint="cs"/>
          <w:rtl/>
        </w:rPr>
        <w:t>"וכתתו חרבותם לאתים"</w:t>
      </w:r>
      <w:bookmarkEnd w:id="0"/>
      <w:bookmarkEnd w:id="1"/>
    </w:p>
    <w:p w:rsidR="00381761" w:rsidRDefault="00381761" w:rsidP="00381761">
      <w:pPr>
        <w:rPr>
          <w:rFonts w:hint="cs"/>
          <w:rtl/>
        </w:rPr>
      </w:pPr>
      <w:r>
        <w:rPr>
          <w:rFonts w:hint="cs"/>
          <w:rtl/>
        </w:rPr>
        <w:t xml:space="preserve">שר הדוק קיים בין ספירת היסוד לחרב </w:t>
      </w:r>
      <w:r>
        <w:rPr>
          <w:rtl/>
        </w:rPr>
        <w:t>–</w:t>
      </w:r>
      <w:r>
        <w:rPr>
          <w:rFonts w:hint="cs"/>
          <w:rtl/>
        </w:rPr>
        <w:t xml:space="preserve"> עצם כריתת ברית המילה נעשית באמצעות חרב ("בעת ההיא אמר הוי' אל יהושע עשה לך חרבות צֻרים ושוב מ</w:t>
      </w:r>
      <w:r w:rsidRPr="005964F5">
        <w:rPr>
          <w:rFonts w:hint="cs"/>
          <w:spacing w:val="-10"/>
          <w:rtl/>
        </w:rPr>
        <w:t>ֹ</w:t>
      </w:r>
      <w:r>
        <w:rPr>
          <w:rFonts w:hint="cs"/>
          <w:rtl/>
        </w:rPr>
        <w:t xml:space="preserve">ל את בני ישראל שנית. ויעש לו יהושע חרבות צֻרים </w:t>
      </w:r>
      <w:proofErr w:type="spellStart"/>
      <w:r>
        <w:rPr>
          <w:rFonts w:hint="cs"/>
          <w:rtl/>
        </w:rPr>
        <w:t>וימל</w:t>
      </w:r>
      <w:proofErr w:type="spellEnd"/>
      <w:r>
        <w:rPr>
          <w:rFonts w:hint="cs"/>
          <w:rtl/>
        </w:rPr>
        <w:t xml:space="preserve"> את בני ישראל אל גבעת הערלות"</w:t>
      </w:r>
      <w:r w:rsidRPr="005316B5">
        <w:rPr>
          <w:rStyle w:val="a6"/>
          <w:rtl/>
        </w:rPr>
        <w:endnoteReference w:id="1"/>
      </w:r>
      <w:r>
        <w:rPr>
          <w:rFonts w:hint="cs"/>
          <w:rtl/>
        </w:rPr>
        <w:t xml:space="preserve">), שמירת הברית נעשית בגבורת החרב (כפירוש הפנימי לפסוק "חגור חרבך על ירך </w:t>
      </w:r>
      <w:proofErr w:type="spellStart"/>
      <w:r>
        <w:rPr>
          <w:rFonts w:hint="cs"/>
          <w:rtl/>
        </w:rPr>
        <w:t>גבור</w:t>
      </w:r>
      <w:proofErr w:type="spellEnd"/>
      <w:r>
        <w:rPr>
          <w:rFonts w:hint="cs"/>
          <w:rtl/>
        </w:rPr>
        <w:t>"</w:t>
      </w:r>
      <w:r w:rsidRPr="005316B5">
        <w:rPr>
          <w:rStyle w:val="a6"/>
          <w:rtl/>
        </w:rPr>
        <w:endnoteReference w:id="2"/>
      </w:r>
      <w:r>
        <w:rPr>
          <w:rFonts w:hint="cs"/>
          <w:rtl/>
        </w:rPr>
        <w:t>), על פגם הברית נענשים בחרב ("חרב נ</w:t>
      </w:r>
      <w:r w:rsidRPr="005964F5">
        <w:rPr>
          <w:rFonts w:hint="cs"/>
          <w:spacing w:val="-10"/>
          <w:rtl/>
        </w:rPr>
        <w:t>ֹ</w:t>
      </w:r>
      <w:r>
        <w:rPr>
          <w:rFonts w:hint="cs"/>
          <w:rtl/>
        </w:rPr>
        <w:t>קמת נקם ברית"</w:t>
      </w:r>
      <w:r w:rsidRPr="005316B5">
        <w:rPr>
          <w:rStyle w:val="a6"/>
          <w:rtl/>
        </w:rPr>
        <w:endnoteReference w:id="3"/>
      </w:r>
      <w:r>
        <w:rPr>
          <w:rFonts w:hint="cs"/>
          <w:rtl/>
        </w:rPr>
        <w:t xml:space="preserve">), תיקון החיצונים </w:t>
      </w:r>
      <w:proofErr w:type="spellStart"/>
      <w:r>
        <w:rPr>
          <w:rFonts w:hint="cs"/>
          <w:rtl/>
        </w:rPr>
        <w:t>שנתהוו</w:t>
      </w:r>
      <w:proofErr w:type="spellEnd"/>
      <w:r>
        <w:rPr>
          <w:rFonts w:hint="cs"/>
          <w:rtl/>
        </w:rPr>
        <w:t xml:space="preserve"> על ידי פגם הברית הוא באמצעות חרב ("כל הקורא קריאת שמע על </w:t>
      </w:r>
      <w:proofErr w:type="spellStart"/>
      <w:r>
        <w:rPr>
          <w:rFonts w:hint="cs"/>
          <w:rtl/>
        </w:rPr>
        <w:t>מטתו</w:t>
      </w:r>
      <w:proofErr w:type="spellEnd"/>
      <w:r>
        <w:rPr>
          <w:rFonts w:hint="cs"/>
          <w:rtl/>
        </w:rPr>
        <w:t xml:space="preserve"> כאילו אוחז חרב של שתי פיות בידו [להרוג את החיצונים </w:t>
      </w:r>
      <w:proofErr w:type="spellStart"/>
      <w:r>
        <w:rPr>
          <w:rFonts w:hint="cs"/>
          <w:rtl/>
        </w:rPr>
        <w:t>שנתהוו</w:t>
      </w:r>
      <w:proofErr w:type="spellEnd"/>
      <w:r>
        <w:rPr>
          <w:rFonts w:hint="cs"/>
          <w:rtl/>
        </w:rPr>
        <w:t xml:space="preserve"> מפגם הברית</w:t>
      </w:r>
      <w:r w:rsidRPr="005316B5">
        <w:rPr>
          <w:rStyle w:val="a6"/>
          <w:rtl/>
        </w:rPr>
        <w:endnoteReference w:id="4"/>
      </w:r>
      <w:r>
        <w:rPr>
          <w:rFonts w:hint="cs"/>
          <w:rtl/>
        </w:rPr>
        <w:t>]"</w:t>
      </w:r>
      <w:r w:rsidRPr="005316B5">
        <w:rPr>
          <w:rStyle w:val="a6"/>
          <w:rtl/>
        </w:rPr>
        <w:endnoteReference w:id="5"/>
      </w:r>
      <w:r>
        <w:rPr>
          <w:rFonts w:hint="cs"/>
          <w:rtl/>
        </w:rPr>
        <w:t>) ואף מצינו כי הברית עצמה מכונה חרב</w:t>
      </w:r>
      <w:r w:rsidRPr="005316B5">
        <w:rPr>
          <w:rStyle w:val="a6"/>
          <w:rtl/>
        </w:rPr>
        <w:endnoteReference w:id="6"/>
      </w:r>
      <w:r>
        <w:rPr>
          <w:rFonts w:hint="cs"/>
          <w:rtl/>
        </w:rPr>
        <w:t xml:space="preserve"> (ואף ניתן לכנותה בכללות יותר "כלי זין"</w:t>
      </w:r>
      <w:r w:rsidRPr="005316B5">
        <w:rPr>
          <w:rStyle w:val="a6"/>
          <w:rtl/>
        </w:rPr>
        <w:endnoteReference w:id="7"/>
      </w:r>
      <w:r>
        <w:rPr>
          <w:rFonts w:hint="cs"/>
          <w:rtl/>
        </w:rPr>
        <w:t>).</w:t>
      </w:r>
    </w:p>
    <w:p w:rsidR="00381761" w:rsidRDefault="00381761" w:rsidP="00381761">
      <w:pPr>
        <w:rPr>
          <w:rFonts w:hint="cs"/>
          <w:rtl/>
        </w:rPr>
      </w:pPr>
      <w:r>
        <w:rPr>
          <w:rFonts w:hint="cs"/>
          <w:rtl/>
        </w:rPr>
        <w:t xml:space="preserve">עד החתונה צריך החתן </w:t>
      </w:r>
      <w:proofErr w:type="spellStart"/>
      <w:r>
        <w:rPr>
          <w:rFonts w:hint="cs"/>
          <w:rtl/>
        </w:rPr>
        <w:t>להזהר</w:t>
      </w:r>
      <w:proofErr w:type="spellEnd"/>
      <w:r>
        <w:rPr>
          <w:rFonts w:hint="cs"/>
          <w:rtl/>
        </w:rPr>
        <w:t xml:space="preserve"> בשמירת הברית כמי ש"חרב מונחת לו בין </w:t>
      </w:r>
      <w:proofErr w:type="spellStart"/>
      <w:r>
        <w:rPr>
          <w:rFonts w:hint="cs"/>
          <w:rtl/>
        </w:rPr>
        <w:t>ירכותיו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וגיהנם</w:t>
      </w:r>
      <w:proofErr w:type="spellEnd"/>
      <w:r>
        <w:rPr>
          <w:rFonts w:hint="cs"/>
          <w:rtl/>
        </w:rPr>
        <w:t xml:space="preserve"> פתוחה לו מתחתיו"</w:t>
      </w:r>
      <w:r w:rsidRPr="005316B5">
        <w:rPr>
          <w:rStyle w:val="a6"/>
          <w:rtl/>
        </w:rPr>
        <w:endnoteReference w:id="8"/>
      </w:r>
      <w:r>
        <w:rPr>
          <w:rFonts w:hint="cs"/>
          <w:rtl/>
        </w:rPr>
        <w:t xml:space="preserve">. אך בליל החתונה צריך לחול שינוי אצל החתן, כאשר עליו לקדש את בריתו באופן פעיל (ולא רק לשמור אותה מאיסור) ולבעול בעילת מצוה </w:t>
      </w:r>
      <w:r>
        <w:rPr>
          <w:rtl/>
        </w:rPr>
        <w:t>–</w:t>
      </w:r>
      <w:r>
        <w:rPr>
          <w:rFonts w:hint="cs"/>
          <w:rtl/>
        </w:rPr>
        <w:t xml:space="preserve"> אז עליו לשלוף את חרבו-בריתו משמירתה ולהשתמש בה (ויש לדרוש כי אם אין הוא משתדל בכך בתוקף הראוי, ואינו שובר את הבתולים ושופך את דם הבתולים, אלא מהסס ו'משחק'</w:t>
      </w:r>
      <w:r w:rsidRPr="005316B5">
        <w:rPr>
          <w:rStyle w:val="a6"/>
          <w:rtl/>
        </w:rPr>
        <w:endnoteReference w:id="9"/>
      </w:r>
      <w:r>
        <w:rPr>
          <w:rFonts w:hint="cs"/>
          <w:rtl/>
        </w:rPr>
        <w:t>, נאמר עליו "ארור מ</w:t>
      </w:r>
      <w:r w:rsidRPr="005964F5">
        <w:rPr>
          <w:rFonts w:hint="cs"/>
          <w:spacing w:val="-10"/>
          <w:rtl/>
        </w:rPr>
        <w:t>ֹ</w:t>
      </w:r>
      <w:r>
        <w:rPr>
          <w:rFonts w:hint="cs"/>
          <w:rtl/>
        </w:rPr>
        <w:t>נע חרבו מדם"</w:t>
      </w:r>
      <w:r w:rsidRPr="005316B5">
        <w:rPr>
          <w:rStyle w:val="a6"/>
          <w:rtl/>
        </w:rPr>
        <w:endnoteReference w:id="10"/>
      </w:r>
      <w:r>
        <w:rPr>
          <w:rFonts w:hint="cs"/>
          <w:rtl/>
        </w:rPr>
        <w:t xml:space="preserve">). לפי זה, על בעילת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 xml:space="preserve"> יש לדרוש את הפסוק "אריק חרבי"</w:t>
      </w:r>
      <w:r w:rsidRPr="005316B5">
        <w:rPr>
          <w:rStyle w:val="a6"/>
          <w:rtl/>
        </w:rPr>
        <w:endnoteReference w:id="11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צריך החתן לקיים בעצמו "</w:t>
      </w:r>
      <w:proofErr w:type="spellStart"/>
      <w:r>
        <w:rPr>
          <w:rFonts w:hint="cs"/>
          <w:rtl/>
        </w:rPr>
        <w:t>והריק</w:t>
      </w:r>
      <w:r w:rsidRPr="005964F5">
        <w:rPr>
          <w:rFonts w:hint="cs"/>
          <w:spacing w:val="-10"/>
          <w:rtl/>
        </w:rPr>
        <w:t>ֹ</w:t>
      </w:r>
      <w:r>
        <w:rPr>
          <w:rFonts w:hint="cs"/>
          <w:rtl/>
        </w:rPr>
        <w:t>תי</w:t>
      </w:r>
      <w:proofErr w:type="spellEnd"/>
      <w:r>
        <w:rPr>
          <w:rFonts w:hint="cs"/>
          <w:rtl/>
        </w:rPr>
        <w:t xml:space="preserve"> לכם ברכה עד בלי די"</w:t>
      </w:r>
      <w:r w:rsidRPr="005316B5">
        <w:rPr>
          <w:rStyle w:val="a6"/>
          <w:rtl/>
        </w:rPr>
        <w:endnoteReference w:id="12"/>
      </w:r>
      <w:r>
        <w:rPr>
          <w:rFonts w:hint="cs"/>
          <w:rtl/>
        </w:rPr>
        <w:t>, כשהוא מעניק את טובו וברכתו לכלתו (וכפי שמתוארת השפעה שכזו בלשון הזהר</w:t>
      </w:r>
      <w:r w:rsidRPr="005316B5">
        <w:rPr>
          <w:rStyle w:val="a6"/>
          <w:rtl/>
        </w:rPr>
        <w:endnoteReference w:id="13"/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כ"לארקא</w:t>
      </w:r>
      <w:proofErr w:type="spellEnd"/>
      <w:r>
        <w:rPr>
          <w:rFonts w:hint="cs"/>
          <w:rtl/>
        </w:rPr>
        <w:t xml:space="preserve">"), עד שהוא עצמו נותר ריקן מכל וכל אחר שמסר לה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בשלמות (וכפירוש רש"י על "אריק חרבי"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r>
        <w:rPr>
          <w:rtl/>
        </w:rPr>
        <w:t>אשלוף</w:t>
      </w:r>
      <w:r>
        <w:rPr>
          <w:rFonts w:hint="cs"/>
          <w:rtl/>
        </w:rPr>
        <w:t>,</w:t>
      </w:r>
      <w:r>
        <w:rPr>
          <w:rtl/>
        </w:rPr>
        <w:t xml:space="preserve"> ועל שם שהוא מריק את התער בשליפתו ונשאר ריק נופל בו לשון הרקה</w:t>
      </w:r>
      <w:r>
        <w:rPr>
          <w:rFonts w:hint="cs"/>
          <w:rtl/>
        </w:rPr>
        <w:t>").</w:t>
      </w:r>
    </w:p>
    <w:p w:rsidR="00381761" w:rsidRDefault="00381761" w:rsidP="00381761">
      <w:pPr>
        <w:rPr>
          <w:rFonts w:hint="cs"/>
          <w:rtl/>
        </w:rPr>
      </w:pPr>
      <w:r>
        <w:rPr>
          <w:rFonts w:hint="cs"/>
          <w:rtl/>
        </w:rPr>
        <w:t xml:space="preserve">בבעילת מצוה, שתכליתה שבירת הבתולים, יש ממד של תהו (שהרי כל שבירה קשורה עם שבירת הכלים שהתחוללה בעולם </w:t>
      </w:r>
      <w:proofErr w:type="spellStart"/>
      <w:r>
        <w:rPr>
          <w:rFonts w:hint="cs"/>
          <w:rtl/>
        </w:rPr>
        <w:t>התהו</w:t>
      </w:r>
      <w:proofErr w:type="spellEnd"/>
      <w:r>
        <w:rPr>
          <w:rFonts w:hint="cs"/>
          <w:rtl/>
        </w:rPr>
        <w:t>)</w:t>
      </w:r>
      <w:r w:rsidRPr="005316B5">
        <w:rPr>
          <w:rStyle w:val="a6"/>
          <w:rtl/>
        </w:rPr>
        <w:endnoteReference w:id="14"/>
      </w:r>
      <w:r>
        <w:rPr>
          <w:rFonts w:hint="cs"/>
          <w:rtl/>
        </w:rPr>
        <w:t>, ועל כן בהרקת ה</w:t>
      </w:r>
      <w:r w:rsidRPr="00E84990">
        <w:rPr>
          <w:rStyle w:val="a3"/>
          <w:rFonts w:hint="cs"/>
          <w:rtl/>
        </w:rPr>
        <w:t>חרב</w:t>
      </w:r>
      <w:r>
        <w:rPr>
          <w:rFonts w:hint="cs"/>
          <w:rtl/>
        </w:rPr>
        <w:t xml:space="preserve"> יש משמעות של </w:t>
      </w:r>
      <w:r w:rsidRPr="00E84990">
        <w:rPr>
          <w:rStyle w:val="a3"/>
          <w:rFonts w:hint="cs"/>
          <w:rtl/>
        </w:rPr>
        <w:t>חורבן</w:t>
      </w:r>
      <w:r>
        <w:rPr>
          <w:rFonts w:hint="cs"/>
          <w:rtl/>
        </w:rPr>
        <w:t xml:space="preserve">. אמנם, אסור לה לחרב </w:t>
      </w:r>
      <w:proofErr w:type="spellStart"/>
      <w:r>
        <w:rPr>
          <w:rFonts w:hint="cs"/>
          <w:rtl/>
        </w:rPr>
        <w:t>שתשאר</w:t>
      </w:r>
      <w:proofErr w:type="spellEnd"/>
      <w:r>
        <w:rPr>
          <w:rFonts w:hint="cs"/>
          <w:rtl/>
        </w:rPr>
        <w:t xml:space="preserve"> כלי משחית חס ושלום. תכלית הזיווג היא להפוך את בחינת ה</w:t>
      </w:r>
      <w:r w:rsidRPr="002B1173">
        <w:rPr>
          <w:rFonts w:hint="cs"/>
          <w:b/>
          <w:bCs/>
          <w:sz w:val="28"/>
          <w:szCs w:val="28"/>
          <w:rtl/>
        </w:rPr>
        <w:t>חרב</w:t>
      </w:r>
      <w:r>
        <w:rPr>
          <w:rFonts w:hint="cs"/>
          <w:rtl/>
        </w:rPr>
        <w:t xml:space="preserve"> שביסוד ל</w:t>
      </w:r>
      <w:r w:rsidRPr="002B1173">
        <w:rPr>
          <w:rFonts w:hint="cs"/>
          <w:b/>
          <w:bCs/>
          <w:sz w:val="28"/>
          <w:szCs w:val="28"/>
          <w:rtl/>
        </w:rPr>
        <w:t>חבר</w:t>
      </w:r>
      <w:r>
        <w:rPr>
          <w:rFonts w:hint="cs"/>
          <w:rtl/>
        </w:rPr>
        <w:t xml:space="preserve"> – </w:t>
      </w:r>
      <w:proofErr w:type="spellStart"/>
      <w:r>
        <w:rPr>
          <w:rFonts w:hint="cs"/>
          <w:rtl/>
        </w:rPr>
        <w:t>לכח</w:t>
      </w:r>
      <w:proofErr w:type="spellEnd"/>
      <w:r>
        <w:rPr>
          <w:rFonts w:hint="cs"/>
          <w:rtl/>
        </w:rPr>
        <w:t xml:space="preserve"> חיבור חברי וממותק, הפועל את החיבור האוהב בין בני הזוג. בבעילת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 xml:space="preserve"> מתחולל המהפך התודעתי, כשבני הזוג מפסיקים לתפוס את הברית כחרב מאיימת (כפי </w:t>
      </w:r>
      <w:proofErr w:type="spellStart"/>
      <w:r>
        <w:rPr>
          <w:rFonts w:hint="cs"/>
          <w:rtl/>
        </w:rPr>
        <w:t>שהיתה</w:t>
      </w:r>
      <w:proofErr w:type="spellEnd"/>
      <w:r>
        <w:rPr>
          <w:rFonts w:hint="cs"/>
          <w:rtl/>
        </w:rPr>
        <w:t xml:space="preserve"> עד כה, חרב המאיימת ברוחניות על הבחור הכשר, וחרב המאיימת גם בגשמיות על הבחורה הצנועה), ומגלים כי היא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מתוק של חיבור ואהבה (עד שגם להלכה "מותר לבעול </w:t>
      </w:r>
      <w:proofErr w:type="spellStart"/>
      <w:r>
        <w:rPr>
          <w:rFonts w:hint="cs"/>
          <w:rtl/>
        </w:rPr>
        <w:t>לכתחלה</w:t>
      </w:r>
      <w:proofErr w:type="spellEnd"/>
      <w:r>
        <w:rPr>
          <w:rFonts w:hint="cs"/>
          <w:rtl/>
        </w:rPr>
        <w:t xml:space="preserve"> בשבת ואין בזה לא משום חובל ולא משום צער לה"</w:t>
      </w:r>
      <w:r w:rsidRPr="005316B5">
        <w:rPr>
          <w:rStyle w:val="a6"/>
          <w:rtl/>
        </w:rPr>
        <w:endnoteReference w:id="15"/>
      </w:r>
      <w:r>
        <w:rPr>
          <w:rFonts w:hint="cs"/>
          <w:rtl/>
        </w:rPr>
        <w:t xml:space="preserve">). </w:t>
      </w:r>
    </w:p>
    <w:p w:rsidR="00381761" w:rsidRPr="00B02D0F" w:rsidRDefault="00381761" w:rsidP="00381761">
      <w:pPr>
        <w:rPr>
          <w:rFonts w:hint="cs"/>
          <w:rtl/>
        </w:rPr>
      </w:pPr>
      <w:r>
        <w:rPr>
          <w:rFonts w:hint="cs"/>
          <w:rtl/>
        </w:rPr>
        <w:t xml:space="preserve">דווקא מתוך כריתת הברית באמצעות חרב זו, כאשר "אין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כורתת ברית אלא למי </w:t>
      </w:r>
      <w:proofErr w:type="spellStart"/>
      <w:r>
        <w:rPr>
          <w:rFonts w:hint="cs"/>
          <w:rtl/>
        </w:rPr>
        <w:t>שעשאה</w:t>
      </w:r>
      <w:proofErr w:type="spellEnd"/>
      <w:r>
        <w:rPr>
          <w:rFonts w:hint="cs"/>
          <w:rtl/>
        </w:rPr>
        <w:t xml:space="preserve"> כלי"</w:t>
      </w:r>
      <w:r w:rsidRPr="005316B5">
        <w:rPr>
          <w:rStyle w:val="a6"/>
          <w:rtl/>
        </w:rPr>
        <w:endnoteReference w:id="16"/>
      </w:r>
      <w:r>
        <w:rPr>
          <w:rFonts w:hint="cs"/>
          <w:rtl/>
        </w:rPr>
        <w:t xml:space="preserve">, מתקיים בה היעוד העתידי של "וכתתו </w:t>
      </w:r>
      <w:proofErr w:type="spellStart"/>
      <w:r>
        <w:rPr>
          <w:rFonts w:hint="cs"/>
          <w:rtl/>
        </w:rPr>
        <w:t>חרבותם</w:t>
      </w:r>
      <w:proofErr w:type="spellEnd"/>
      <w:r>
        <w:rPr>
          <w:rFonts w:hint="cs"/>
          <w:rtl/>
        </w:rPr>
        <w:t xml:space="preserve"> לאתים"</w:t>
      </w:r>
      <w:r w:rsidRPr="005316B5">
        <w:rPr>
          <w:rStyle w:val="a6"/>
          <w:rtl/>
        </w:rPr>
        <w:endnoteReference w:id="17"/>
      </w:r>
      <w:r>
        <w:rPr>
          <w:rFonts w:hint="cs"/>
          <w:rtl/>
        </w:rPr>
        <w:t>: הפיכת החרב ל</w:t>
      </w:r>
      <w:r w:rsidRPr="00E84990">
        <w:rPr>
          <w:rStyle w:val="a3"/>
          <w:rFonts w:hint="cs"/>
          <w:rtl/>
        </w:rPr>
        <w:t>אֵת</w:t>
      </w:r>
      <w:r>
        <w:rPr>
          <w:rFonts w:hint="cs"/>
          <w:rtl/>
        </w:rPr>
        <w:t xml:space="preserve"> היא התאמת חרבו-בריתו של החתן אל כלתו, כאשר הוא מכיר שעומדת מולו "</w:t>
      </w:r>
      <w:r w:rsidRPr="00E84990">
        <w:rPr>
          <w:rStyle w:val="a3"/>
          <w:rFonts w:hint="cs"/>
          <w:rtl/>
        </w:rPr>
        <w:t>אַת</w:t>
      </w:r>
      <w:r>
        <w:rPr>
          <w:rFonts w:hint="cs"/>
          <w:rtl/>
        </w:rPr>
        <w:t xml:space="preserve">" שאליה עליו להתאים עצמו (ועד שהיא חזות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בעיניו, והוא אומר לה </w:t>
      </w:r>
      <w:r>
        <w:rPr>
          <w:rtl/>
        </w:rPr>
        <w:t>–</w:t>
      </w:r>
      <w:r>
        <w:rPr>
          <w:rFonts w:hint="cs"/>
          <w:rtl/>
        </w:rPr>
        <w:t xml:space="preserve"> בשינוי חיתוך האותיות והמלים </w:t>
      </w:r>
      <w:r>
        <w:rPr>
          <w:rFonts w:hint="cs"/>
          <w:rtl/>
        </w:rPr>
        <w:lastRenderedPageBreak/>
        <w:t xml:space="preserve">בפסוק הראשון בתורה </w:t>
      </w:r>
      <w:r>
        <w:rPr>
          <w:rtl/>
        </w:rPr>
        <w:t>–</w:t>
      </w:r>
      <w:r>
        <w:rPr>
          <w:rFonts w:hint="cs"/>
          <w:rtl/>
        </w:rPr>
        <w:t xml:space="preserve"> "אַת השמים ואַת הארץ"). מתוך התאמה זו שוב אין בעילת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 xml:space="preserve"> נתפסת כמעשה אלים של חרב המבתקת את הבתולים, ח"ו, ומתברר כי הברית מתפקדת כאֵת חפירה שיעודה לחפור בכלה "באר מים חיים"</w:t>
      </w:r>
      <w:r w:rsidRPr="005316B5">
        <w:rPr>
          <w:rStyle w:val="a6"/>
          <w:rtl/>
        </w:rPr>
        <w:endnoteReference w:id="18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"באר חפרוה שרים כרוה נדיבי עם </w:t>
      </w:r>
      <w:proofErr w:type="spellStart"/>
      <w:r w:rsidRPr="00B02D0F">
        <w:rPr>
          <w:rFonts w:hint="cs"/>
          <w:rtl/>
        </w:rPr>
        <w:t>במח</w:t>
      </w:r>
      <w:r w:rsidRPr="005964F5">
        <w:rPr>
          <w:rFonts w:hint="cs"/>
          <w:spacing w:val="-10"/>
          <w:rtl/>
        </w:rPr>
        <w:t>ֹ</w:t>
      </w:r>
      <w:r w:rsidRPr="00C1112E">
        <w:rPr>
          <w:rFonts w:hint="cs"/>
          <w:spacing w:val="-6"/>
          <w:rtl/>
        </w:rPr>
        <w:t>ק</w:t>
      </w:r>
      <w:r w:rsidRPr="00B02D0F">
        <w:rPr>
          <w:rFonts w:hint="cs"/>
          <w:rtl/>
        </w:rPr>
        <w:t>ק</w:t>
      </w:r>
      <w:proofErr w:type="spellEnd"/>
      <w:r w:rsidRPr="00B02D0F">
        <w:rPr>
          <w:rFonts w:hint="cs"/>
          <w:rtl/>
        </w:rPr>
        <w:t xml:space="preserve"> במשענ</w:t>
      </w:r>
      <w:r w:rsidRPr="005964F5">
        <w:rPr>
          <w:rFonts w:hint="cs"/>
          <w:spacing w:val="-10"/>
          <w:rtl/>
        </w:rPr>
        <w:t>ֹ</w:t>
      </w:r>
      <w:r w:rsidRPr="00B02D0F">
        <w:rPr>
          <w:rFonts w:hint="cs"/>
          <w:rtl/>
        </w:rPr>
        <w:t>תם"</w:t>
      </w:r>
      <w:r w:rsidRPr="005316B5">
        <w:rPr>
          <w:rStyle w:val="a6"/>
          <w:rtl/>
        </w:rPr>
        <w:endnoteReference w:id="19"/>
      </w:r>
      <w:r w:rsidRPr="00B02D0F">
        <w:rPr>
          <w:rFonts w:hint="cs"/>
          <w:rtl/>
        </w:rPr>
        <w:t xml:space="preserve"> </w:t>
      </w:r>
      <w:r w:rsidRPr="00B02D0F">
        <w:rPr>
          <w:rtl/>
        </w:rPr>
        <w:t>–</w:t>
      </w:r>
      <w:r w:rsidRPr="00B02D0F">
        <w:rPr>
          <w:rFonts w:hint="cs"/>
          <w:rtl/>
        </w:rPr>
        <w:t xml:space="preserve"> ובכך לעשותה "כלי מחזיק ברכה" למשך כל חיי הנישואין. </w:t>
      </w:r>
    </w:p>
    <w:p w:rsidR="00381761" w:rsidRPr="00B02D0F" w:rsidRDefault="00381761" w:rsidP="00381761">
      <w:pPr>
        <w:rPr>
          <w:rFonts w:hint="cs"/>
          <w:rtl/>
        </w:rPr>
      </w:pPr>
      <w:r w:rsidRPr="00B02D0F">
        <w:rPr>
          <w:rFonts w:hint="cs"/>
          <w:rtl/>
        </w:rPr>
        <w:t>[ויש לדרוש את המשך הפסוק – "וחניתותיהם למזמרות" – כי את ה</w:t>
      </w:r>
      <w:r w:rsidRPr="00E84990">
        <w:rPr>
          <w:rStyle w:val="a3"/>
          <w:rFonts w:hint="cs"/>
          <w:rtl/>
        </w:rPr>
        <w:t>חנית</w:t>
      </w:r>
      <w:r w:rsidRPr="00B02D0F">
        <w:rPr>
          <w:rFonts w:hint="cs"/>
          <w:rtl/>
        </w:rPr>
        <w:t xml:space="preserve"> בה משתמש ה</w:t>
      </w:r>
      <w:r w:rsidRPr="00E84990">
        <w:rPr>
          <w:rStyle w:val="a3"/>
          <w:rFonts w:hint="cs"/>
          <w:rtl/>
        </w:rPr>
        <w:t>חתן</w:t>
      </w:r>
      <w:r w:rsidRPr="00B02D0F">
        <w:rPr>
          <w:rFonts w:hint="cs"/>
          <w:rtl/>
        </w:rPr>
        <w:t xml:space="preserve"> בראשית נישואיו, כאשר הקשר בין בני הזוג הוא חד וחלק, יש להפוך בהמשך למזמרה המכריתה ומזמרת את הקוצים הסובבים לשושנה העליונה</w:t>
      </w:r>
      <w:r w:rsidRPr="005316B5">
        <w:rPr>
          <w:rStyle w:val="a6"/>
          <w:rtl/>
        </w:rPr>
        <w:endnoteReference w:id="20"/>
      </w:r>
      <w:r w:rsidRPr="00B02D0F">
        <w:rPr>
          <w:rFonts w:hint="cs"/>
          <w:rtl/>
        </w:rPr>
        <w:t>. כאשר מתעצלים מלחדש תמיד את קשר האהבה והנישואין עולים בחיי הזוג חוחים וקמשונים</w:t>
      </w:r>
      <w:r w:rsidRPr="005316B5">
        <w:rPr>
          <w:rStyle w:val="a6"/>
          <w:rtl/>
        </w:rPr>
        <w:endnoteReference w:id="21"/>
      </w:r>
      <w:r w:rsidRPr="00B02D0F">
        <w:rPr>
          <w:rFonts w:hint="cs"/>
          <w:rtl/>
        </w:rPr>
        <w:t xml:space="preserve"> ואזי יש להשתמש ב</w:t>
      </w:r>
      <w:r w:rsidRPr="00E84990">
        <w:rPr>
          <w:rStyle w:val="a3"/>
          <w:rFonts w:hint="cs"/>
          <w:rtl/>
        </w:rPr>
        <w:t>מזמרה</w:t>
      </w:r>
      <w:r w:rsidRPr="00B02D0F">
        <w:rPr>
          <w:rFonts w:hint="cs"/>
          <w:rtl/>
        </w:rPr>
        <w:t xml:space="preserve"> – להחדיר שוב לחיי הנישואין "רוב שירה ו</w:t>
      </w:r>
      <w:r w:rsidRPr="00E84990">
        <w:rPr>
          <w:rStyle w:val="a3"/>
          <w:rFonts w:hint="cs"/>
          <w:rtl/>
        </w:rPr>
        <w:t>זמרה</w:t>
      </w:r>
      <w:r w:rsidRPr="00B02D0F">
        <w:rPr>
          <w:rFonts w:hint="cs"/>
          <w:rtl/>
        </w:rPr>
        <w:t>"</w:t>
      </w:r>
      <w:r w:rsidRPr="005316B5">
        <w:rPr>
          <w:rStyle w:val="a6"/>
          <w:rtl/>
        </w:rPr>
        <w:endnoteReference w:id="22"/>
      </w:r>
      <w:r w:rsidRPr="00B02D0F">
        <w:rPr>
          <w:rFonts w:hint="cs"/>
          <w:rtl/>
        </w:rPr>
        <w:t xml:space="preserve"> ובכך להתגבר על ההתיישנות ולהצמיח מחדש את האהבה.] </w:t>
      </w:r>
    </w:p>
    <w:p w:rsidR="005F4A47" w:rsidRDefault="00B5623E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23E" w:rsidRDefault="00B5623E" w:rsidP="00381761">
      <w:pPr>
        <w:spacing w:after="0" w:line="240" w:lineRule="auto"/>
      </w:pPr>
      <w:r>
        <w:separator/>
      </w:r>
    </w:p>
  </w:endnote>
  <w:endnote w:type="continuationSeparator" w:id="0">
    <w:p w:rsidR="00B5623E" w:rsidRDefault="00B5623E" w:rsidP="00381761">
      <w:pPr>
        <w:spacing w:after="0" w:line="240" w:lineRule="auto"/>
      </w:pPr>
      <w:r>
        <w:continuationSeparator/>
      </w:r>
    </w:p>
  </w:endnote>
  <w:endnote w:id="1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יהושע ה, ב-ג.</w:t>
      </w:r>
    </w:p>
  </w:endnote>
  <w:endnote w:id="2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תהלים מה, ד. וראה זהר ח"א </w:t>
      </w:r>
      <w:proofErr w:type="spellStart"/>
      <w:r>
        <w:rPr>
          <w:rFonts w:hint="cs"/>
          <w:rtl/>
        </w:rPr>
        <w:t>רמ</w:t>
      </w:r>
      <w:proofErr w:type="spellEnd"/>
      <w:r>
        <w:rPr>
          <w:rFonts w:hint="cs"/>
          <w:rtl/>
        </w:rPr>
        <w:t xml:space="preserve">, ב;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סא</w:t>
      </w:r>
      <w:proofErr w:type="spellEnd"/>
      <w:r>
        <w:rPr>
          <w:rFonts w:hint="cs"/>
          <w:rtl/>
        </w:rPr>
        <w:t>, א ובכ"ד.</w:t>
      </w:r>
    </w:p>
  </w:endnote>
  <w:endnote w:id="3">
    <w:p w:rsidR="00381761" w:rsidRDefault="00381761" w:rsidP="00381761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ויקרא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 xml:space="preserve">, כה (ונתבאר בזהר בריבוי מקומות אודות נקמת פגם הברית </w:t>
      </w:r>
      <w:r>
        <w:rPr>
          <w:rtl/>
        </w:rPr>
        <w:t>–</w:t>
      </w:r>
      <w:r>
        <w:rPr>
          <w:rFonts w:hint="cs"/>
          <w:rtl/>
        </w:rPr>
        <w:t xml:space="preserve"> לדוגמה </w:t>
      </w:r>
      <w:proofErr w:type="spellStart"/>
      <w:r>
        <w:rPr>
          <w:rFonts w:hint="cs"/>
          <w:rtl/>
        </w:rPr>
        <w:t>זח"א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</w:t>
      </w:r>
      <w:proofErr w:type="spellEnd"/>
      <w:r>
        <w:rPr>
          <w:rFonts w:hint="cs"/>
          <w:rtl/>
        </w:rPr>
        <w:t xml:space="preserve">, ב; </w:t>
      </w:r>
      <w:proofErr w:type="spellStart"/>
      <w:r>
        <w:rPr>
          <w:rFonts w:hint="cs"/>
          <w:rtl/>
        </w:rPr>
        <w:t>רמ</w:t>
      </w:r>
      <w:proofErr w:type="spellEnd"/>
      <w:r>
        <w:rPr>
          <w:rFonts w:hint="cs"/>
          <w:rtl/>
        </w:rPr>
        <w:t>, ב).</w:t>
      </w:r>
    </w:p>
  </w:endnote>
  <w:endnote w:id="4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כפי </w:t>
      </w:r>
      <w:proofErr w:type="spellStart"/>
      <w:r>
        <w:rPr>
          <w:rFonts w:hint="cs"/>
          <w:rtl/>
        </w:rPr>
        <w:t>שנתפרשה</w:t>
      </w:r>
      <w:proofErr w:type="spellEnd"/>
      <w:r>
        <w:rPr>
          <w:rFonts w:hint="cs"/>
          <w:rtl/>
        </w:rPr>
        <w:t xml:space="preserve"> גמרא זו בפרי עץ חיים שער </w:t>
      </w:r>
      <w:proofErr w:type="spellStart"/>
      <w:r>
        <w:rPr>
          <w:rFonts w:hint="cs"/>
          <w:rtl/>
        </w:rPr>
        <w:t>קשהעמ"ט</w:t>
      </w:r>
      <w:proofErr w:type="spellEnd"/>
      <w:r>
        <w:rPr>
          <w:rFonts w:hint="cs"/>
          <w:rtl/>
        </w:rPr>
        <w:t xml:space="preserve"> (פרקים ה, ח ו-יא) ובכ"ד (ראה גם תניא פ"ז).</w:t>
      </w:r>
    </w:p>
  </w:endnote>
  <w:endnote w:id="5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ברכות ה, א. </w:t>
      </w:r>
    </w:p>
  </w:endnote>
  <w:endnote w:id="6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תנחומא</w:t>
      </w:r>
      <w:proofErr w:type="spellEnd"/>
      <w:r>
        <w:rPr>
          <w:rFonts w:hint="cs"/>
          <w:rtl/>
        </w:rPr>
        <w:t xml:space="preserve"> לך </w:t>
      </w:r>
      <w:proofErr w:type="spellStart"/>
      <w:r>
        <w:rPr>
          <w:rFonts w:hint="cs"/>
          <w:rtl/>
        </w:rPr>
        <w:t>לך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. ילקוט שמעוני בראשית רמז פז.</w:t>
      </w:r>
    </w:p>
  </w:endnote>
  <w:endnote w:id="7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ודוק בפרדס רימונים שער </w:t>
      </w: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 xml:space="preserve"> פ"י.</w:t>
      </w:r>
    </w:p>
  </w:endnote>
  <w:endnote w:id="8">
    <w:p w:rsidR="00381761" w:rsidRDefault="00381761" w:rsidP="00381761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עפ"י סנהדרין ז, א.</w:t>
      </w:r>
    </w:p>
  </w:endnote>
  <w:endnote w:id="9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AB64FC">
        <w:rPr>
          <w:rFonts w:hint="cs"/>
          <w:rtl/>
        </w:rPr>
        <w:t xml:space="preserve">ראה </w:t>
      </w:r>
      <w:r>
        <w:rPr>
          <w:rFonts w:hint="cs"/>
          <w:rtl/>
        </w:rPr>
        <w:t xml:space="preserve">רמ"א </w:t>
      </w:r>
      <w:r w:rsidRPr="00AB64FC">
        <w:rPr>
          <w:rFonts w:hint="cs"/>
          <w:rtl/>
        </w:rPr>
        <w:t xml:space="preserve">יו"ד סימן </w:t>
      </w:r>
      <w:proofErr w:type="spellStart"/>
      <w:r w:rsidRPr="00AB64FC">
        <w:rPr>
          <w:rFonts w:hint="cs"/>
          <w:rtl/>
        </w:rPr>
        <w:t>קצג</w:t>
      </w:r>
      <w:proofErr w:type="spellEnd"/>
      <w:r w:rsidRPr="00AB64FC">
        <w:rPr>
          <w:rFonts w:hint="cs"/>
          <w:rtl/>
        </w:rPr>
        <w:t xml:space="preserve"> סעיף א</w:t>
      </w:r>
      <w:r w:rsidRPr="00F532DC">
        <w:rPr>
          <w:rFonts w:hint="cs"/>
          <w:rtl/>
        </w:rPr>
        <w:t xml:space="preserve"> </w:t>
      </w:r>
      <w:r>
        <w:rPr>
          <w:rFonts w:hint="cs"/>
          <w:rtl/>
        </w:rPr>
        <w:t xml:space="preserve">(ועיין גם </w:t>
      </w:r>
      <w:r w:rsidRPr="00F532DC">
        <w:rPr>
          <w:rFonts w:hint="cs"/>
          <w:rtl/>
        </w:rPr>
        <w:t xml:space="preserve">נידה </w:t>
      </w:r>
      <w:proofErr w:type="spellStart"/>
      <w:r w:rsidRPr="00F532DC">
        <w:rPr>
          <w:rFonts w:hint="cs"/>
          <w:rtl/>
        </w:rPr>
        <w:t>יג</w:t>
      </w:r>
      <w:proofErr w:type="spellEnd"/>
      <w:r w:rsidRPr="00F532DC">
        <w:rPr>
          <w:rFonts w:hint="cs"/>
          <w:rtl/>
        </w:rPr>
        <w:t>, ב</w:t>
      </w:r>
      <w:r>
        <w:rPr>
          <w:rFonts w:hint="cs"/>
          <w:rtl/>
        </w:rPr>
        <w:t>).</w:t>
      </w:r>
    </w:p>
  </w:endnote>
  <w:endnote w:id="10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ירמיה מח, י.</w:t>
      </w:r>
    </w:p>
  </w:endnote>
  <w:endnote w:id="11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טו, ט (וראה במכילתא על הפסוק </w:t>
      </w:r>
      <w:r>
        <w:rPr>
          <w:rtl/>
        </w:rPr>
        <w:t>–</w:t>
      </w:r>
      <w:r>
        <w:rPr>
          <w:rFonts w:hint="cs"/>
          <w:rtl/>
        </w:rPr>
        <w:t xml:space="preserve"> והובא בילקוט שמעוני רמז </w:t>
      </w:r>
      <w:proofErr w:type="spellStart"/>
      <w:r>
        <w:rPr>
          <w:rFonts w:hint="cs"/>
          <w:rtl/>
        </w:rPr>
        <w:t>רמט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 לשון זו </w:t>
      </w:r>
      <w:proofErr w:type="spellStart"/>
      <w:r>
        <w:rPr>
          <w:rFonts w:hint="cs"/>
          <w:rtl/>
        </w:rPr>
        <w:t>נתפרשה</w:t>
      </w:r>
      <w:proofErr w:type="spellEnd"/>
      <w:r>
        <w:rPr>
          <w:rFonts w:hint="cs"/>
          <w:rtl/>
        </w:rPr>
        <w:t xml:space="preserve"> גם במשמעות של בעילה, אלא ששם זוהי בעילה אלימה ושלילית, ויש להמתיקה כמבואר בפנים).</w:t>
      </w:r>
    </w:p>
  </w:endnote>
  <w:endnote w:id="12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מלאכי ג, י.</w:t>
      </w:r>
    </w:p>
  </w:endnote>
  <w:endnote w:id="13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רעא</w:t>
      </w:r>
      <w:proofErr w:type="spellEnd"/>
      <w:r>
        <w:rPr>
          <w:rFonts w:hint="cs"/>
          <w:rtl/>
        </w:rPr>
        <w:t xml:space="preserve">, א </w:t>
      </w:r>
      <w:r>
        <w:rPr>
          <w:rtl/>
        </w:rPr>
        <w:t>–</w:t>
      </w:r>
      <w:r>
        <w:rPr>
          <w:rFonts w:hint="cs"/>
          <w:rtl/>
        </w:rPr>
        <w:t xml:space="preserve"> וכפי שיתבאר לקמן בשער ג בתורות "</w:t>
      </w:r>
      <w:proofErr w:type="spellStart"/>
      <w:r>
        <w:rPr>
          <w:rFonts w:hint="cs"/>
          <w:rtl/>
        </w:rPr>
        <w:t>איהו</w:t>
      </w:r>
      <w:proofErr w:type="spellEnd"/>
      <w:r>
        <w:rPr>
          <w:rFonts w:hint="cs"/>
          <w:rtl/>
        </w:rPr>
        <w:t xml:space="preserve"> ברוך </w:t>
      </w:r>
      <w:proofErr w:type="spellStart"/>
      <w:r>
        <w:rPr>
          <w:rFonts w:hint="cs"/>
          <w:rtl/>
        </w:rPr>
        <w:t>ואיהי</w:t>
      </w:r>
      <w:proofErr w:type="spellEnd"/>
      <w:r>
        <w:rPr>
          <w:rFonts w:hint="cs"/>
          <w:rtl/>
        </w:rPr>
        <w:t xml:space="preserve"> ברכה" </w:t>
      </w:r>
      <w:proofErr w:type="spellStart"/>
      <w:r>
        <w:rPr>
          <w:rFonts w:hint="cs"/>
          <w:rtl/>
        </w:rPr>
        <w:t>ו"לארקא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לאמשכא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ולאנהרא</w:t>
      </w:r>
      <w:proofErr w:type="spellEnd"/>
      <w:r>
        <w:rPr>
          <w:rFonts w:hint="cs"/>
          <w:rtl/>
        </w:rPr>
        <w:t>".</w:t>
      </w:r>
    </w:p>
  </w:endnote>
  <w:endnote w:id="14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וכנ"ל בתורה "אין כלי שלם יותר מלב שבור" (וראה עוד בתורות "</w:t>
      </w:r>
      <w:proofErr w:type="spellStart"/>
      <w:r>
        <w:rPr>
          <w:rFonts w:hint="cs"/>
          <w:rtl/>
        </w:rPr>
        <w:t>איהו</w:t>
      </w:r>
      <w:proofErr w:type="spellEnd"/>
      <w:r>
        <w:rPr>
          <w:rFonts w:hint="cs"/>
          <w:rtl/>
        </w:rPr>
        <w:t xml:space="preserve"> ברוך </w:t>
      </w:r>
      <w:proofErr w:type="spellStart"/>
      <w:r>
        <w:rPr>
          <w:rFonts w:hint="cs"/>
          <w:rtl/>
        </w:rPr>
        <w:t>ואיהי</w:t>
      </w:r>
      <w:proofErr w:type="spellEnd"/>
      <w:r>
        <w:rPr>
          <w:rFonts w:hint="cs"/>
          <w:rtl/>
        </w:rPr>
        <w:t xml:space="preserve"> ברכה" </w:t>
      </w:r>
      <w:proofErr w:type="spellStart"/>
      <w:r>
        <w:rPr>
          <w:rFonts w:hint="cs"/>
          <w:rtl/>
        </w:rPr>
        <w:t>ו"לארקא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ולאמשכא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ולאנהרא</w:t>
      </w:r>
      <w:proofErr w:type="spellEnd"/>
      <w:r>
        <w:rPr>
          <w:rFonts w:hint="cs"/>
          <w:rtl/>
        </w:rPr>
        <w:t>" בשער הבא).</w:t>
      </w:r>
    </w:p>
  </w:endnote>
  <w:endnote w:id="15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רמב"ם הלכות שבת </w:t>
      </w:r>
      <w:proofErr w:type="spellStart"/>
      <w:r>
        <w:rPr>
          <w:rFonts w:hint="cs"/>
          <w:rtl/>
        </w:rPr>
        <w:t>פ"ל</w:t>
      </w:r>
      <w:proofErr w:type="spellEnd"/>
      <w:r>
        <w:rPr>
          <w:rFonts w:hint="cs"/>
          <w:rtl/>
        </w:rPr>
        <w:t xml:space="preserve"> הי"ד. </w:t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או"ח</w:t>
      </w:r>
      <w:proofErr w:type="spellEnd"/>
      <w:r>
        <w:rPr>
          <w:rFonts w:hint="cs"/>
          <w:rtl/>
        </w:rPr>
        <w:t xml:space="preserve"> סימן </w:t>
      </w:r>
      <w:proofErr w:type="spellStart"/>
      <w:r>
        <w:rPr>
          <w:rFonts w:hint="cs"/>
          <w:rtl/>
        </w:rPr>
        <w:t>רפ</w:t>
      </w:r>
      <w:proofErr w:type="spellEnd"/>
      <w:r>
        <w:rPr>
          <w:rFonts w:hint="cs"/>
          <w:rtl/>
        </w:rPr>
        <w:t xml:space="preserve"> סעיף ב.</w:t>
      </w:r>
    </w:p>
  </w:endnote>
  <w:endnote w:id="16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סנהדרין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, ב.</w:t>
      </w:r>
    </w:p>
  </w:endnote>
  <w:endnote w:id="17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ישעיה ב, ד (ובשינוי כתיב במיכה ד, ג).</w:t>
      </w:r>
    </w:p>
  </w:endnote>
  <w:endnote w:id="18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. שיר השירים ד, טו.</w:t>
      </w:r>
    </w:p>
  </w:endnote>
  <w:endnote w:id="19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במדבר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.</w:t>
      </w:r>
    </w:p>
  </w:endnote>
  <w:endnote w:id="20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על פי ה"יהי רצון" הקודם לאמירת תהלים, ובכ"ד.</w:t>
      </w:r>
    </w:p>
  </w:endnote>
  <w:endnote w:id="21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משלי כ, ל-לא.</w:t>
      </w:r>
    </w:p>
  </w:endnote>
  <w:endnote w:id="22">
    <w:p w:rsidR="00381761" w:rsidRDefault="00381761" w:rsidP="00381761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כהוראתו האחרונה של הרבי </w:t>
      </w:r>
      <w:proofErr w:type="spellStart"/>
      <w:r>
        <w:rPr>
          <w:rFonts w:hint="cs"/>
          <w:rtl/>
        </w:rPr>
        <w:t>מליובאוויטש</w:t>
      </w:r>
      <w:proofErr w:type="spellEnd"/>
      <w:r>
        <w:rPr>
          <w:rFonts w:hint="cs"/>
          <w:rtl/>
        </w:rPr>
        <w:t xml:space="preserve"> לפני </w:t>
      </w:r>
      <w:proofErr w:type="spellStart"/>
      <w:r>
        <w:rPr>
          <w:rFonts w:hint="cs"/>
          <w:rtl/>
        </w:rPr>
        <w:t>ז"ך</w:t>
      </w:r>
      <w:proofErr w:type="spellEnd"/>
      <w:r>
        <w:rPr>
          <w:rFonts w:hint="cs"/>
          <w:rtl/>
        </w:rPr>
        <w:t xml:space="preserve"> אד"ר תשנ"ב </w:t>
      </w:r>
      <w:r>
        <w:rPr>
          <w:rtl/>
        </w:rPr>
        <w:t>–</w:t>
      </w:r>
      <w:r>
        <w:rPr>
          <w:rFonts w:hint="cs"/>
          <w:rtl/>
        </w:rPr>
        <w:t xml:space="preserve"> "ברוב שירה וזמרה".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23E" w:rsidRDefault="00B5623E" w:rsidP="00381761">
      <w:pPr>
        <w:spacing w:after="0" w:line="240" w:lineRule="auto"/>
      </w:pPr>
      <w:r>
        <w:separator/>
      </w:r>
    </w:p>
  </w:footnote>
  <w:footnote w:type="continuationSeparator" w:id="0">
    <w:p w:rsidR="00B5623E" w:rsidRDefault="00B5623E" w:rsidP="00381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16"/>
    <w:rsid w:val="00061E65"/>
    <w:rsid w:val="00381761"/>
    <w:rsid w:val="00436416"/>
    <w:rsid w:val="00AC2310"/>
    <w:rsid w:val="00B5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381761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381761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381761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381761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381761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381761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381761"/>
    <w:rPr>
      <w:noProof/>
      <w:position w:val="-4"/>
      <w:szCs w:val="27"/>
      <w:vertAlign w:val="superscript"/>
    </w:rPr>
  </w:style>
  <w:style w:type="character" w:styleId="a7">
    <w:name w:val="footnote reference"/>
    <w:basedOn w:val="a0"/>
    <w:uiPriority w:val="99"/>
    <w:semiHidden/>
    <w:unhideWhenUsed/>
    <w:rsid w:val="0038176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381761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381761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381761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381761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381761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381761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381761"/>
    <w:rPr>
      <w:noProof/>
      <w:position w:val="-4"/>
      <w:szCs w:val="27"/>
      <w:vertAlign w:val="superscript"/>
    </w:rPr>
  </w:style>
  <w:style w:type="character" w:styleId="a7">
    <w:name w:val="footnote reference"/>
    <w:basedOn w:val="a0"/>
    <w:uiPriority w:val="99"/>
    <w:semiHidden/>
    <w:unhideWhenUsed/>
    <w:rsid w:val="003817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90;\&#1513;&#1506;&#1512;%20&#1513;&#1504;&#1497;%20&#1488;&#1490;&#1493;&#1494;%20&#1489;&#1490;&#1503;%20&#1506;&#1491;&#1503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2017-08-14T22:39:00Z</dcterms:created>
  <dcterms:modified xsi:type="dcterms:W3CDTF">2017-08-14T22:39:00Z</dcterms:modified>
</cp:coreProperties>
</file>