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891" w:rsidRPr="007E2C53" w:rsidRDefault="000C5891" w:rsidP="000C5891">
      <w:pPr>
        <w:pStyle w:val="2"/>
        <w:rPr>
          <w:rFonts w:hint="cs"/>
          <w:rtl/>
        </w:rPr>
      </w:pPr>
      <w:bookmarkStart w:id="0" w:name="_Toc145068694"/>
      <w:bookmarkStart w:id="1" w:name="_Ref145069169"/>
      <w:r>
        <w:rPr>
          <w:w w:val="100"/>
          <w:rtl/>
        </w:rPr>
        <w:drawing>
          <wp:anchor distT="0" distB="0" distL="114300" distR="114300" simplePos="0" relativeHeight="251659264" behindDoc="1" locked="0" layoutInCell="1" allowOverlap="1">
            <wp:simplePos x="0" y="0"/>
            <wp:positionH relativeFrom="column">
              <wp:posOffset>1657350</wp:posOffset>
            </wp:positionH>
            <wp:positionV relativeFrom="paragraph">
              <wp:posOffset>695325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2C53">
        <w:rPr>
          <w:rFonts w:hint="cs"/>
          <w:rtl/>
        </w:rPr>
        <w:t>אדן הבית היהודי</w:t>
      </w:r>
      <w:bookmarkEnd w:id="0"/>
      <w:bookmarkEnd w:id="1"/>
    </w:p>
    <w:p w:rsidR="000C5891" w:rsidRPr="00115A08" w:rsidRDefault="000C5891" w:rsidP="000C5891">
      <w:pPr>
        <w:keepNext/>
        <w:framePr w:dropCap="drop" w:lines="2" w:hSpace="57" w:wrap="around" w:vAnchor="text" w:hAnchor="text" w:xAlign="right"/>
        <w:spacing w:after="0" w:line="760" w:lineRule="exact"/>
        <w:textAlignment w:val="baseline"/>
        <w:rPr>
          <w:rStyle w:val="a9"/>
          <w:rtl/>
        </w:rPr>
      </w:pPr>
      <w:r w:rsidRPr="00115A08">
        <w:rPr>
          <w:rStyle w:val="a9"/>
          <w:rFonts w:hint="cs"/>
          <w:rtl/>
        </w:rPr>
        <w:t>מ</w:t>
      </w:r>
    </w:p>
    <w:p w:rsidR="000C5891" w:rsidRDefault="000C5891" w:rsidP="000C5891">
      <w:pPr>
        <w:rPr>
          <w:rFonts w:hint="cs"/>
          <w:rtl/>
        </w:rPr>
      </w:pPr>
      <w:r>
        <w:rPr>
          <w:rFonts w:hint="cs"/>
          <w:rtl/>
        </w:rPr>
        <w:t>בואר בספרי המוסר</w:t>
      </w:r>
      <w:r w:rsidRPr="005316B5">
        <w:rPr>
          <w:rStyle w:val="a6"/>
          <w:rtl/>
        </w:rPr>
        <w:endnoteReference w:id="1"/>
      </w:r>
      <w:r>
        <w:rPr>
          <w:rFonts w:hint="cs"/>
          <w:rtl/>
        </w:rPr>
        <w:t xml:space="preserve"> כי הכרת הטוב היא הבסיס למדות מתוקנות, והיפוכה </w:t>
      </w:r>
      <w:r>
        <w:rPr>
          <w:rtl/>
        </w:rPr>
        <w:t>–</w:t>
      </w:r>
      <w:r>
        <w:rPr>
          <w:rFonts w:hint="cs"/>
          <w:rtl/>
        </w:rPr>
        <w:t xml:space="preserve"> כפיות טובה </w:t>
      </w:r>
      <w:r>
        <w:rPr>
          <w:rtl/>
        </w:rPr>
        <w:t>–</w:t>
      </w:r>
      <w:r>
        <w:rPr>
          <w:rFonts w:hint="cs"/>
          <w:rtl/>
        </w:rPr>
        <w:t xml:space="preserve"> היא תכלית ההשחתה והקלקול בנפש. כך, ראשית עבודת היום של ה</w:t>
      </w:r>
      <w:r w:rsidRPr="00E84990">
        <w:rPr>
          <w:rStyle w:val="a3"/>
          <w:rFonts w:hint="cs"/>
          <w:rtl/>
        </w:rPr>
        <w:t>יהודי</w:t>
      </w:r>
      <w:r>
        <w:rPr>
          <w:rFonts w:hint="cs"/>
          <w:rtl/>
        </w:rPr>
        <w:t xml:space="preserve"> היא </w:t>
      </w:r>
      <w:r w:rsidRPr="00E84990">
        <w:rPr>
          <w:rStyle w:val="a3"/>
          <w:rFonts w:hint="cs"/>
          <w:rtl/>
        </w:rPr>
        <w:t>הודיה</w:t>
      </w:r>
      <w:r>
        <w:rPr>
          <w:rFonts w:hint="cs"/>
          <w:rtl/>
        </w:rPr>
        <w:t xml:space="preserve"> לה' </w:t>
      </w:r>
      <w:r>
        <w:rPr>
          <w:rtl/>
        </w:rPr>
        <w:t>–</w:t>
      </w:r>
      <w:r>
        <w:rPr>
          <w:rFonts w:hint="cs"/>
          <w:rtl/>
        </w:rPr>
        <w:t xml:space="preserve"> אמירת "מודה אני לפניך". והנה, </w:t>
      </w:r>
      <w:r w:rsidRPr="00164E79">
        <w:rPr>
          <w:rFonts w:hint="cs"/>
          <w:b/>
          <w:bCs/>
          <w:sz w:val="28"/>
          <w:szCs w:val="28"/>
          <w:rtl/>
        </w:rPr>
        <w:t>מודה</w:t>
      </w:r>
      <w:r>
        <w:rPr>
          <w:rFonts w:hint="cs"/>
          <w:rtl/>
        </w:rPr>
        <w:t xml:space="preserve"> </w:t>
      </w:r>
      <w:proofErr w:type="spellStart"/>
      <w:r>
        <w:rPr>
          <w:rFonts w:hint="cs"/>
          <w:rtl/>
        </w:rPr>
        <w:t>בגימטריא</w:t>
      </w:r>
      <w:proofErr w:type="spellEnd"/>
      <w:r>
        <w:rPr>
          <w:rFonts w:hint="cs"/>
          <w:rtl/>
        </w:rPr>
        <w:t xml:space="preserve"> </w:t>
      </w:r>
      <w:r w:rsidRPr="00164E79">
        <w:rPr>
          <w:rFonts w:hint="cs"/>
          <w:b/>
          <w:bCs/>
          <w:sz w:val="28"/>
          <w:szCs w:val="28"/>
          <w:rtl/>
        </w:rPr>
        <w:t>אדן</w:t>
      </w:r>
      <w:r>
        <w:rPr>
          <w:rFonts w:hint="cs"/>
          <w:rtl/>
        </w:rPr>
        <w:t>, לרמז כי הבסיס והאדן עליו נבנית כל עבודת היום היא אותה הודיה פשוטה ותמימה לה'</w:t>
      </w:r>
      <w:bookmarkStart w:id="2" w:name="_Ref145017862"/>
      <w:r w:rsidRPr="005316B5">
        <w:rPr>
          <w:rStyle w:val="a6"/>
          <w:rtl/>
        </w:rPr>
        <w:endnoteReference w:id="2"/>
      </w:r>
      <w:bookmarkEnd w:id="2"/>
      <w:r>
        <w:rPr>
          <w:rFonts w:hint="cs"/>
          <w:rtl/>
        </w:rPr>
        <w:t xml:space="preserve">. </w:t>
      </w:r>
    </w:p>
    <w:p w:rsidR="000C5891" w:rsidRDefault="000C5891" w:rsidP="000C5891">
      <w:pPr>
        <w:rPr>
          <w:rFonts w:hint="cs"/>
          <w:rtl/>
        </w:rPr>
      </w:pPr>
      <w:r>
        <w:rPr>
          <w:rFonts w:hint="cs"/>
          <w:rtl/>
        </w:rPr>
        <w:t xml:space="preserve">הבית היהודי נמשל למשכן, מקום הראוי להשראת השותף השלישי בין בני הזוג, וגם הוא מושתת על אדני ההודיה והכרת הטוב. הכרת הטוב וביטויי תודה כנים ותמימים בין בני הזוג הם בסיס איתן והכרחי לחיי הנישואין </w:t>
      </w:r>
      <w:r>
        <w:rPr>
          <w:rtl/>
        </w:rPr>
        <w:t>–</w:t>
      </w:r>
      <w:r>
        <w:rPr>
          <w:rFonts w:hint="cs"/>
          <w:rtl/>
        </w:rPr>
        <w:t xml:space="preserve"> על כל אדם להכיר בטובות שגומל עמו בן זוגו בכל דבר ודבר ולהודות לו על כך בפה מלא</w:t>
      </w:r>
      <w:r w:rsidRPr="005316B5">
        <w:rPr>
          <w:rStyle w:val="a6"/>
          <w:rtl/>
        </w:rPr>
        <w:endnoteReference w:id="3"/>
      </w:r>
      <w:r>
        <w:rPr>
          <w:rFonts w:hint="cs"/>
          <w:rtl/>
        </w:rPr>
        <w:t>. אכן, האדן והבסיס להכרת הטוב וההודיה בין בני הזוג היא הכרת הטוב וההודיה כלפי שמיא, כאשר כל אחד מהם יודע להכיר בטובתו של הקב"ה בכך שהעניק לו את בן זוגו ולהודות לו על כך בפה מלא.</w:t>
      </w:r>
    </w:p>
    <w:p w:rsidR="000C5891" w:rsidRDefault="000C5891" w:rsidP="000C5891">
      <w:pPr>
        <w:rPr>
          <w:rFonts w:hint="cs"/>
          <w:rtl/>
        </w:rPr>
      </w:pPr>
      <w:r>
        <w:rPr>
          <w:rFonts w:hint="cs"/>
          <w:rtl/>
        </w:rPr>
        <w:t xml:space="preserve">אצל </w:t>
      </w:r>
      <w:proofErr w:type="spellStart"/>
      <w:r>
        <w:rPr>
          <w:rFonts w:hint="cs"/>
          <w:rtl/>
        </w:rPr>
        <w:t>האשה</w:t>
      </w:r>
      <w:proofErr w:type="spellEnd"/>
      <w:r>
        <w:rPr>
          <w:rFonts w:hint="cs"/>
          <w:rtl/>
        </w:rPr>
        <w:t xml:space="preserve"> קיימת באופן טבעי יותר תחושת ההודיה </w:t>
      </w:r>
      <w:r>
        <w:rPr>
          <w:rtl/>
        </w:rPr>
        <w:t>–</w:t>
      </w:r>
      <w:r>
        <w:rPr>
          <w:rFonts w:hint="cs"/>
          <w:rtl/>
        </w:rPr>
        <w:t xml:space="preserve"> היא מוכנה יותר להכיר בחסרונה ובצורך שלה בבן זוג, והעובדה שה' זיכה אותה למצוא את חתנה מעניקה לה שמחה ובטחון עצמי</w:t>
      </w:r>
      <w:r w:rsidRPr="005316B5">
        <w:rPr>
          <w:rStyle w:val="a6"/>
          <w:rtl/>
        </w:rPr>
        <w:endnoteReference w:id="4"/>
      </w:r>
      <w:r>
        <w:rPr>
          <w:rFonts w:hint="cs"/>
          <w:rtl/>
        </w:rPr>
        <w:t>, ומתוך כך קל לה יותר להודות לה'. תכונת ההודאה שייכת באופן טבעי לאשה, עליה נאמר "</w:t>
      </w:r>
      <w:proofErr w:type="spellStart"/>
      <w:r>
        <w:rPr>
          <w:rFonts w:hint="cs"/>
          <w:rtl/>
        </w:rPr>
        <w:t>איהי</w:t>
      </w:r>
      <w:proofErr w:type="spellEnd"/>
      <w:r>
        <w:rPr>
          <w:rFonts w:hint="cs"/>
          <w:rtl/>
        </w:rPr>
        <w:t xml:space="preserve"> [</w:t>
      </w:r>
      <w:r>
        <w:rPr>
          <w:rtl/>
        </w:rPr>
        <w:t>–</w:t>
      </w:r>
      <w:r>
        <w:rPr>
          <w:rFonts w:hint="cs"/>
          <w:rtl/>
        </w:rPr>
        <w:t xml:space="preserve"> היא, הנקבה] בהוד [בספירת ההוד, אליה שייכת עבודת ההודיה]"</w:t>
      </w:r>
      <w:r w:rsidRPr="005316B5">
        <w:rPr>
          <w:rStyle w:val="a6"/>
          <w:rtl/>
        </w:rPr>
        <w:endnoteReference w:id="5"/>
      </w:r>
      <w:r>
        <w:rPr>
          <w:rFonts w:hint="cs"/>
          <w:rtl/>
        </w:rPr>
        <w:t xml:space="preserve">. לעומתה, האיש </w:t>
      </w:r>
      <w:r>
        <w:rPr>
          <w:rtl/>
        </w:rPr>
        <w:t>–</w:t>
      </w:r>
      <w:r>
        <w:rPr>
          <w:rFonts w:hint="cs"/>
          <w:rtl/>
        </w:rPr>
        <w:t xml:space="preserve"> אשר נברא יחיד, וזכה שאחר כך ימציא לו ה' את בת זוגו </w:t>
      </w:r>
      <w:r>
        <w:rPr>
          <w:rtl/>
        </w:rPr>
        <w:t>–</w:t>
      </w:r>
      <w:r>
        <w:rPr>
          <w:rFonts w:hint="cs"/>
          <w:rtl/>
        </w:rPr>
        <w:t xml:space="preserve"> זקוק לעבודה פנימית כדי להכיר בטובת ה' בכך שהעניק לו את בת זוגו ולהודות לו על כך. ללא עבודה זו, עלול האיש לכפור בטובה ח"ו (כפי שאכן מצינו</w:t>
      </w:r>
      <w:r w:rsidRPr="005316B5">
        <w:rPr>
          <w:rStyle w:val="a6"/>
          <w:rtl/>
        </w:rPr>
        <w:endnoteReference w:id="6"/>
      </w:r>
      <w:r>
        <w:rPr>
          <w:rFonts w:hint="cs"/>
          <w:rtl/>
        </w:rPr>
        <w:t xml:space="preserve"> כי אדם הראשון כפר בטובה של נתינת </w:t>
      </w:r>
      <w:proofErr w:type="spellStart"/>
      <w:r>
        <w:rPr>
          <w:rFonts w:hint="cs"/>
          <w:rtl/>
        </w:rPr>
        <w:t>האשה</w:t>
      </w:r>
      <w:proofErr w:type="spellEnd"/>
      <w:r>
        <w:rPr>
          <w:rFonts w:hint="cs"/>
          <w:rtl/>
        </w:rPr>
        <w:t xml:space="preserve"> בגן עדן מקדם). את עצם </w:t>
      </w:r>
      <w:proofErr w:type="spellStart"/>
      <w:r>
        <w:rPr>
          <w:rFonts w:hint="cs"/>
          <w:rtl/>
        </w:rPr>
        <w:t>חוית</w:t>
      </w:r>
      <w:proofErr w:type="spellEnd"/>
      <w:r>
        <w:rPr>
          <w:rFonts w:hint="cs"/>
          <w:rtl/>
        </w:rPr>
        <w:t xml:space="preserve"> התודה יכול האיש לקבל מאשתו החווה זאת באופן טבעי. </w:t>
      </w:r>
    </w:p>
    <w:p w:rsidR="000C5891" w:rsidRPr="00F643BE" w:rsidRDefault="000C5891" w:rsidP="000C5891">
      <w:pPr>
        <w:rPr>
          <w:rFonts w:hint="cs"/>
          <w:rtl/>
        </w:rPr>
      </w:pPr>
      <w:r w:rsidRPr="00F643BE">
        <w:rPr>
          <w:rFonts w:hint="cs"/>
          <w:rtl/>
        </w:rPr>
        <w:t xml:space="preserve">וכמה רמזים לקשר המיוחד של </w:t>
      </w:r>
      <w:proofErr w:type="spellStart"/>
      <w:r w:rsidRPr="00F643BE">
        <w:rPr>
          <w:rFonts w:hint="cs"/>
          <w:rtl/>
        </w:rPr>
        <w:t>חוית</w:t>
      </w:r>
      <w:proofErr w:type="spellEnd"/>
      <w:r w:rsidRPr="00F643BE">
        <w:rPr>
          <w:rFonts w:hint="cs"/>
          <w:rtl/>
        </w:rPr>
        <w:t xml:space="preserve"> "מודה אני לפניך" לחיי הנישואין בכלל ולאשה בפרט</w:t>
      </w:r>
      <w:r>
        <w:rPr>
          <w:rFonts w:hint="cs"/>
          <w:rtl/>
        </w:rPr>
        <w:t>:</w:t>
      </w:r>
      <w:r w:rsidRPr="00F643BE">
        <w:rPr>
          <w:rFonts w:hint="cs"/>
          <w:rtl/>
        </w:rPr>
        <w:t xml:space="preserve"> "</w:t>
      </w:r>
      <w:r w:rsidRPr="00F643BE">
        <w:rPr>
          <w:rFonts w:hint="cs"/>
          <w:b/>
          <w:bCs/>
          <w:sz w:val="28"/>
          <w:szCs w:val="28"/>
          <w:rtl/>
        </w:rPr>
        <w:t>מודה</w:t>
      </w:r>
      <w:r w:rsidRPr="00F643BE">
        <w:rPr>
          <w:rFonts w:hint="cs"/>
          <w:rtl/>
        </w:rPr>
        <w:t xml:space="preserve">" עולה </w:t>
      </w:r>
      <w:proofErr w:type="spellStart"/>
      <w:r w:rsidRPr="00F643BE">
        <w:rPr>
          <w:rFonts w:hint="cs"/>
          <w:rtl/>
        </w:rPr>
        <w:t>בגימטריא</w:t>
      </w:r>
      <w:proofErr w:type="spellEnd"/>
      <w:r w:rsidRPr="00F643BE">
        <w:rPr>
          <w:rFonts w:hint="cs"/>
          <w:rtl/>
        </w:rPr>
        <w:t xml:space="preserve"> </w:t>
      </w:r>
      <w:r w:rsidRPr="00F643BE">
        <w:rPr>
          <w:rFonts w:hint="cs"/>
          <w:b/>
          <w:bCs/>
          <w:sz w:val="28"/>
          <w:szCs w:val="28"/>
          <w:rtl/>
        </w:rPr>
        <w:t>כלה</w:t>
      </w:r>
      <w:r w:rsidRPr="00F643BE">
        <w:rPr>
          <w:rFonts w:hint="cs"/>
          <w:rtl/>
        </w:rPr>
        <w:t>, "</w:t>
      </w:r>
      <w:r w:rsidRPr="00F643BE">
        <w:rPr>
          <w:rFonts w:hint="cs"/>
          <w:b/>
          <w:bCs/>
          <w:sz w:val="28"/>
          <w:szCs w:val="28"/>
          <w:rtl/>
        </w:rPr>
        <w:t>מודה</w:t>
      </w:r>
      <w:r w:rsidRPr="00F643BE">
        <w:rPr>
          <w:rFonts w:hint="cs"/>
          <w:rtl/>
        </w:rPr>
        <w:t xml:space="preserve"> </w:t>
      </w:r>
      <w:r w:rsidRPr="00F643BE">
        <w:rPr>
          <w:rFonts w:hint="cs"/>
          <w:b/>
          <w:bCs/>
          <w:sz w:val="28"/>
          <w:szCs w:val="28"/>
          <w:rtl/>
        </w:rPr>
        <w:t>אני</w:t>
      </w:r>
      <w:r w:rsidRPr="00F643BE">
        <w:rPr>
          <w:rFonts w:hint="cs"/>
          <w:rtl/>
        </w:rPr>
        <w:t xml:space="preserve"> </w:t>
      </w:r>
      <w:r w:rsidRPr="00F643BE">
        <w:rPr>
          <w:rFonts w:hint="cs"/>
          <w:b/>
          <w:bCs/>
          <w:sz w:val="28"/>
          <w:szCs w:val="28"/>
          <w:rtl/>
        </w:rPr>
        <w:t>לפניך</w:t>
      </w:r>
      <w:r w:rsidRPr="00F643BE">
        <w:rPr>
          <w:rFonts w:hint="cs"/>
          <w:rtl/>
        </w:rPr>
        <w:t xml:space="preserve">" עולה </w:t>
      </w:r>
      <w:proofErr w:type="spellStart"/>
      <w:r w:rsidRPr="00F643BE">
        <w:rPr>
          <w:rFonts w:hint="cs"/>
          <w:rtl/>
        </w:rPr>
        <w:t>בגימטריא</w:t>
      </w:r>
      <w:proofErr w:type="spellEnd"/>
      <w:r w:rsidRPr="00F643BE">
        <w:rPr>
          <w:rFonts w:hint="cs"/>
          <w:rtl/>
        </w:rPr>
        <w:t xml:space="preserve"> </w:t>
      </w:r>
      <w:proofErr w:type="spellStart"/>
      <w:r w:rsidRPr="00F643BE">
        <w:rPr>
          <w:rFonts w:hint="cs"/>
          <w:b/>
          <w:bCs/>
          <w:sz w:val="28"/>
          <w:szCs w:val="28"/>
          <w:rtl/>
        </w:rPr>
        <w:t>אשה</w:t>
      </w:r>
      <w:proofErr w:type="spellEnd"/>
      <w:r w:rsidRPr="00F643BE">
        <w:rPr>
          <w:rFonts w:hint="cs"/>
          <w:rtl/>
        </w:rPr>
        <w:t xml:space="preserve"> (העולה גם </w:t>
      </w:r>
      <w:r w:rsidRPr="00F643BE">
        <w:rPr>
          <w:rFonts w:hint="cs"/>
          <w:b/>
          <w:bCs/>
          <w:sz w:val="28"/>
          <w:szCs w:val="28"/>
          <w:rtl/>
        </w:rPr>
        <w:t>ג</w:t>
      </w:r>
      <w:r w:rsidRPr="00F643BE">
        <w:rPr>
          <w:rFonts w:hint="cs"/>
          <w:rtl/>
        </w:rPr>
        <w:t xml:space="preserve"> פעמים </w:t>
      </w:r>
      <w:r w:rsidRPr="00F643BE">
        <w:rPr>
          <w:rtl/>
        </w:rPr>
        <w:t>–</w:t>
      </w:r>
      <w:r w:rsidRPr="00F643BE">
        <w:rPr>
          <w:rFonts w:hint="cs"/>
          <w:rtl/>
        </w:rPr>
        <w:t xml:space="preserve"> היינו שזהו ממוצע כל אות במלה </w:t>
      </w:r>
      <w:proofErr w:type="spellStart"/>
      <w:r w:rsidRPr="00F643BE">
        <w:rPr>
          <w:rFonts w:hint="cs"/>
          <w:b/>
          <w:bCs/>
          <w:sz w:val="28"/>
          <w:szCs w:val="28"/>
          <w:rtl/>
        </w:rPr>
        <w:t>אשה</w:t>
      </w:r>
      <w:proofErr w:type="spellEnd"/>
      <w:r w:rsidRPr="00F643BE">
        <w:rPr>
          <w:rFonts w:hint="cs"/>
          <w:rtl/>
        </w:rPr>
        <w:t xml:space="preserve"> וכל מלה בביטוי "</w:t>
      </w:r>
      <w:r w:rsidRPr="00F643BE">
        <w:rPr>
          <w:rFonts w:hint="cs"/>
          <w:b/>
          <w:bCs/>
          <w:sz w:val="28"/>
          <w:szCs w:val="28"/>
          <w:rtl/>
        </w:rPr>
        <w:t>מודה</w:t>
      </w:r>
      <w:r w:rsidRPr="00F643BE">
        <w:rPr>
          <w:rFonts w:hint="cs"/>
          <w:rtl/>
        </w:rPr>
        <w:t xml:space="preserve"> </w:t>
      </w:r>
      <w:r w:rsidRPr="00F643BE">
        <w:rPr>
          <w:rFonts w:hint="cs"/>
          <w:b/>
          <w:bCs/>
          <w:sz w:val="28"/>
          <w:szCs w:val="28"/>
          <w:rtl/>
        </w:rPr>
        <w:t>אני</w:t>
      </w:r>
      <w:r w:rsidRPr="00F643BE">
        <w:rPr>
          <w:rFonts w:hint="cs"/>
          <w:rtl/>
        </w:rPr>
        <w:t xml:space="preserve"> </w:t>
      </w:r>
      <w:r w:rsidRPr="00F643BE">
        <w:rPr>
          <w:rFonts w:hint="cs"/>
          <w:b/>
          <w:bCs/>
          <w:sz w:val="28"/>
          <w:szCs w:val="28"/>
          <w:rtl/>
        </w:rPr>
        <w:t>לפניך</w:t>
      </w:r>
      <w:r w:rsidRPr="00F643BE">
        <w:rPr>
          <w:rFonts w:hint="cs"/>
          <w:rtl/>
        </w:rPr>
        <w:t xml:space="preserve">" </w:t>
      </w:r>
      <w:r w:rsidRPr="00F643BE">
        <w:rPr>
          <w:rtl/>
        </w:rPr>
        <w:t>–</w:t>
      </w:r>
      <w:r w:rsidRPr="00F643BE">
        <w:rPr>
          <w:rFonts w:hint="cs"/>
          <w:rtl/>
        </w:rPr>
        <w:t xml:space="preserve"> </w:t>
      </w:r>
      <w:r w:rsidRPr="00F643BE">
        <w:rPr>
          <w:rFonts w:hint="cs"/>
          <w:b/>
          <w:bCs/>
          <w:sz w:val="28"/>
          <w:szCs w:val="28"/>
          <w:rtl/>
        </w:rPr>
        <w:t>אמונה</w:t>
      </w:r>
      <w:r w:rsidRPr="00F643BE">
        <w:rPr>
          <w:rFonts w:hint="cs"/>
          <w:rtl/>
        </w:rPr>
        <w:t>, כי כשם שנאמר באשה "</w:t>
      </w:r>
      <w:proofErr w:type="spellStart"/>
      <w:r w:rsidRPr="00F643BE">
        <w:rPr>
          <w:rFonts w:hint="cs"/>
          <w:rtl/>
        </w:rPr>
        <w:t>איהי</w:t>
      </w:r>
      <w:proofErr w:type="spellEnd"/>
      <w:r w:rsidRPr="00F643BE">
        <w:rPr>
          <w:rFonts w:hint="cs"/>
          <w:rtl/>
        </w:rPr>
        <w:t xml:space="preserve"> בהוד" כך נאמר בה גם "</w:t>
      </w:r>
      <w:proofErr w:type="spellStart"/>
      <w:r w:rsidRPr="00F643BE">
        <w:rPr>
          <w:rFonts w:hint="cs"/>
          <w:rtl/>
        </w:rPr>
        <w:t>איהי</w:t>
      </w:r>
      <w:proofErr w:type="spellEnd"/>
      <w:r w:rsidRPr="00F643BE">
        <w:rPr>
          <w:rFonts w:hint="cs"/>
          <w:rtl/>
        </w:rPr>
        <w:t xml:space="preserve"> אמונה"</w:t>
      </w:r>
      <w:r w:rsidRPr="005316B5">
        <w:rPr>
          <w:rStyle w:val="a6"/>
          <w:rtl/>
        </w:rPr>
        <w:endnoteReference w:id="7"/>
      </w:r>
      <w:r w:rsidRPr="00F643BE">
        <w:rPr>
          <w:rFonts w:hint="cs"/>
          <w:rtl/>
        </w:rPr>
        <w:t xml:space="preserve">; ההודיה התמימה היא המפתח לאמונה הפשוטה בעצמות ה', שרק בה ניתן לחוש כי "מודה אני לפניך" ממש, במדרגה שבאה מעל ולפני כל הכרה שכלית באמת </w:t>
      </w:r>
      <w:proofErr w:type="spellStart"/>
      <w:r w:rsidRPr="00F643BE">
        <w:rPr>
          <w:rFonts w:hint="cs"/>
          <w:rtl/>
        </w:rPr>
        <w:t>האלקית</w:t>
      </w:r>
      <w:proofErr w:type="spellEnd"/>
      <w:r w:rsidRPr="00F643BE">
        <w:rPr>
          <w:rFonts w:hint="cs"/>
          <w:rtl/>
        </w:rPr>
        <w:t>, בסוד "לפני הוי'"</w:t>
      </w:r>
      <w:r w:rsidRPr="005316B5">
        <w:rPr>
          <w:rStyle w:val="a6"/>
          <w:rtl/>
        </w:rPr>
        <w:endnoteReference w:id="8"/>
      </w:r>
      <w:r w:rsidRPr="00F643BE">
        <w:rPr>
          <w:rFonts w:hint="cs"/>
          <w:rtl/>
        </w:rPr>
        <w:t>, כמבואר בחסידות</w:t>
      </w:r>
      <w:r w:rsidRPr="005316B5">
        <w:rPr>
          <w:rStyle w:val="a6"/>
          <w:rtl/>
        </w:rPr>
        <w:endnoteReference w:id="9"/>
      </w:r>
      <w:r w:rsidRPr="00F643BE">
        <w:rPr>
          <w:rFonts w:hint="cs"/>
          <w:rtl/>
        </w:rPr>
        <w:t>), "</w:t>
      </w:r>
      <w:r w:rsidRPr="00F643BE">
        <w:rPr>
          <w:rFonts w:hint="cs"/>
          <w:b/>
          <w:bCs/>
          <w:sz w:val="28"/>
          <w:szCs w:val="28"/>
          <w:rtl/>
        </w:rPr>
        <w:t>לפניך</w:t>
      </w:r>
      <w:r w:rsidRPr="00F643BE">
        <w:rPr>
          <w:rFonts w:hint="cs"/>
          <w:rtl/>
        </w:rPr>
        <w:t xml:space="preserve">" עולה </w:t>
      </w:r>
      <w:proofErr w:type="spellStart"/>
      <w:r w:rsidRPr="00F643BE">
        <w:rPr>
          <w:rFonts w:hint="cs"/>
          <w:rtl/>
        </w:rPr>
        <w:t>בגימטריא</w:t>
      </w:r>
      <w:proofErr w:type="spellEnd"/>
      <w:r w:rsidRPr="00F643BE">
        <w:rPr>
          <w:rFonts w:hint="cs"/>
          <w:rtl/>
        </w:rPr>
        <w:t xml:space="preserve"> </w:t>
      </w:r>
      <w:r w:rsidRPr="00F643BE">
        <w:rPr>
          <w:rFonts w:hint="cs"/>
          <w:b/>
          <w:bCs/>
          <w:sz w:val="28"/>
          <w:szCs w:val="28"/>
          <w:rtl/>
        </w:rPr>
        <w:t>צלע</w:t>
      </w:r>
      <w:r w:rsidRPr="00F643BE">
        <w:rPr>
          <w:rFonts w:hint="cs"/>
          <w:rtl/>
        </w:rPr>
        <w:t xml:space="preserve">, רמז לאשה שנלקחה מצלעו של האיש (בפרט היינו </w:t>
      </w:r>
      <w:proofErr w:type="spellStart"/>
      <w:r w:rsidRPr="00F643BE">
        <w:rPr>
          <w:rFonts w:hint="cs"/>
          <w:rtl/>
        </w:rPr>
        <w:t>האשה</w:t>
      </w:r>
      <w:proofErr w:type="spellEnd"/>
      <w:r w:rsidRPr="00F643BE">
        <w:rPr>
          <w:rFonts w:hint="cs"/>
          <w:rtl/>
        </w:rPr>
        <w:t xml:space="preserve"> הראשונה, חוה, אשר נלקחה מצלעו של אדם הראשון </w:t>
      </w:r>
      <w:r w:rsidRPr="00F643BE">
        <w:rPr>
          <w:rtl/>
        </w:rPr>
        <w:t>–</w:t>
      </w:r>
      <w:r w:rsidRPr="00F643BE">
        <w:rPr>
          <w:rFonts w:hint="cs"/>
          <w:rtl/>
        </w:rPr>
        <w:t xml:space="preserve"> כרמוז בכך ש</w:t>
      </w:r>
      <w:r w:rsidRPr="00F643BE">
        <w:rPr>
          <w:rFonts w:hint="cs"/>
          <w:b/>
          <w:bCs/>
          <w:sz w:val="28"/>
          <w:szCs w:val="28"/>
          <w:rtl/>
        </w:rPr>
        <w:t>צלע</w:t>
      </w:r>
      <w:r w:rsidRPr="00F643BE">
        <w:rPr>
          <w:rFonts w:hint="cs"/>
          <w:rtl/>
        </w:rPr>
        <w:t xml:space="preserve"> עולה </w:t>
      </w:r>
      <w:r w:rsidRPr="00F643BE">
        <w:rPr>
          <w:rFonts w:hint="cs"/>
          <w:b/>
          <w:bCs/>
          <w:sz w:val="28"/>
          <w:szCs w:val="28"/>
          <w:rtl/>
        </w:rPr>
        <w:t>י</w:t>
      </w:r>
      <w:r w:rsidRPr="00F643BE">
        <w:rPr>
          <w:rFonts w:hint="cs"/>
          <w:rtl/>
        </w:rPr>
        <w:t xml:space="preserve"> פעמים </w:t>
      </w:r>
      <w:r w:rsidRPr="00F643BE">
        <w:rPr>
          <w:rFonts w:hint="cs"/>
          <w:b/>
          <w:bCs/>
          <w:sz w:val="28"/>
          <w:szCs w:val="28"/>
          <w:rtl/>
        </w:rPr>
        <w:t>חוה</w:t>
      </w:r>
      <w:r w:rsidRPr="00F643BE">
        <w:rPr>
          <w:rFonts w:hint="cs"/>
          <w:rtl/>
        </w:rPr>
        <w:t xml:space="preserve">, שהוא גם ה'משולש' של </w:t>
      </w:r>
      <w:r w:rsidRPr="00F643BE">
        <w:rPr>
          <w:rFonts w:hint="cs"/>
          <w:b/>
          <w:bCs/>
          <w:sz w:val="28"/>
          <w:szCs w:val="28"/>
          <w:rtl/>
        </w:rPr>
        <w:t>חוה</w:t>
      </w:r>
      <w:r w:rsidRPr="00F643BE">
        <w:rPr>
          <w:rFonts w:hint="cs"/>
          <w:rtl/>
        </w:rPr>
        <w:t xml:space="preserve"> </w:t>
      </w:r>
      <w:r w:rsidRPr="00F643BE">
        <w:rPr>
          <w:rtl/>
        </w:rPr>
        <w:t>–</w:t>
      </w:r>
      <w:r w:rsidRPr="00F643BE">
        <w:rPr>
          <w:rFonts w:hint="cs"/>
          <w:rtl/>
        </w:rPr>
        <w:t xml:space="preserve"> סכום כל המספרים מ-</w:t>
      </w:r>
      <w:r w:rsidRPr="00F643BE">
        <w:rPr>
          <w:rFonts w:hint="cs"/>
          <w:b/>
          <w:bCs/>
          <w:sz w:val="28"/>
          <w:szCs w:val="28"/>
          <w:rtl/>
        </w:rPr>
        <w:t>א</w:t>
      </w:r>
      <w:r w:rsidRPr="00F643BE">
        <w:rPr>
          <w:rFonts w:hint="cs"/>
          <w:rtl/>
        </w:rPr>
        <w:t xml:space="preserve"> עד </w:t>
      </w:r>
      <w:proofErr w:type="spellStart"/>
      <w:r w:rsidRPr="00F643BE">
        <w:rPr>
          <w:rFonts w:hint="cs"/>
          <w:b/>
          <w:bCs/>
          <w:sz w:val="28"/>
          <w:szCs w:val="28"/>
          <w:rtl/>
        </w:rPr>
        <w:t>יט</w:t>
      </w:r>
      <w:proofErr w:type="spellEnd"/>
      <w:r w:rsidRPr="00F643BE">
        <w:rPr>
          <w:rFonts w:hint="cs"/>
          <w:rtl/>
        </w:rPr>
        <w:t xml:space="preserve">), וכל הביטוי </w:t>
      </w:r>
      <w:r w:rsidRPr="00F643BE">
        <w:rPr>
          <w:rFonts w:hint="cs"/>
          <w:b/>
          <w:bCs/>
          <w:sz w:val="28"/>
          <w:szCs w:val="28"/>
          <w:rtl/>
        </w:rPr>
        <w:t>"מודה אני לפניך מלך חי וקים</w:t>
      </w:r>
      <w:r w:rsidRPr="00F643BE">
        <w:rPr>
          <w:rFonts w:hint="cs"/>
          <w:rtl/>
        </w:rPr>
        <w:t xml:space="preserve">" עולה </w:t>
      </w:r>
      <w:r w:rsidRPr="00F643BE">
        <w:rPr>
          <w:rFonts w:hint="cs"/>
          <w:b/>
          <w:bCs/>
          <w:sz w:val="28"/>
          <w:szCs w:val="28"/>
          <w:rtl/>
        </w:rPr>
        <w:t>ג</w:t>
      </w:r>
      <w:r w:rsidRPr="00F643BE">
        <w:rPr>
          <w:rFonts w:hint="cs"/>
          <w:rtl/>
        </w:rPr>
        <w:t xml:space="preserve"> פעמים </w:t>
      </w:r>
      <w:r w:rsidRPr="00F643BE">
        <w:rPr>
          <w:rFonts w:hint="cs"/>
          <w:b/>
          <w:bCs/>
          <w:sz w:val="28"/>
          <w:szCs w:val="28"/>
          <w:rtl/>
        </w:rPr>
        <w:t>צלע</w:t>
      </w:r>
      <w:r w:rsidRPr="00F643BE">
        <w:rPr>
          <w:rFonts w:hint="cs"/>
          <w:rtl/>
        </w:rPr>
        <w:t xml:space="preserve"> (דהיינו </w:t>
      </w:r>
      <w:r w:rsidRPr="00F643BE">
        <w:rPr>
          <w:rFonts w:hint="cs"/>
          <w:b/>
          <w:bCs/>
          <w:sz w:val="28"/>
          <w:szCs w:val="28"/>
          <w:rtl/>
        </w:rPr>
        <w:t>ג</w:t>
      </w:r>
      <w:r w:rsidRPr="00F643BE">
        <w:rPr>
          <w:rFonts w:hint="cs"/>
          <w:rtl/>
        </w:rPr>
        <w:t xml:space="preserve"> פעמים "</w:t>
      </w:r>
      <w:r w:rsidRPr="00F643BE">
        <w:rPr>
          <w:rFonts w:hint="cs"/>
          <w:b/>
          <w:bCs/>
          <w:sz w:val="28"/>
          <w:szCs w:val="28"/>
          <w:rtl/>
        </w:rPr>
        <w:t>לפניך</w:t>
      </w:r>
      <w:r w:rsidRPr="00F643BE">
        <w:rPr>
          <w:rFonts w:hint="cs"/>
          <w:rtl/>
        </w:rPr>
        <w:t xml:space="preserve">", וכן </w:t>
      </w:r>
      <w:r w:rsidRPr="00F643BE">
        <w:rPr>
          <w:rFonts w:hint="cs"/>
          <w:b/>
          <w:bCs/>
          <w:sz w:val="28"/>
          <w:szCs w:val="28"/>
          <w:rtl/>
        </w:rPr>
        <w:t>ל</w:t>
      </w:r>
      <w:r w:rsidRPr="00F643BE">
        <w:rPr>
          <w:rFonts w:hint="cs"/>
          <w:rtl/>
        </w:rPr>
        <w:t xml:space="preserve"> פעמים </w:t>
      </w:r>
      <w:r w:rsidRPr="00F643BE">
        <w:rPr>
          <w:rFonts w:hint="cs"/>
          <w:b/>
          <w:bCs/>
          <w:sz w:val="28"/>
          <w:szCs w:val="28"/>
          <w:rtl/>
        </w:rPr>
        <w:t>חוה</w:t>
      </w:r>
      <w:r w:rsidRPr="00F643BE">
        <w:rPr>
          <w:rFonts w:hint="cs"/>
          <w:rtl/>
        </w:rPr>
        <w:t xml:space="preserve">), לרמז לסוד האות </w:t>
      </w:r>
      <w:r w:rsidRPr="00F643BE">
        <w:rPr>
          <w:rFonts w:hint="cs"/>
          <w:b/>
          <w:bCs/>
          <w:sz w:val="28"/>
          <w:szCs w:val="28"/>
          <w:rtl/>
        </w:rPr>
        <w:t>ב</w:t>
      </w:r>
      <w:r w:rsidRPr="00F643BE">
        <w:rPr>
          <w:rFonts w:hint="cs"/>
          <w:rtl/>
        </w:rPr>
        <w:t xml:space="preserve"> (בבחינת "'</w:t>
      </w:r>
      <w:r w:rsidRPr="00F643BE">
        <w:rPr>
          <w:rFonts w:hint="cs"/>
          <w:b/>
          <w:bCs/>
          <w:sz w:val="28"/>
          <w:szCs w:val="28"/>
          <w:rtl/>
        </w:rPr>
        <w:t>ב</w:t>
      </w:r>
      <w:r w:rsidRPr="00F643BE">
        <w:rPr>
          <w:rFonts w:hint="cs"/>
          <w:rtl/>
        </w:rPr>
        <w:t>יתו' זו אשתו"</w:t>
      </w:r>
      <w:r w:rsidRPr="005316B5">
        <w:rPr>
          <w:rStyle w:val="a6"/>
          <w:rtl/>
        </w:rPr>
        <w:endnoteReference w:id="10"/>
      </w:r>
      <w:r w:rsidRPr="00F643BE">
        <w:rPr>
          <w:rFonts w:hint="cs"/>
          <w:rtl/>
        </w:rPr>
        <w:t>) הסגורה מ-</w:t>
      </w:r>
      <w:r w:rsidRPr="00F643BE">
        <w:rPr>
          <w:rFonts w:hint="cs"/>
          <w:b/>
          <w:bCs/>
          <w:sz w:val="28"/>
          <w:szCs w:val="28"/>
          <w:rtl/>
        </w:rPr>
        <w:t>ג</w:t>
      </w:r>
      <w:r w:rsidRPr="00F643BE">
        <w:rPr>
          <w:rFonts w:hint="cs"/>
          <w:rtl/>
        </w:rPr>
        <w:t xml:space="preserve"> רוחותיה-צלעותיה</w:t>
      </w:r>
      <w:r w:rsidRPr="005316B5">
        <w:rPr>
          <w:rStyle w:val="a6"/>
          <w:rtl/>
        </w:rPr>
        <w:endnoteReference w:id="11"/>
      </w:r>
      <w:r w:rsidRPr="00F643BE">
        <w:rPr>
          <w:rFonts w:hint="cs"/>
          <w:rtl/>
        </w:rPr>
        <w:t xml:space="preserve"> ומצפה למשיח (היינו האיש) ש</w:t>
      </w:r>
      <w:r w:rsidRPr="00E84990">
        <w:rPr>
          <w:rStyle w:val="a3"/>
          <w:rFonts w:hint="cs"/>
          <w:rtl/>
        </w:rPr>
        <w:t>ישלים</w:t>
      </w:r>
      <w:r w:rsidRPr="00F643BE">
        <w:rPr>
          <w:rFonts w:hint="cs"/>
          <w:rtl/>
        </w:rPr>
        <w:t xml:space="preserve"> את הרוח </w:t>
      </w:r>
      <w:r w:rsidRPr="00F643BE">
        <w:rPr>
          <w:rFonts w:hint="cs"/>
          <w:rtl/>
        </w:rPr>
        <w:lastRenderedPageBreak/>
        <w:t>הרביעית</w:t>
      </w:r>
      <w:r w:rsidRPr="005316B5">
        <w:rPr>
          <w:rStyle w:val="a6"/>
          <w:rtl/>
        </w:rPr>
        <w:endnoteReference w:id="12"/>
      </w:r>
      <w:r w:rsidRPr="00F643BE">
        <w:rPr>
          <w:rFonts w:hint="cs"/>
          <w:rtl/>
        </w:rPr>
        <w:t xml:space="preserve"> בה אין צלע, בסוד "</w:t>
      </w:r>
      <w:proofErr w:type="spellStart"/>
      <w:r w:rsidRPr="00F643BE">
        <w:rPr>
          <w:rFonts w:hint="cs"/>
          <w:rtl/>
        </w:rPr>
        <w:t>לםרבה</w:t>
      </w:r>
      <w:proofErr w:type="spellEnd"/>
      <w:r w:rsidRPr="00F643BE">
        <w:rPr>
          <w:rFonts w:hint="cs"/>
          <w:rtl/>
        </w:rPr>
        <w:t xml:space="preserve"> [ב-</w:t>
      </w:r>
      <w:r w:rsidRPr="00F643BE">
        <w:rPr>
          <w:rFonts w:hint="cs"/>
          <w:b/>
          <w:bCs/>
          <w:sz w:val="28"/>
          <w:szCs w:val="28"/>
          <w:rtl/>
        </w:rPr>
        <w:t>ם</w:t>
      </w:r>
      <w:r w:rsidRPr="00F643BE">
        <w:rPr>
          <w:rFonts w:hint="cs"/>
          <w:rtl/>
        </w:rPr>
        <w:t xml:space="preserve"> סתומה מ-</w:t>
      </w:r>
      <w:r w:rsidRPr="00F643BE">
        <w:rPr>
          <w:rFonts w:hint="cs"/>
          <w:b/>
          <w:bCs/>
          <w:sz w:val="28"/>
          <w:szCs w:val="28"/>
          <w:rtl/>
        </w:rPr>
        <w:t>ד</w:t>
      </w:r>
      <w:r w:rsidRPr="00F643BE">
        <w:rPr>
          <w:rFonts w:hint="cs"/>
          <w:rtl/>
        </w:rPr>
        <w:t xml:space="preserve"> רוחותיה] המשרה ול</w:t>
      </w:r>
      <w:r w:rsidRPr="00E84990">
        <w:rPr>
          <w:rStyle w:val="a3"/>
          <w:rFonts w:hint="cs"/>
          <w:rtl/>
        </w:rPr>
        <w:t>שלום</w:t>
      </w:r>
      <w:r w:rsidRPr="00F643BE">
        <w:rPr>
          <w:rFonts w:hint="cs"/>
          <w:rtl/>
        </w:rPr>
        <w:t xml:space="preserve"> [בית] אין </w:t>
      </w:r>
      <w:r w:rsidRPr="00F643BE">
        <w:rPr>
          <w:rFonts w:hint="cs"/>
          <w:b/>
          <w:bCs/>
          <w:sz w:val="28"/>
          <w:szCs w:val="28"/>
          <w:rtl/>
        </w:rPr>
        <w:t>קץ</w:t>
      </w:r>
      <w:r w:rsidRPr="00F643BE">
        <w:rPr>
          <w:rFonts w:hint="cs"/>
          <w:rtl/>
        </w:rPr>
        <w:t xml:space="preserve"> [= </w:t>
      </w:r>
      <w:r w:rsidRPr="00F643BE">
        <w:rPr>
          <w:rFonts w:hint="cs"/>
          <w:b/>
          <w:bCs/>
          <w:sz w:val="28"/>
          <w:szCs w:val="28"/>
          <w:rtl/>
        </w:rPr>
        <w:t>צלע</w:t>
      </w:r>
      <w:r w:rsidRPr="00F643BE">
        <w:rPr>
          <w:rFonts w:hint="cs"/>
          <w:rtl/>
        </w:rPr>
        <w:t>]"</w:t>
      </w:r>
      <w:r w:rsidRPr="005316B5">
        <w:rPr>
          <w:rStyle w:val="a6"/>
          <w:rtl/>
        </w:rPr>
        <w:endnoteReference w:id="13"/>
      </w:r>
      <w:r w:rsidRPr="00F643BE">
        <w:rPr>
          <w:rFonts w:hint="cs"/>
          <w:rtl/>
        </w:rPr>
        <w:t xml:space="preserve"> (כאשר התעוררות האיש להשלים את אשתו היא בסוד "</w:t>
      </w:r>
      <w:proofErr w:type="spellStart"/>
      <w:r w:rsidRPr="00F643BE">
        <w:rPr>
          <w:rFonts w:hint="cs"/>
          <w:rtl/>
        </w:rPr>
        <w:t>איהו</w:t>
      </w:r>
      <w:proofErr w:type="spellEnd"/>
      <w:r w:rsidRPr="00F643BE">
        <w:rPr>
          <w:rFonts w:hint="cs"/>
          <w:rtl/>
        </w:rPr>
        <w:t xml:space="preserve"> בנצח" המתעורר על ידי "</w:t>
      </w:r>
      <w:proofErr w:type="spellStart"/>
      <w:r w:rsidRPr="00F643BE">
        <w:rPr>
          <w:rFonts w:hint="cs"/>
          <w:rtl/>
        </w:rPr>
        <w:t>איהי</w:t>
      </w:r>
      <w:proofErr w:type="spellEnd"/>
      <w:r w:rsidRPr="00F643BE">
        <w:rPr>
          <w:rFonts w:hint="cs"/>
          <w:rtl/>
        </w:rPr>
        <w:t xml:space="preserve"> בהוד").</w:t>
      </w:r>
    </w:p>
    <w:p w:rsidR="000C5891" w:rsidRDefault="000C5891" w:rsidP="000C5891">
      <w:pPr>
        <w:rPr>
          <w:rFonts w:hint="cs"/>
          <w:rtl/>
        </w:rPr>
      </w:pPr>
      <w:r>
        <w:rPr>
          <w:rFonts w:hint="cs"/>
          <w:rtl/>
        </w:rPr>
        <w:t>"</w:t>
      </w:r>
      <w:r w:rsidRPr="004D095B">
        <w:rPr>
          <w:rFonts w:hint="cs"/>
          <w:b/>
          <w:bCs/>
          <w:sz w:val="28"/>
          <w:szCs w:val="28"/>
          <w:rtl/>
        </w:rPr>
        <w:t>מודה</w:t>
      </w:r>
      <w:r>
        <w:rPr>
          <w:rFonts w:hint="cs"/>
          <w:rtl/>
        </w:rPr>
        <w:t xml:space="preserve"> </w:t>
      </w:r>
      <w:r w:rsidRPr="004D095B">
        <w:rPr>
          <w:rFonts w:hint="cs"/>
          <w:b/>
          <w:bCs/>
          <w:sz w:val="28"/>
          <w:szCs w:val="28"/>
          <w:rtl/>
        </w:rPr>
        <w:t>אני</w:t>
      </w:r>
      <w:r>
        <w:rPr>
          <w:rFonts w:hint="cs"/>
          <w:rtl/>
        </w:rPr>
        <w:t>" עולה "</w:t>
      </w:r>
      <w:r w:rsidRPr="004D095B">
        <w:rPr>
          <w:rFonts w:hint="cs"/>
          <w:b/>
          <w:bCs/>
          <w:sz w:val="28"/>
          <w:szCs w:val="28"/>
          <w:rtl/>
        </w:rPr>
        <w:t>חן</w:t>
      </w:r>
      <w:r>
        <w:rPr>
          <w:rFonts w:hint="cs"/>
          <w:rtl/>
        </w:rPr>
        <w:t xml:space="preserve"> </w:t>
      </w:r>
      <w:r w:rsidRPr="004D095B">
        <w:rPr>
          <w:rFonts w:hint="cs"/>
          <w:b/>
          <w:bCs/>
          <w:sz w:val="28"/>
          <w:szCs w:val="28"/>
          <w:rtl/>
        </w:rPr>
        <w:t>חן</w:t>
      </w:r>
      <w:r>
        <w:rPr>
          <w:rFonts w:hint="cs"/>
          <w:rtl/>
        </w:rPr>
        <w:t>" (כלשון הפסוק "</w:t>
      </w:r>
      <w:proofErr w:type="spellStart"/>
      <w:r>
        <w:rPr>
          <w:rFonts w:hint="cs"/>
          <w:rtl/>
        </w:rPr>
        <w:t>תשֻאות</w:t>
      </w:r>
      <w:proofErr w:type="spellEnd"/>
      <w:r>
        <w:rPr>
          <w:rFonts w:hint="cs"/>
          <w:rtl/>
        </w:rPr>
        <w:t xml:space="preserve"> </w:t>
      </w:r>
      <w:r w:rsidRPr="00767597">
        <w:rPr>
          <w:rFonts w:hint="cs"/>
          <w:b/>
          <w:bCs/>
          <w:sz w:val="28"/>
          <w:szCs w:val="28"/>
          <w:rtl/>
        </w:rPr>
        <w:t>חן</w:t>
      </w:r>
      <w:r>
        <w:rPr>
          <w:rFonts w:hint="cs"/>
          <w:rtl/>
        </w:rPr>
        <w:t xml:space="preserve"> </w:t>
      </w:r>
      <w:r w:rsidRPr="00767597">
        <w:rPr>
          <w:rFonts w:hint="cs"/>
          <w:b/>
          <w:bCs/>
          <w:sz w:val="28"/>
          <w:szCs w:val="28"/>
          <w:rtl/>
        </w:rPr>
        <w:t>חן</w:t>
      </w:r>
      <w:r>
        <w:rPr>
          <w:rFonts w:hint="cs"/>
          <w:rtl/>
        </w:rPr>
        <w:t xml:space="preserve"> לה"</w:t>
      </w:r>
      <w:r w:rsidRPr="005316B5">
        <w:rPr>
          <w:rStyle w:val="a6"/>
          <w:rtl/>
        </w:rPr>
        <w:endnoteReference w:id="14"/>
      </w:r>
      <w:r>
        <w:rPr>
          <w:rFonts w:hint="cs"/>
          <w:rtl/>
        </w:rPr>
        <w:t xml:space="preserve">) </w:t>
      </w:r>
      <w:r>
        <w:rPr>
          <w:rtl/>
        </w:rPr>
        <w:t>–</w:t>
      </w:r>
      <w:r>
        <w:rPr>
          <w:rFonts w:hint="cs"/>
          <w:rtl/>
        </w:rPr>
        <w:t xml:space="preserve"> היינו ש"</w:t>
      </w:r>
      <w:r w:rsidRPr="00767597">
        <w:rPr>
          <w:rFonts w:hint="cs"/>
          <w:b/>
          <w:bCs/>
          <w:sz w:val="28"/>
          <w:szCs w:val="28"/>
          <w:rtl/>
        </w:rPr>
        <w:t>חן</w:t>
      </w:r>
      <w:r>
        <w:rPr>
          <w:rFonts w:hint="cs"/>
          <w:rtl/>
        </w:rPr>
        <w:t>" הוא הממוצע בין "</w:t>
      </w:r>
      <w:r w:rsidRPr="00767597">
        <w:rPr>
          <w:rFonts w:hint="cs"/>
          <w:b/>
          <w:bCs/>
          <w:sz w:val="28"/>
          <w:szCs w:val="28"/>
          <w:rtl/>
        </w:rPr>
        <w:t>מודה</w:t>
      </w:r>
      <w:r>
        <w:rPr>
          <w:rFonts w:hint="cs"/>
          <w:rtl/>
        </w:rPr>
        <w:t>" ל"</w:t>
      </w:r>
      <w:r w:rsidRPr="00767597">
        <w:rPr>
          <w:rFonts w:hint="cs"/>
          <w:b/>
          <w:bCs/>
          <w:sz w:val="28"/>
          <w:szCs w:val="28"/>
          <w:rtl/>
        </w:rPr>
        <w:t>אני</w:t>
      </w:r>
      <w:r>
        <w:rPr>
          <w:rFonts w:hint="cs"/>
          <w:rtl/>
        </w:rPr>
        <w:t xml:space="preserve">" </w:t>
      </w:r>
      <w:r>
        <w:rPr>
          <w:rtl/>
        </w:rPr>
        <w:t>–</w:t>
      </w:r>
      <w:r>
        <w:rPr>
          <w:rFonts w:hint="cs"/>
          <w:rtl/>
        </w:rPr>
        <w:t xml:space="preserve"> ללמד על החן ההדדי המתגלה בין בני הזוג כאשר הם זוכים להפוך את </w:t>
      </w:r>
      <w:proofErr w:type="spellStart"/>
      <w:r>
        <w:rPr>
          <w:rFonts w:hint="cs"/>
          <w:rtl/>
        </w:rPr>
        <w:t>חוית</w:t>
      </w:r>
      <w:proofErr w:type="spellEnd"/>
      <w:r>
        <w:rPr>
          <w:rFonts w:hint="cs"/>
          <w:rtl/>
        </w:rPr>
        <w:t xml:space="preserve"> ה"אני" </w:t>
      </w:r>
      <w:proofErr w:type="spellStart"/>
      <w:r>
        <w:rPr>
          <w:rFonts w:hint="cs"/>
          <w:rtl/>
        </w:rPr>
        <w:t>האגונצטרית</w:t>
      </w:r>
      <w:proofErr w:type="spellEnd"/>
      <w:r>
        <w:rPr>
          <w:rFonts w:hint="cs"/>
          <w:rtl/>
        </w:rPr>
        <w:t xml:space="preserve"> </w:t>
      </w:r>
      <w:proofErr w:type="spellStart"/>
      <w:r>
        <w:rPr>
          <w:rFonts w:hint="cs"/>
          <w:rtl/>
        </w:rPr>
        <w:t>לחוית</w:t>
      </w:r>
      <w:proofErr w:type="spellEnd"/>
      <w:r>
        <w:rPr>
          <w:rFonts w:hint="cs"/>
          <w:rtl/>
        </w:rPr>
        <w:t xml:space="preserve"> "מודה אני" מלאה הכרה בטוב ה' על שזיכה אותם להכיר זה את זו. החן הכפול הזה </w:t>
      </w:r>
      <w:r>
        <w:rPr>
          <w:rtl/>
        </w:rPr>
        <w:t>–</w:t>
      </w:r>
      <w:r>
        <w:rPr>
          <w:rFonts w:hint="cs"/>
          <w:rtl/>
        </w:rPr>
        <w:t xml:space="preserve"> </w:t>
      </w:r>
      <w:r w:rsidRPr="00E84990">
        <w:rPr>
          <w:rStyle w:val="a3"/>
          <w:rFonts w:hint="cs"/>
          <w:rtl/>
        </w:rPr>
        <w:t>חן</w:t>
      </w:r>
      <w:r>
        <w:rPr>
          <w:rFonts w:hint="cs"/>
          <w:rtl/>
        </w:rPr>
        <w:t xml:space="preserve"> ה</w:t>
      </w:r>
      <w:r w:rsidRPr="00E84990">
        <w:rPr>
          <w:rStyle w:val="a3"/>
          <w:rFonts w:hint="cs"/>
          <w:rtl/>
        </w:rPr>
        <w:t>חתן</w:t>
      </w:r>
      <w:r>
        <w:rPr>
          <w:rFonts w:hint="cs"/>
          <w:rtl/>
        </w:rPr>
        <w:t xml:space="preserve"> המכיר במעלת כלתו וחש ב"חן </w:t>
      </w:r>
      <w:proofErr w:type="spellStart"/>
      <w:r>
        <w:rPr>
          <w:rFonts w:hint="cs"/>
          <w:rtl/>
        </w:rPr>
        <w:t>אשה</w:t>
      </w:r>
      <w:proofErr w:type="spellEnd"/>
      <w:r>
        <w:rPr>
          <w:rFonts w:hint="cs"/>
          <w:rtl/>
        </w:rPr>
        <w:t xml:space="preserve"> על בעלה"</w:t>
      </w:r>
      <w:r w:rsidRPr="005316B5">
        <w:rPr>
          <w:rStyle w:val="a6"/>
          <w:rtl/>
        </w:rPr>
        <w:endnoteReference w:id="15"/>
      </w:r>
      <w:r>
        <w:rPr>
          <w:rFonts w:hint="cs"/>
          <w:rtl/>
        </w:rPr>
        <w:t xml:space="preserve">, וחן ה"אשת חן </w:t>
      </w:r>
      <w:proofErr w:type="spellStart"/>
      <w:r>
        <w:rPr>
          <w:rFonts w:hint="cs"/>
          <w:rtl/>
        </w:rPr>
        <w:t>תתמ</w:t>
      </w:r>
      <w:r w:rsidRPr="00CD27F0">
        <w:rPr>
          <w:rFonts w:hint="cs"/>
          <w:spacing w:val="-10"/>
          <w:rtl/>
        </w:rPr>
        <w:t>ֹ</w:t>
      </w:r>
      <w:r>
        <w:rPr>
          <w:rFonts w:hint="cs"/>
          <w:rtl/>
        </w:rPr>
        <w:t>ך</w:t>
      </w:r>
      <w:proofErr w:type="spellEnd"/>
      <w:r>
        <w:rPr>
          <w:rFonts w:hint="cs"/>
          <w:rtl/>
        </w:rPr>
        <w:t xml:space="preserve"> כבוד"</w:t>
      </w:r>
      <w:r w:rsidRPr="005316B5">
        <w:rPr>
          <w:rStyle w:val="a6"/>
          <w:rtl/>
        </w:rPr>
        <w:endnoteReference w:id="16"/>
      </w:r>
      <w:r>
        <w:rPr>
          <w:rFonts w:hint="cs"/>
          <w:rtl/>
        </w:rPr>
        <w:t xml:space="preserve"> התומכת ב"כבוד חתן" (שהוא עצמו סוד אהבת החתן לאשתו</w:t>
      </w:r>
      <w:r w:rsidRPr="005316B5">
        <w:rPr>
          <w:rStyle w:val="a6"/>
          <w:rtl/>
        </w:rPr>
        <w:endnoteReference w:id="17"/>
      </w:r>
      <w:r>
        <w:rPr>
          <w:rFonts w:hint="cs"/>
          <w:rtl/>
        </w:rPr>
        <w:t xml:space="preserve">) </w:t>
      </w:r>
      <w:r>
        <w:rPr>
          <w:rtl/>
        </w:rPr>
        <w:t>–</w:t>
      </w:r>
      <w:r>
        <w:rPr>
          <w:rFonts w:hint="cs"/>
          <w:rtl/>
        </w:rPr>
        <w:t xml:space="preserve"> הוא היסוד והתשתית לחיים טובים מהחתונה ואילך.</w:t>
      </w:r>
    </w:p>
    <w:p w:rsidR="005F4A47" w:rsidRDefault="00655C0B">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C0B" w:rsidRDefault="00655C0B" w:rsidP="000C5891">
      <w:pPr>
        <w:spacing w:after="0" w:line="240" w:lineRule="auto"/>
      </w:pPr>
      <w:r>
        <w:separator/>
      </w:r>
    </w:p>
  </w:endnote>
  <w:endnote w:type="continuationSeparator" w:id="0">
    <w:p w:rsidR="00655C0B" w:rsidRDefault="00655C0B" w:rsidP="000C5891">
      <w:pPr>
        <w:spacing w:after="0" w:line="240" w:lineRule="auto"/>
      </w:pPr>
      <w:r>
        <w:continuationSeparator/>
      </w:r>
    </w:p>
  </w:endnote>
  <w:endnote w:id="1">
    <w:p w:rsidR="000C5891" w:rsidRPr="00500700" w:rsidRDefault="000C5891" w:rsidP="000C5891">
      <w:pPr>
        <w:pStyle w:val="a4"/>
        <w:rPr>
          <w:rFonts w:hint="cs"/>
          <w:rtl/>
        </w:rPr>
      </w:pPr>
      <w:r>
        <w:rPr>
          <w:rtl/>
        </w:rPr>
        <w:tab/>
      </w:r>
      <w:r w:rsidRPr="00E15672">
        <w:rPr>
          <w:rtl/>
        </w:rPr>
        <w:endnoteRef/>
      </w:r>
      <w:r>
        <w:rPr>
          <w:rtl/>
        </w:rPr>
        <w:t>.</w:t>
      </w:r>
      <w:r>
        <w:rPr>
          <w:rtl/>
        </w:rPr>
        <w:tab/>
      </w:r>
      <w:r w:rsidRPr="00500700">
        <w:rPr>
          <w:rFonts w:hint="cs"/>
          <w:rtl/>
        </w:rPr>
        <w:t>ראה חוב</w:t>
      </w:r>
      <w:r>
        <w:rPr>
          <w:rFonts w:hint="cs"/>
          <w:rtl/>
        </w:rPr>
        <w:t>ו</w:t>
      </w:r>
      <w:r w:rsidRPr="00500700">
        <w:rPr>
          <w:rFonts w:hint="cs"/>
          <w:rtl/>
        </w:rPr>
        <w:t xml:space="preserve">ת הלבבות </w:t>
      </w:r>
      <w:r>
        <w:rPr>
          <w:rFonts w:hint="cs"/>
          <w:rtl/>
        </w:rPr>
        <w:t>בהקדמה לשער הבחינה</w:t>
      </w:r>
      <w:r w:rsidRPr="00500700">
        <w:rPr>
          <w:rFonts w:hint="cs"/>
          <w:rtl/>
        </w:rPr>
        <w:t>. ספר החינוך לג (מצות כיבוד אב ואם).</w:t>
      </w:r>
    </w:p>
  </w:endnote>
  <w:endnote w:id="2">
    <w:p w:rsidR="000C5891" w:rsidRDefault="000C5891" w:rsidP="000C5891">
      <w:pPr>
        <w:pStyle w:val="a4"/>
        <w:rPr>
          <w:rFonts w:hint="cs"/>
        </w:rPr>
      </w:pPr>
      <w:r>
        <w:rPr>
          <w:rtl/>
        </w:rPr>
        <w:tab/>
      </w:r>
      <w:r w:rsidRPr="00E15672">
        <w:rPr>
          <w:rtl/>
        </w:rPr>
        <w:endnoteRef/>
      </w:r>
      <w:r>
        <w:rPr>
          <w:rtl/>
        </w:rPr>
        <w:t>.</w:t>
      </w:r>
      <w:r>
        <w:rPr>
          <w:rtl/>
        </w:rPr>
        <w:tab/>
      </w:r>
      <w:r>
        <w:rPr>
          <w:rFonts w:hint="cs"/>
          <w:rtl/>
        </w:rPr>
        <w:t xml:space="preserve">כמבואר </w:t>
      </w:r>
      <w:proofErr w:type="spellStart"/>
      <w:r>
        <w:rPr>
          <w:rFonts w:hint="cs"/>
          <w:rtl/>
        </w:rPr>
        <w:t>בלקוטי</w:t>
      </w:r>
      <w:proofErr w:type="spellEnd"/>
      <w:r>
        <w:rPr>
          <w:rFonts w:hint="cs"/>
          <w:rtl/>
        </w:rPr>
        <w:t xml:space="preserve"> שיחות כרך יא ע' 109 והלאה, וראה גם קונטרס ענינה של תורת החסידות.</w:t>
      </w:r>
    </w:p>
  </w:endnote>
  <w:endnote w:id="3">
    <w:p w:rsidR="000C5891" w:rsidRPr="00500700" w:rsidRDefault="000C5891" w:rsidP="000C5891">
      <w:pPr>
        <w:pStyle w:val="a4"/>
        <w:rPr>
          <w:rFonts w:hint="cs"/>
          <w:rtl/>
        </w:rPr>
      </w:pPr>
      <w:r>
        <w:rPr>
          <w:rtl/>
        </w:rPr>
        <w:tab/>
      </w:r>
      <w:r w:rsidRPr="00E15672">
        <w:rPr>
          <w:rtl/>
        </w:rPr>
        <w:endnoteRef/>
      </w:r>
      <w:r>
        <w:rPr>
          <w:rtl/>
        </w:rPr>
        <w:t>.</w:t>
      </w:r>
      <w:r>
        <w:rPr>
          <w:rtl/>
        </w:rPr>
        <w:tab/>
      </w:r>
      <w:r w:rsidRPr="00500700">
        <w:rPr>
          <w:rFonts w:hint="cs"/>
          <w:rtl/>
        </w:rPr>
        <w:t>ראה שכינה ביניהם פ"</w:t>
      </w:r>
      <w:r>
        <w:rPr>
          <w:rFonts w:hint="cs"/>
          <w:rtl/>
        </w:rPr>
        <w:t>ב</w:t>
      </w:r>
      <w:r w:rsidRPr="00500700">
        <w:rPr>
          <w:rFonts w:hint="cs"/>
          <w:rtl/>
        </w:rPr>
        <w:t xml:space="preserve"> </w:t>
      </w:r>
      <w:r>
        <w:rPr>
          <w:rFonts w:hint="cs"/>
          <w:rtl/>
        </w:rPr>
        <w:t>ע' קי</w:t>
      </w:r>
      <w:r w:rsidRPr="00500700">
        <w:rPr>
          <w:rFonts w:hint="cs"/>
          <w:rtl/>
        </w:rPr>
        <w:t xml:space="preserve">. יין משמח </w:t>
      </w:r>
      <w:proofErr w:type="spellStart"/>
      <w:r w:rsidRPr="00500700">
        <w:rPr>
          <w:rFonts w:hint="cs"/>
          <w:rtl/>
        </w:rPr>
        <w:t>ח"ב</w:t>
      </w:r>
      <w:proofErr w:type="spellEnd"/>
      <w:r w:rsidRPr="00500700">
        <w:rPr>
          <w:rFonts w:hint="cs"/>
          <w:rtl/>
        </w:rPr>
        <w:t xml:space="preserve"> </w:t>
      </w:r>
      <w:r>
        <w:rPr>
          <w:rFonts w:hint="cs"/>
          <w:rtl/>
        </w:rPr>
        <w:t>שער א בתורה "כמים הפנים לפנים"</w:t>
      </w:r>
      <w:r w:rsidRPr="00500700">
        <w:rPr>
          <w:rFonts w:hint="cs"/>
          <w:rtl/>
        </w:rPr>
        <w:t>.</w:t>
      </w:r>
    </w:p>
  </w:endnote>
  <w:endnote w:id="4">
    <w:p w:rsidR="000C5891" w:rsidRPr="00500700" w:rsidRDefault="000C5891" w:rsidP="000C5891">
      <w:pPr>
        <w:pStyle w:val="a4"/>
        <w:rPr>
          <w:rFonts w:hint="cs"/>
          <w:rtl/>
        </w:rPr>
      </w:pPr>
      <w:r>
        <w:rPr>
          <w:rtl/>
        </w:rPr>
        <w:tab/>
      </w:r>
      <w:r w:rsidRPr="00E15672">
        <w:rPr>
          <w:rtl/>
        </w:rPr>
        <w:endnoteRef/>
      </w:r>
      <w:r>
        <w:rPr>
          <w:rtl/>
        </w:rPr>
        <w:t>.</w:t>
      </w:r>
      <w:r>
        <w:rPr>
          <w:rtl/>
        </w:rPr>
        <w:tab/>
      </w:r>
      <w:r w:rsidRPr="00500700">
        <w:rPr>
          <w:rFonts w:hint="cs"/>
          <w:rtl/>
        </w:rPr>
        <w:t xml:space="preserve">ראה יבמות </w:t>
      </w:r>
      <w:proofErr w:type="spellStart"/>
      <w:r w:rsidRPr="00500700">
        <w:rPr>
          <w:rFonts w:hint="cs"/>
          <w:rtl/>
        </w:rPr>
        <w:t>קיח</w:t>
      </w:r>
      <w:proofErr w:type="spellEnd"/>
      <w:r w:rsidRPr="00500700">
        <w:rPr>
          <w:rFonts w:hint="cs"/>
          <w:rtl/>
        </w:rPr>
        <w:t>, ב.</w:t>
      </w:r>
    </w:p>
  </w:endnote>
  <w:endnote w:id="5">
    <w:p w:rsidR="000C5891" w:rsidRPr="00500700" w:rsidRDefault="000C5891" w:rsidP="000C5891">
      <w:pPr>
        <w:pStyle w:val="a4"/>
        <w:rPr>
          <w:rFonts w:hint="cs"/>
          <w:rtl/>
        </w:rPr>
      </w:pPr>
      <w:r>
        <w:rPr>
          <w:rtl/>
        </w:rPr>
        <w:tab/>
      </w:r>
      <w:r w:rsidRPr="00E15672">
        <w:rPr>
          <w:rtl/>
        </w:rPr>
        <w:endnoteRef/>
      </w:r>
      <w:r>
        <w:rPr>
          <w:rtl/>
        </w:rPr>
        <w:t>.</w:t>
      </w:r>
      <w:r>
        <w:rPr>
          <w:rtl/>
        </w:rPr>
        <w:tab/>
      </w:r>
      <w:r>
        <w:rPr>
          <w:rFonts w:hint="cs"/>
          <w:rtl/>
        </w:rPr>
        <w:t xml:space="preserve">כמובא בכתבי </w:t>
      </w:r>
      <w:proofErr w:type="spellStart"/>
      <w:r>
        <w:rPr>
          <w:rFonts w:hint="cs"/>
          <w:rtl/>
        </w:rPr>
        <w:t>האריז"ל</w:t>
      </w:r>
      <w:proofErr w:type="spellEnd"/>
      <w:r>
        <w:rPr>
          <w:rFonts w:hint="cs"/>
          <w:rtl/>
        </w:rPr>
        <w:t xml:space="preserve"> בריבוי מקומות בשם הזהר והתיקונים – ראה לדוגמה ע"ח שער לח פ"ו (</w:t>
      </w:r>
      <w:proofErr w:type="spellStart"/>
      <w:r>
        <w:rPr>
          <w:rFonts w:hint="cs"/>
          <w:rtl/>
        </w:rPr>
        <w:t>מ"ת</w:t>
      </w:r>
      <w:proofErr w:type="spellEnd"/>
      <w:r>
        <w:rPr>
          <w:rFonts w:hint="cs"/>
          <w:rtl/>
        </w:rPr>
        <w:t>).</w:t>
      </w:r>
    </w:p>
  </w:endnote>
  <w:endnote w:id="6">
    <w:p w:rsidR="000C5891" w:rsidRDefault="000C5891" w:rsidP="000C5891">
      <w:pPr>
        <w:pStyle w:val="a4"/>
        <w:rPr>
          <w:rFonts w:hint="cs"/>
          <w:rtl/>
        </w:rPr>
      </w:pPr>
      <w:r>
        <w:rPr>
          <w:rtl/>
        </w:rPr>
        <w:tab/>
      </w:r>
      <w:r w:rsidRPr="00E15672">
        <w:rPr>
          <w:rtl/>
        </w:rPr>
        <w:endnoteRef/>
      </w:r>
      <w:r>
        <w:rPr>
          <w:rtl/>
        </w:rPr>
        <w:t>.</w:t>
      </w:r>
      <w:r>
        <w:rPr>
          <w:rtl/>
        </w:rPr>
        <w:tab/>
      </w:r>
      <w:r>
        <w:rPr>
          <w:rFonts w:hint="cs"/>
          <w:rtl/>
        </w:rPr>
        <w:t xml:space="preserve">ילקוט שמעוני דברים רמז </w:t>
      </w:r>
      <w:proofErr w:type="spellStart"/>
      <w:r>
        <w:rPr>
          <w:rFonts w:hint="cs"/>
          <w:rtl/>
        </w:rPr>
        <w:t>תתקמ</w:t>
      </w:r>
      <w:proofErr w:type="spellEnd"/>
      <w:r>
        <w:rPr>
          <w:rFonts w:hint="cs"/>
          <w:rtl/>
        </w:rPr>
        <w:t>, וראה בתורה הבאה – "</w:t>
      </w:r>
      <w:proofErr w:type="spellStart"/>
      <w:r>
        <w:rPr>
          <w:rFonts w:hint="cs"/>
          <w:rtl/>
        </w:rPr>
        <w:t>האשה</w:t>
      </w:r>
      <w:proofErr w:type="spellEnd"/>
      <w:r>
        <w:rPr>
          <w:rFonts w:hint="cs"/>
          <w:rtl/>
        </w:rPr>
        <w:t xml:space="preserve"> אשר נתת עמדי".</w:t>
      </w:r>
    </w:p>
  </w:endnote>
  <w:endnote w:id="7">
    <w:p w:rsidR="000C5891" w:rsidRDefault="000C5891" w:rsidP="000C5891">
      <w:pPr>
        <w:pStyle w:val="a4"/>
        <w:rPr>
          <w:rFonts w:hint="cs"/>
          <w:rtl/>
        </w:rPr>
      </w:pPr>
      <w:r>
        <w:rPr>
          <w:rtl/>
        </w:rPr>
        <w:tab/>
      </w:r>
      <w:r w:rsidRPr="00E15672">
        <w:rPr>
          <w:rtl/>
        </w:rPr>
        <w:endnoteRef/>
      </w:r>
      <w:r>
        <w:rPr>
          <w:rtl/>
        </w:rPr>
        <w:t>.</w:t>
      </w:r>
      <w:r>
        <w:rPr>
          <w:rtl/>
        </w:rPr>
        <w:tab/>
      </w:r>
      <w:r>
        <w:rPr>
          <w:rFonts w:hint="cs"/>
          <w:rtl/>
        </w:rPr>
        <w:t xml:space="preserve">זהר </w:t>
      </w:r>
      <w:proofErr w:type="spellStart"/>
      <w:r>
        <w:rPr>
          <w:rFonts w:hint="cs"/>
          <w:rtl/>
        </w:rPr>
        <w:t>ח"ג</w:t>
      </w:r>
      <w:proofErr w:type="spellEnd"/>
      <w:r>
        <w:rPr>
          <w:rFonts w:hint="cs"/>
          <w:rtl/>
        </w:rPr>
        <w:t xml:space="preserve"> </w:t>
      </w:r>
      <w:proofErr w:type="spellStart"/>
      <w:r>
        <w:rPr>
          <w:rFonts w:hint="cs"/>
          <w:rtl/>
        </w:rPr>
        <w:t>רל</w:t>
      </w:r>
      <w:proofErr w:type="spellEnd"/>
      <w:r>
        <w:rPr>
          <w:rFonts w:hint="cs"/>
          <w:rtl/>
        </w:rPr>
        <w:t>, א. וראה עוד לקמן בתורה "</w:t>
      </w:r>
      <w:proofErr w:type="spellStart"/>
      <w:r>
        <w:rPr>
          <w:rFonts w:hint="cs"/>
          <w:rtl/>
        </w:rPr>
        <w:t>וידריכם</w:t>
      </w:r>
      <w:proofErr w:type="spellEnd"/>
      <w:r>
        <w:rPr>
          <w:rFonts w:hint="cs"/>
          <w:rtl/>
        </w:rPr>
        <w:t xml:space="preserve"> בדרך ישרה".</w:t>
      </w:r>
    </w:p>
  </w:endnote>
  <w:endnote w:id="8">
    <w:p w:rsidR="000C5891" w:rsidRDefault="000C5891" w:rsidP="000C5891">
      <w:pPr>
        <w:pStyle w:val="a4"/>
        <w:rPr>
          <w:rFonts w:hint="cs"/>
          <w:rtl/>
        </w:rPr>
      </w:pPr>
      <w:r>
        <w:rPr>
          <w:rtl/>
        </w:rPr>
        <w:tab/>
      </w:r>
      <w:r w:rsidRPr="00E15672">
        <w:rPr>
          <w:rtl/>
        </w:rPr>
        <w:endnoteRef/>
      </w:r>
      <w:r>
        <w:rPr>
          <w:rtl/>
        </w:rPr>
        <w:t>.</w:t>
      </w:r>
      <w:r>
        <w:rPr>
          <w:rtl/>
        </w:rPr>
        <w:tab/>
      </w:r>
      <w:r>
        <w:rPr>
          <w:rFonts w:hint="cs"/>
          <w:rtl/>
        </w:rPr>
        <w:t xml:space="preserve">ויקרא </w:t>
      </w:r>
      <w:proofErr w:type="spellStart"/>
      <w:r>
        <w:rPr>
          <w:rFonts w:hint="cs"/>
          <w:rtl/>
        </w:rPr>
        <w:t>טז</w:t>
      </w:r>
      <w:proofErr w:type="spellEnd"/>
      <w:r>
        <w:rPr>
          <w:rFonts w:hint="cs"/>
          <w:rtl/>
        </w:rPr>
        <w:t>, ל.</w:t>
      </w:r>
    </w:p>
  </w:endnote>
  <w:endnote w:id="9">
    <w:p w:rsidR="000C5891" w:rsidRDefault="000C5891" w:rsidP="000C5891">
      <w:pPr>
        <w:pStyle w:val="a4"/>
        <w:rPr>
          <w:rFonts w:hint="cs"/>
        </w:rPr>
      </w:pPr>
      <w:r>
        <w:rPr>
          <w:rtl/>
        </w:rPr>
        <w:tab/>
      </w:r>
      <w:r w:rsidRPr="00E15672">
        <w:rPr>
          <w:rtl/>
        </w:rPr>
        <w:endnoteRef/>
      </w:r>
      <w:r>
        <w:rPr>
          <w:rtl/>
        </w:rPr>
        <w:t>.</w:t>
      </w:r>
      <w:r>
        <w:rPr>
          <w:rtl/>
        </w:rPr>
        <w:tab/>
      </w:r>
      <w:r>
        <w:rPr>
          <w:rFonts w:hint="cs"/>
          <w:rtl/>
        </w:rPr>
        <w:t xml:space="preserve">ראה </w:t>
      </w:r>
      <w:proofErr w:type="spellStart"/>
      <w:r>
        <w:rPr>
          <w:rFonts w:hint="cs"/>
          <w:rtl/>
        </w:rPr>
        <w:t>הנסמן</w:t>
      </w:r>
      <w:proofErr w:type="spellEnd"/>
      <w:r>
        <w:rPr>
          <w:rFonts w:hint="cs"/>
          <w:rtl/>
        </w:rPr>
        <w:t xml:space="preserve"> לעיל בהערה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Ref145017862 \h</w:instrText>
      </w:r>
      <w:r>
        <w:rPr>
          <w:rtl/>
        </w:rPr>
        <w:instrText xml:space="preserve"> </w:instrText>
      </w:r>
      <w:r>
        <w:rPr>
          <w:rtl/>
        </w:rPr>
        <w:fldChar w:fldCharType="separate"/>
      </w:r>
      <w:r>
        <w:rPr>
          <w:rtl/>
        </w:rPr>
        <w:t>ב</w:t>
      </w:r>
      <w:r>
        <w:rPr>
          <w:rtl/>
        </w:rPr>
        <w:fldChar w:fldCharType="end"/>
      </w:r>
      <w:r>
        <w:rPr>
          <w:rFonts w:hint="cs"/>
          <w:rtl/>
        </w:rPr>
        <w:t>.</w:t>
      </w:r>
    </w:p>
  </w:endnote>
  <w:endnote w:id="10">
    <w:p w:rsidR="000C5891" w:rsidRDefault="000C5891" w:rsidP="000C5891">
      <w:pPr>
        <w:pStyle w:val="a4"/>
        <w:rPr>
          <w:rFonts w:hint="cs"/>
          <w:rtl/>
        </w:rPr>
      </w:pPr>
      <w:r>
        <w:rPr>
          <w:rtl/>
        </w:rPr>
        <w:tab/>
      </w:r>
      <w:r w:rsidRPr="00E15672">
        <w:rPr>
          <w:rtl/>
        </w:rPr>
        <w:endnoteRef/>
      </w:r>
      <w:r>
        <w:rPr>
          <w:rtl/>
        </w:rPr>
        <w:t>.</w:t>
      </w:r>
      <w:r>
        <w:rPr>
          <w:rtl/>
        </w:rPr>
        <w:tab/>
      </w:r>
      <w:r>
        <w:rPr>
          <w:rFonts w:hint="cs"/>
          <w:rtl/>
        </w:rPr>
        <w:t>יומא פ"א מ"א.</w:t>
      </w:r>
    </w:p>
  </w:endnote>
  <w:endnote w:id="11">
    <w:p w:rsidR="000C5891" w:rsidRDefault="000C5891" w:rsidP="000C5891">
      <w:pPr>
        <w:pStyle w:val="a4"/>
        <w:rPr>
          <w:rFonts w:hint="cs"/>
        </w:rPr>
      </w:pPr>
      <w:r>
        <w:rPr>
          <w:rtl/>
        </w:rPr>
        <w:tab/>
      </w:r>
      <w:r w:rsidRPr="00E15672">
        <w:rPr>
          <w:rtl/>
        </w:rPr>
        <w:endnoteRef/>
      </w:r>
      <w:r>
        <w:rPr>
          <w:rtl/>
        </w:rPr>
        <w:t>.</w:t>
      </w:r>
      <w:r>
        <w:rPr>
          <w:rtl/>
        </w:rPr>
        <w:tab/>
      </w:r>
      <w:r>
        <w:rPr>
          <w:rFonts w:hint="cs"/>
          <w:rtl/>
        </w:rPr>
        <w:t xml:space="preserve">מדרש הנעלם שה"ש (זהר חדש) ובפירושי בעלי התוספות (דעת זקנים והדר זקנים) </w:t>
      </w:r>
      <w:proofErr w:type="spellStart"/>
      <w:r>
        <w:rPr>
          <w:rFonts w:hint="cs"/>
          <w:rtl/>
        </w:rPr>
        <w:t>והחזקוני</w:t>
      </w:r>
      <w:proofErr w:type="spellEnd"/>
      <w:r>
        <w:rPr>
          <w:rFonts w:hint="cs"/>
          <w:rtl/>
        </w:rPr>
        <w:t xml:space="preserve"> ריש פרשת בראשית (ודוק בפרדס רימונים שער </w:t>
      </w:r>
      <w:proofErr w:type="spellStart"/>
      <w:r>
        <w:rPr>
          <w:rFonts w:hint="cs"/>
          <w:rtl/>
        </w:rPr>
        <w:t>כז</w:t>
      </w:r>
      <w:proofErr w:type="spellEnd"/>
      <w:r>
        <w:rPr>
          <w:rFonts w:hint="cs"/>
          <w:rtl/>
        </w:rPr>
        <w:t xml:space="preserve"> פרק יא בנוגע לאשה).</w:t>
      </w:r>
    </w:p>
  </w:endnote>
  <w:endnote w:id="12">
    <w:p w:rsidR="000C5891" w:rsidRDefault="000C5891" w:rsidP="000C5891">
      <w:pPr>
        <w:pStyle w:val="a4"/>
        <w:rPr>
          <w:rFonts w:hint="cs"/>
          <w:rtl/>
        </w:rPr>
      </w:pPr>
      <w:r>
        <w:rPr>
          <w:rtl/>
        </w:rPr>
        <w:tab/>
      </w:r>
      <w:r w:rsidRPr="00E15672">
        <w:rPr>
          <w:rtl/>
        </w:rPr>
        <w:endnoteRef/>
      </w:r>
      <w:r>
        <w:rPr>
          <w:rtl/>
        </w:rPr>
        <w:t>.</w:t>
      </w:r>
      <w:r>
        <w:rPr>
          <w:rtl/>
        </w:rPr>
        <w:tab/>
        <w:t>ראה של"ה בית הגדול (</w:t>
      </w:r>
      <w:proofErr w:type="spellStart"/>
      <w:r>
        <w:rPr>
          <w:rtl/>
        </w:rPr>
        <w:t>לז</w:t>
      </w:r>
      <w:proofErr w:type="spellEnd"/>
      <w:r>
        <w:rPr>
          <w:rtl/>
        </w:rPr>
        <w:t xml:space="preserve">, א-ב) </w:t>
      </w:r>
      <w:r>
        <w:rPr>
          <w:rFonts w:hint="cs"/>
          <w:rtl/>
        </w:rPr>
        <w:t xml:space="preserve">– </w:t>
      </w:r>
      <w:r>
        <w:rPr>
          <w:rtl/>
        </w:rPr>
        <w:t xml:space="preserve">הובא </w:t>
      </w:r>
      <w:proofErr w:type="spellStart"/>
      <w:r>
        <w:rPr>
          <w:rtl/>
        </w:rPr>
        <w:t>באוה"ת</w:t>
      </w:r>
      <w:proofErr w:type="spellEnd"/>
      <w:r>
        <w:rPr>
          <w:rtl/>
        </w:rPr>
        <w:t xml:space="preserve"> נ"ך </w:t>
      </w:r>
      <w:r>
        <w:rPr>
          <w:rFonts w:hint="cs"/>
          <w:rtl/>
        </w:rPr>
        <w:t>לישעיה ט, ו (</w:t>
      </w:r>
      <w:proofErr w:type="spellStart"/>
      <w:r>
        <w:rPr>
          <w:rtl/>
        </w:rPr>
        <w:t>ס"ע</w:t>
      </w:r>
      <w:proofErr w:type="spellEnd"/>
      <w:r>
        <w:rPr>
          <w:rtl/>
        </w:rPr>
        <w:t xml:space="preserve"> קפד ואילך</w:t>
      </w:r>
      <w:r>
        <w:rPr>
          <w:rFonts w:hint="cs"/>
          <w:rtl/>
        </w:rPr>
        <w:t xml:space="preserve">) – ובמגלה עמוקות אופן קס"ו (וראה גם ביחס לתיקון </w:t>
      </w:r>
      <w:proofErr w:type="spellStart"/>
      <w:r>
        <w:rPr>
          <w:rFonts w:hint="cs"/>
          <w:rtl/>
        </w:rPr>
        <w:t>האשה</w:t>
      </w:r>
      <w:proofErr w:type="spellEnd"/>
      <w:r>
        <w:rPr>
          <w:rFonts w:hint="cs"/>
          <w:rtl/>
        </w:rPr>
        <w:t xml:space="preserve"> בסוד זה במגלה עמוקות </w:t>
      </w:r>
      <w:proofErr w:type="spellStart"/>
      <w:r>
        <w:rPr>
          <w:rFonts w:hint="cs"/>
          <w:rtl/>
        </w:rPr>
        <w:t>עה"ת</w:t>
      </w:r>
      <w:proofErr w:type="spellEnd"/>
      <w:r>
        <w:rPr>
          <w:rFonts w:hint="cs"/>
          <w:rtl/>
        </w:rPr>
        <w:t xml:space="preserve"> קרח ד"ה "נתן הקב"ה </w:t>
      </w:r>
      <w:proofErr w:type="spellStart"/>
      <w:r>
        <w:rPr>
          <w:rFonts w:hint="cs"/>
          <w:rtl/>
        </w:rPr>
        <w:t>לכהנים</w:t>
      </w:r>
      <w:proofErr w:type="spellEnd"/>
      <w:r>
        <w:rPr>
          <w:rFonts w:hint="cs"/>
          <w:rtl/>
        </w:rPr>
        <w:t xml:space="preserve"> </w:t>
      </w:r>
      <w:r w:rsidRPr="00892BD9">
        <w:rPr>
          <w:rFonts w:hint="cs"/>
          <w:rtl/>
        </w:rPr>
        <w:t>כ</w:t>
      </w:r>
      <w:r>
        <w:rPr>
          <w:rFonts w:hint="cs"/>
          <w:rtl/>
        </w:rPr>
        <w:t>"</w:t>
      </w:r>
      <w:r w:rsidRPr="00892BD9">
        <w:rPr>
          <w:rFonts w:hint="cs"/>
          <w:rtl/>
        </w:rPr>
        <w:t>ד</w:t>
      </w:r>
      <w:r>
        <w:rPr>
          <w:rFonts w:hint="cs"/>
          <w:rtl/>
        </w:rPr>
        <w:t xml:space="preserve"> מתנות").</w:t>
      </w:r>
    </w:p>
  </w:endnote>
  <w:endnote w:id="13">
    <w:p w:rsidR="000C5891" w:rsidRDefault="000C5891" w:rsidP="000C5891">
      <w:pPr>
        <w:pStyle w:val="a4"/>
        <w:rPr>
          <w:rFonts w:hint="cs"/>
          <w:rtl/>
        </w:rPr>
      </w:pPr>
      <w:r>
        <w:rPr>
          <w:rtl/>
        </w:rPr>
        <w:tab/>
      </w:r>
      <w:r w:rsidRPr="00E15672">
        <w:rPr>
          <w:rtl/>
        </w:rPr>
        <w:endnoteRef/>
      </w:r>
      <w:r>
        <w:rPr>
          <w:rtl/>
        </w:rPr>
        <w:t>.</w:t>
      </w:r>
      <w:r>
        <w:rPr>
          <w:rtl/>
        </w:rPr>
        <w:tab/>
      </w:r>
      <w:r>
        <w:rPr>
          <w:rFonts w:hint="cs"/>
          <w:rtl/>
        </w:rPr>
        <w:t>ישעיה ט, ו (וראה גם במ"מ המצוינים בהערה הקודמת).</w:t>
      </w:r>
    </w:p>
  </w:endnote>
  <w:endnote w:id="14">
    <w:p w:rsidR="000C5891" w:rsidRDefault="000C5891" w:rsidP="000C5891">
      <w:pPr>
        <w:pStyle w:val="a4"/>
        <w:rPr>
          <w:rFonts w:hint="cs"/>
          <w:rtl/>
        </w:rPr>
      </w:pPr>
      <w:r>
        <w:rPr>
          <w:rtl/>
        </w:rPr>
        <w:tab/>
      </w:r>
      <w:r w:rsidRPr="00E15672">
        <w:rPr>
          <w:rtl/>
        </w:rPr>
        <w:endnoteRef/>
      </w:r>
      <w:r>
        <w:rPr>
          <w:rtl/>
        </w:rPr>
        <w:t>.</w:t>
      </w:r>
      <w:r>
        <w:rPr>
          <w:rtl/>
        </w:rPr>
        <w:tab/>
      </w:r>
      <w:r>
        <w:rPr>
          <w:rFonts w:hint="cs"/>
          <w:rtl/>
        </w:rPr>
        <w:t>זכריה ד, ז.</w:t>
      </w:r>
    </w:p>
  </w:endnote>
  <w:endnote w:id="15">
    <w:p w:rsidR="000C5891" w:rsidRDefault="000C5891" w:rsidP="000C5891">
      <w:pPr>
        <w:pStyle w:val="a4"/>
        <w:rPr>
          <w:rFonts w:hint="cs"/>
          <w:rtl/>
        </w:rPr>
      </w:pPr>
      <w:r>
        <w:rPr>
          <w:rtl/>
        </w:rPr>
        <w:tab/>
      </w:r>
      <w:r w:rsidRPr="00E15672">
        <w:rPr>
          <w:rtl/>
        </w:rPr>
        <w:endnoteRef/>
      </w:r>
      <w:r>
        <w:rPr>
          <w:rtl/>
        </w:rPr>
        <w:t>.</w:t>
      </w:r>
      <w:r>
        <w:rPr>
          <w:rtl/>
        </w:rPr>
        <w:tab/>
      </w:r>
      <w:r>
        <w:rPr>
          <w:rFonts w:hint="cs"/>
          <w:rtl/>
        </w:rPr>
        <w:t xml:space="preserve">סוטה </w:t>
      </w:r>
      <w:proofErr w:type="spellStart"/>
      <w:r>
        <w:rPr>
          <w:rFonts w:hint="cs"/>
          <w:rtl/>
        </w:rPr>
        <w:t>מז</w:t>
      </w:r>
      <w:proofErr w:type="spellEnd"/>
      <w:r>
        <w:rPr>
          <w:rFonts w:hint="cs"/>
          <w:rtl/>
        </w:rPr>
        <w:t>, א.</w:t>
      </w:r>
    </w:p>
  </w:endnote>
  <w:endnote w:id="16">
    <w:p w:rsidR="000C5891" w:rsidRDefault="000C5891" w:rsidP="000C5891">
      <w:pPr>
        <w:pStyle w:val="a4"/>
        <w:rPr>
          <w:rFonts w:hint="cs"/>
          <w:rtl/>
        </w:rPr>
      </w:pPr>
      <w:r>
        <w:rPr>
          <w:rtl/>
        </w:rPr>
        <w:tab/>
      </w:r>
      <w:r w:rsidRPr="00E15672">
        <w:rPr>
          <w:rtl/>
        </w:rPr>
        <w:endnoteRef/>
      </w:r>
      <w:r>
        <w:rPr>
          <w:rtl/>
        </w:rPr>
        <w:t>.</w:t>
      </w:r>
      <w:r>
        <w:rPr>
          <w:rtl/>
        </w:rPr>
        <w:tab/>
      </w:r>
      <w:r>
        <w:rPr>
          <w:rFonts w:hint="cs"/>
          <w:rtl/>
        </w:rPr>
        <w:t xml:space="preserve">משלי יא, </w:t>
      </w:r>
      <w:proofErr w:type="spellStart"/>
      <w:r>
        <w:rPr>
          <w:rFonts w:hint="cs"/>
          <w:rtl/>
        </w:rPr>
        <w:t>טז</w:t>
      </w:r>
      <w:proofErr w:type="spellEnd"/>
      <w:r>
        <w:rPr>
          <w:rFonts w:hint="cs"/>
          <w:rtl/>
        </w:rPr>
        <w:t>.</w:t>
      </w:r>
    </w:p>
  </w:endnote>
  <w:endnote w:id="17">
    <w:p w:rsidR="000C5891" w:rsidRDefault="000C5891" w:rsidP="000C5891">
      <w:pPr>
        <w:pStyle w:val="a4"/>
        <w:rPr>
          <w:rFonts w:hint="cs"/>
          <w:rtl/>
        </w:rPr>
      </w:pPr>
      <w:r>
        <w:rPr>
          <w:rtl/>
        </w:rPr>
        <w:tab/>
      </w:r>
      <w:r w:rsidRPr="00E15672">
        <w:rPr>
          <w:rtl/>
        </w:rPr>
        <w:endnoteRef/>
      </w:r>
      <w:r>
        <w:rPr>
          <w:rtl/>
        </w:rPr>
        <w:t>.</w:t>
      </w:r>
      <w:r>
        <w:rPr>
          <w:rtl/>
        </w:rPr>
        <w:tab/>
      </w:r>
      <w:r>
        <w:rPr>
          <w:rFonts w:hint="cs"/>
          <w:rtl/>
        </w:rPr>
        <w:t>וראה בשער א בתורה "כי על כל כבוד חֻפה".</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C0B" w:rsidRDefault="00655C0B" w:rsidP="000C5891">
      <w:pPr>
        <w:spacing w:after="0" w:line="240" w:lineRule="auto"/>
      </w:pPr>
      <w:r>
        <w:separator/>
      </w:r>
    </w:p>
  </w:footnote>
  <w:footnote w:type="continuationSeparator" w:id="0">
    <w:p w:rsidR="00655C0B" w:rsidRDefault="00655C0B" w:rsidP="000C58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EAB"/>
    <w:rsid w:val="00061E65"/>
    <w:rsid w:val="000C5891"/>
    <w:rsid w:val="00655C0B"/>
    <w:rsid w:val="00AC2310"/>
    <w:rsid w:val="00DD4E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0C5891"/>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0C5891"/>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0C5891"/>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0C5891"/>
    <w:rPr>
      <w:rFonts w:cs="Miriam"/>
      <w:w w:val="100"/>
      <w:sz w:val="21"/>
      <w:szCs w:val="23"/>
    </w:rPr>
  </w:style>
  <w:style w:type="paragraph" w:styleId="a4">
    <w:name w:val="endnote text"/>
    <w:aliases w:val="Endnote Text"/>
    <w:basedOn w:val="a"/>
    <w:link w:val="a5"/>
    <w:autoRedefine/>
    <w:semiHidden/>
    <w:rsid w:val="000C5891"/>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0C5891"/>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0C5891"/>
    <w:rPr>
      <w:noProof/>
      <w:position w:val="-4"/>
      <w:szCs w:val="27"/>
      <w:vertAlign w:val="superscript"/>
    </w:rPr>
  </w:style>
  <w:style w:type="paragraph" w:customStyle="1" w:styleId="a8">
    <w:name w:val="פתיח תו"/>
    <w:basedOn w:val="a"/>
    <w:link w:val="a9"/>
    <w:rsid w:val="000C5891"/>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0C5891"/>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0C589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0C5891"/>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0C5891"/>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0C5891"/>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0C5891"/>
    <w:rPr>
      <w:rFonts w:cs="Miriam"/>
      <w:w w:val="100"/>
      <w:sz w:val="21"/>
      <w:szCs w:val="23"/>
    </w:rPr>
  </w:style>
  <w:style w:type="paragraph" w:styleId="a4">
    <w:name w:val="endnote text"/>
    <w:aliases w:val="Endnote Text"/>
    <w:basedOn w:val="a"/>
    <w:link w:val="a5"/>
    <w:autoRedefine/>
    <w:semiHidden/>
    <w:rsid w:val="000C5891"/>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0C5891"/>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0C5891"/>
    <w:rPr>
      <w:noProof/>
      <w:position w:val="-4"/>
      <w:szCs w:val="27"/>
      <w:vertAlign w:val="superscript"/>
    </w:rPr>
  </w:style>
  <w:style w:type="paragraph" w:customStyle="1" w:styleId="a8">
    <w:name w:val="פתיח תו"/>
    <w:basedOn w:val="a"/>
    <w:link w:val="a9"/>
    <w:rsid w:val="000C5891"/>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0C5891"/>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0C58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90;\&#1513;&#1506;&#1512;%20&#1513;&#1513;&#1497;%20&#1493;&#1499;&#1500;%20&#1492;&#1495;&#1497;&#1497;&#1501;%20&#1497;&#1493;&#1491;&#1493;&#1498;%20&#1505;&#1500;&#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2411</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2017-08-14T22:47:00Z</dcterms:created>
  <dcterms:modified xsi:type="dcterms:W3CDTF">2017-08-14T22:47:00Z</dcterms:modified>
</cp:coreProperties>
</file>