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B9" w:rsidRPr="00DE7874" w:rsidRDefault="00C178B9" w:rsidP="00C178B9">
      <w:pPr>
        <w:pStyle w:val="2"/>
        <w:rPr>
          <w:rFonts w:hint="cs"/>
          <w:rtl/>
        </w:rPr>
      </w:pPr>
      <w:bookmarkStart w:id="0" w:name="_Toc145068695"/>
      <w:bookmarkStart w:id="1" w:name="_Ref145069170"/>
      <w:r w:rsidRPr="00DE7874">
        <w:rPr>
          <w:rFonts w:hint="cs"/>
          <w:rtl/>
        </w:rPr>
        <w:t>"האשה אשר נתתה עמדי"</w:t>
      </w:r>
      <w:bookmarkEnd w:id="0"/>
      <w:bookmarkEnd w:id="1"/>
    </w:p>
    <w:p w:rsidR="00C178B9" w:rsidRDefault="00C178B9" w:rsidP="00C178B9">
      <w:pPr>
        <w:rPr>
          <w:rFonts w:hint="cs"/>
          <w:rtl/>
        </w:rPr>
      </w:pPr>
      <w:r>
        <w:rPr>
          <w:rFonts w:hint="cs"/>
          <w:rtl/>
        </w:rPr>
        <w:t xml:space="preserve">אחר חטא עץ הדעת הצטדק אדם הראשון לפני ה' </w:t>
      </w:r>
      <w:r>
        <w:rPr>
          <w:rtl/>
        </w:rPr>
        <w:t>–</w:t>
      </w:r>
      <w:r>
        <w:rPr>
          <w:rFonts w:hint="cs"/>
          <w:rtl/>
        </w:rPr>
        <w:t xml:space="preserve"> "</w:t>
      </w:r>
      <w:proofErr w:type="spellStart"/>
      <w:r>
        <w:rPr>
          <w:rFonts w:hint="cs"/>
          <w:rtl/>
        </w:rPr>
        <w:t>האשה</w:t>
      </w:r>
      <w:proofErr w:type="spellEnd"/>
      <w:r>
        <w:rPr>
          <w:rFonts w:hint="cs"/>
          <w:rtl/>
        </w:rPr>
        <w:t xml:space="preserve"> אשר </w:t>
      </w:r>
      <w:proofErr w:type="spellStart"/>
      <w:r>
        <w:rPr>
          <w:rFonts w:hint="cs"/>
          <w:rtl/>
        </w:rPr>
        <w:t>נתתה</w:t>
      </w:r>
      <w:proofErr w:type="spellEnd"/>
      <w:r>
        <w:rPr>
          <w:rFonts w:hint="cs"/>
          <w:rtl/>
        </w:rPr>
        <w:t xml:space="preserve"> עמדי היא נתנה לי מן העץ וא</w:t>
      </w:r>
      <w:r w:rsidRPr="00CD27F0">
        <w:rPr>
          <w:rFonts w:hint="cs"/>
          <w:spacing w:val="-10"/>
          <w:rtl/>
        </w:rPr>
        <w:t>ֹ</w:t>
      </w:r>
      <w:r>
        <w:rPr>
          <w:rFonts w:hint="cs"/>
          <w:rtl/>
        </w:rPr>
        <w:t>כל"</w:t>
      </w:r>
      <w:r w:rsidRPr="005316B5">
        <w:rPr>
          <w:rStyle w:val="a8"/>
          <w:rtl/>
        </w:rPr>
        <w:endnoteReference w:id="1"/>
      </w:r>
      <w:r>
        <w:rPr>
          <w:rFonts w:hint="cs"/>
          <w:rtl/>
        </w:rPr>
        <w:t xml:space="preserve">. הצטדקות זו </w:t>
      </w:r>
      <w:r>
        <w:rPr>
          <w:rtl/>
        </w:rPr>
        <w:t>–</w:t>
      </w:r>
      <w:r>
        <w:rPr>
          <w:rFonts w:hint="cs"/>
          <w:rtl/>
        </w:rPr>
        <w:t xml:space="preserve"> שהיא אב-הטיפוס לכל הצטדקות אופיינית של אדם על חטאיו </w:t>
      </w:r>
      <w:r>
        <w:rPr>
          <w:rtl/>
        </w:rPr>
        <w:t>–</w:t>
      </w:r>
      <w:r>
        <w:rPr>
          <w:rFonts w:hint="cs"/>
          <w:rtl/>
        </w:rPr>
        <w:t xml:space="preserve"> היא בגדר "</w:t>
      </w:r>
      <w:proofErr w:type="spellStart"/>
      <w:r>
        <w:rPr>
          <w:rFonts w:hint="cs"/>
          <w:rtl/>
        </w:rPr>
        <w:t>אולת</w:t>
      </w:r>
      <w:proofErr w:type="spellEnd"/>
      <w:r>
        <w:rPr>
          <w:rFonts w:hint="cs"/>
          <w:rtl/>
        </w:rPr>
        <w:t xml:space="preserve"> אדם תסלף דרכו ועל הוי' יזעף לבו"</w:t>
      </w:r>
      <w:r w:rsidRPr="005316B5">
        <w:rPr>
          <w:rStyle w:val="a8"/>
          <w:rtl/>
        </w:rPr>
        <w:endnoteReference w:id="2"/>
      </w:r>
      <w:r>
        <w:rPr>
          <w:rFonts w:hint="cs"/>
          <w:rtl/>
        </w:rPr>
        <w:t xml:space="preserve"> (כאשר האדם, שיצרו רע מ</w:t>
      </w:r>
      <w:r w:rsidRPr="00E84990">
        <w:rPr>
          <w:rStyle w:val="a5"/>
          <w:rFonts w:hint="cs"/>
          <w:rtl/>
        </w:rPr>
        <w:t>נעוריו</w:t>
      </w:r>
      <w:r>
        <w:rPr>
          <w:rFonts w:hint="cs"/>
          <w:rtl/>
        </w:rPr>
        <w:t xml:space="preserve">, חש הכרח </w:t>
      </w:r>
      <w:r w:rsidRPr="00E84990">
        <w:rPr>
          <w:rStyle w:val="a5"/>
          <w:rFonts w:hint="cs"/>
          <w:rtl/>
        </w:rPr>
        <w:t>להתנער</w:t>
      </w:r>
      <w:r>
        <w:rPr>
          <w:rFonts w:hint="cs"/>
          <w:rtl/>
        </w:rPr>
        <w:t xml:space="preserve"> מרגשי האשם על חטאיו </w:t>
      </w:r>
      <w:r>
        <w:rPr>
          <w:rtl/>
        </w:rPr>
        <w:t>–</w:t>
      </w:r>
      <w:r>
        <w:rPr>
          <w:rFonts w:hint="cs"/>
          <w:rtl/>
        </w:rPr>
        <w:t xml:space="preserve"> משום שאין הוא מסוגל להתמודד עמם מתוך שפלות בריאה </w:t>
      </w:r>
      <w:r>
        <w:rPr>
          <w:rtl/>
        </w:rPr>
        <w:t>–</w:t>
      </w:r>
      <w:r>
        <w:rPr>
          <w:rFonts w:hint="cs"/>
          <w:rtl/>
        </w:rPr>
        <w:t xml:space="preserve"> ומפנה את האשמה </w:t>
      </w:r>
      <w:proofErr w:type="spellStart"/>
      <w:r>
        <w:rPr>
          <w:rFonts w:hint="cs"/>
          <w:rtl/>
        </w:rPr>
        <w:t>בתחלה</w:t>
      </w:r>
      <w:proofErr w:type="spellEnd"/>
      <w:r>
        <w:rPr>
          <w:rFonts w:hint="cs"/>
          <w:rtl/>
        </w:rPr>
        <w:t xml:space="preserve"> אל סביבתו ובסופו של דבר אל אלוקיו</w:t>
      </w:r>
      <w:r w:rsidRPr="005316B5">
        <w:rPr>
          <w:rStyle w:val="a8"/>
          <w:rtl/>
        </w:rPr>
        <w:endnoteReference w:id="3"/>
      </w:r>
      <w:r>
        <w:rPr>
          <w:rFonts w:hint="cs"/>
          <w:rtl/>
        </w:rPr>
        <w:t xml:space="preserve">, מתחיל מ"האשה" ומסיים ב"אשר </w:t>
      </w:r>
      <w:proofErr w:type="spellStart"/>
      <w:r>
        <w:rPr>
          <w:rFonts w:hint="cs"/>
          <w:rtl/>
        </w:rPr>
        <w:t>נתתה</w:t>
      </w:r>
      <w:proofErr w:type="spellEnd"/>
      <w:r>
        <w:rPr>
          <w:rFonts w:hint="cs"/>
          <w:rtl/>
        </w:rPr>
        <w:t xml:space="preserve"> עמדי"). אמנם, מעבר להצטדקות המיותרת (במקום להרים ידיו ולומר "חטאתי </w:t>
      </w:r>
      <w:proofErr w:type="spellStart"/>
      <w:r>
        <w:rPr>
          <w:rFonts w:hint="cs"/>
          <w:rtl/>
        </w:rPr>
        <w:t>להוי</w:t>
      </w:r>
      <w:proofErr w:type="spellEnd"/>
      <w:r>
        <w:rPr>
          <w:rFonts w:hint="cs"/>
          <w:rtl/>
        </w:rPr>
        <w:t>'"</w:t>
      </w:r>
      <w:r w:rsidRPr="005316B5">
        <w:rPr>
          <w:rStyle w:val="a8"/>
          <w:rtl/>
        </w:rPr>
        <w:endnoteReference w:id="4"/>
      </w:r>
      <w:r>
        <w:rPr>
          <w:rFonts w:hint="cs"/>
          <w:rtl/>
        </w:rPr>
        <w:t>) חז"ל</w:t>
      </w:r>
      <w:r w:rsidRPr="005316B5">
        <w:rPr>
          <w:rStyle w:val="a8"/>
          <w:rtl/>
        </w:rPr>
        <w:endnoteReference w:id="5"/>
      </w:r>
      <w:r>
        <w:rPr>
          <w:rFonts w:hint="cs"/>
          <w:rtl/>
        </w:rPr>
        <w:t xml:space="preserve"> מוצאים עוד פגם בסיסי בהתבטאותו זו של אדם הראשון – כפיות טובה. וכפירוש רש"י על הפסוק: "כאן כפר בטובה".</w:t>
      </w:r>
    </w:p>
    <w:p w:rsidR="00C178B9" w:rsidRDefault="00C178B9" w:rsidP="00C178B9">
      <w:pPr>
        <w:rPr>
          <w:rFonts w:hint="cs"/>
          <w:rtl/>
        </w:rPr>
      </w:pPr>
      <w:r>
        <w:rPr>
          <w:rFonts w:hint="cs"/>
          <w:rtl/>
        </w:rPr>
        <w:t xml:space="preserve">האור החיים הקדוש אומר </w:t>
      </w:r>
      <w:proofErr w:type="spellStart"/>
      <w:r>
        <w:rPr>
          <w:rFonts w:hint="cs"/>
          <w:rtl/>
        </w:rPr>
        <w:t>ששרש</w:t>
      </w:r>
      <w:proofErr w:type="spellEnd"/>
      <w:r>
        <w:rPr>
          <w:rFonts w:hint="cs"/>
          <w:rtl/>
        </w:rPr>
        <w:t xml:space="preserve"> חטא עץ הדעת היה בהעדר תקשורת תקינה בין אדם לחוה</w:t>
      </w:r>
      <w:r w:rsidRPr="005316B5">
        <w:rPr>
          <w:rStyle w:val="a8"/>
          <w:rtl/>
        </w:rPr>
        <w:endnoteReference w:id="6"/>
      </w:r>
      <w:r>
        <w:rPr>
          <w:rFonts w:hint="cs"/>
          <w:rtl/>
        </w:rPr>
        <w:t xml:space="preserve">. אמנם, בעומק יותר חוסר התקשורת התקינה </w:t>
      </w:r>
      <w:r>
        <w:rPr>
          <w:rtl/>
        </w:rPr>
        <w:t>–</w:t>
      </w:r>
      <w:r>
        <w:rPr>
          <w:rFonts w:hint="cs"/>
          <w:rtl/>
        </w:rPr>
        <w:t xml:space="preserve"> ומתוך כך החטא כולו </w:t>
      </w:r>
      <w:r>
        <w:rPr>
          <w:rtl/>
        </w:rPr>
        <w:t>–</w:t>
      </w:r>
      <w:r>
        <w:rPr>
          <w:rFonts w:hint="cs"/>
          <w:rtl/>
        </w:rPr>
        <w:t xml:space="preserve"> נבעו מהיות אדם הראשון כפוי טובה בעצם, אשר לא ידע להעריך את אשתו ולהודות לה' על הטובה הגדולה בכך שנתן לו אותה. עם כל התפעלותו של אדם כי "זאת הפעם עצם מעצמי ובשר מבשרי"</w:t>
      </w:r>
      <w:r w:rsidRPr="005316B5">
        <w:rPr>
          <w:rStyle w:val="a8"/>
          <w:rtl/>
        </w:rPr>
        <w:endnoteReference w:id="7"/>
      </w:r>
      <w:r>
        <w:rPr>
          <w:rFonts w:hint="cs"/>
          <w:rtl/>
        </w:rPr>
        <w:t>, בכל זאת לא ידע להעריך נכונה את חוה ומעלותיה, שאם לא כן לא היה כופר בטובה ומתרעם "</w:t>
      </w:r>
      <w:proofErr w:type="spellStart"/>
      <w:r>
        <w:rPr>
          <w:rFonts w:hint="cs"/>
          <w:rtl/>
        </w:rPr>
        <w:t>האשה</w:t>
      </w:r>
      <w:proofErr w:type="spellEnd"/>
      <w:r>
        <w:rPr>
          <w:rFonts w:hint="cs"/>
          <w:rtl/>
        </w:rPr>
        <w:t xml:space="preserve"> אשר </w:t>
      </w:r>
      <w:proofErr w:type="spellStart"/>
      <w:r>
        <w:rPr>
          <w:rFonts w:hint="cs"/>
          <w:rtl/>
        </w:rPr>
        <w:t>נתתה</w:t>
      </w:r>
      <w:proofErr w:type="spellEnd"/>
      <w:r>
        <w:rPr>
          <w:rFonts w:hint="cs"/>
          <w:rtl/>
        </w:rPr>
        <w:t xml:space="preserve"> עמדי". הכרת הטוב היא הבסיס לכל חיי הנישואין</w:t>
      </w:r>
      <w:r w:rsidRPr="005316B5">
        <w:rPr>
          <w:rStyle w:val="a8"/>
          <w:rtl/>
        </w:rPr>
        <w:endnoteReference w:id="8"/>
      </w:r>
      <w:r>
        <w:rPr>
          <w:rFonts w:hint="cs"/>
          <w:rtl/>
        </w:rPr>
        <w:t xml:space="preserve">, ומי שאיננו יודע להכיר בטובה הרבה שהוא זוכה לה מבן הזוג שנתן לו ה' יוצר עיוות בסיסי ביחסיו אל בן הזוג. </w:t>
      </w:r>
    </w:p>
    <w:p w:rsidR="00C178B9" w:rsidRDefault="00C178B9" w:rsidP="00C178B9">
      <w:pPr>
        <w:rPr>
          <w:rFonts w:hint="cs"/>
          <w:rtl/>
        </w:rPr>
      </w:pPr>
      <w:r>
        <w:rPr>
          <w:rFonts w:hint="cs"/>
          <w:rtl/>
        </w:rPr>
        <w:t>יש מהאחרונים</w:t>
      </w:r>
      <w:r w:rsidRPr="005316B5">
        <w:rPr>
          <w:rStyle w:val="a8"/>
          <w:rtl/>
        </w:rPr>
        <w:endnoteReference w:id="9"/>
      </w:r>
      <w:r>
        <w:rPr>
          <w:rFonts w:hint="cs"/>
          <w:rtl/>
        </w:rPr>
        <w:t xml:space="preserve"> מי שמלמד זכות על כפיות הטובה של אדם הראשון, ומסביר כי בגן עדן לא ניכר היה ענין ה"עזר" לו זוכה האדם מאשתו. ההסבר הבסיסי ביותר להיות </w:t>
      </w:r>
      <w:proofErr w:type="spellStart"/>
      <w:r>
        <w:rPr>
          <w:rFonts w:hint="cs"/>
          <w:rtl/>
        </w:rPr>
        <w:t>האשה</w:t>
      </w:r>
      <w:proofErr w:type="spellEnd"/>
      <w:r>
        <w:rPr>
          <w:rFonts w:hint="cs"/>
          <w:rtl/>
        </w:rPr>
        <w:t xml:space="preserve"> "עזר" לבעלה הוא מענה אליהו הנביא לשאלה "במה </w:t>
      </w:r>
      <w:proofErr w:type="spellStart"/>
      <w:r>
        <w:rPr>
          <w:rFonts w:hint="cs"/>
          <w:rtl/>
        </w:rPr>
        <w:t>אשה</w:t>
      </w:r>
      <w:proofErr w:type="spellEnd"/>
      <w:r>
        <w:rPr>
          <w:rFonts w:hint="cs"/>
          <w:rtl/>
        </w:rPr>
        <w:t xml:space="preserve"> עוזרתו לאדם?": "אדם מביא </w:t>
      </w:r>
      <w:proofErr w:type="spellStart"/>
      <w:r>
        <w:rPr>
          <w:rFonts w:hint="cs"/>
          <w:rtl/>
        </w:rPr>
        <w:t>חיטין</w:t>
      </w:r>
      <w:proofErr w:type="spellEnd"/>
      <w:r>
        <w:rPr>
          <w:rFonts w:hint="cs"/>
          <w:rtl/>
        </w:rPr>
        <w:t xml:space="preserve"> </w:t>
      </w:r>
      <w:r>
        <w:rPr>
          <w:rtl/>
        </w:rPr>
        <w:t>–</w:t>
      </w:r>
      <w:r>
        <w:rPr>
          <w:rFonts w:hint="cs"/>
          <w:rtl/>
        </w:rPr>
        <w:t xml:space="preserve"> </w:t>
      </w:r>
      <w:proofErr w:type="spellStart"/>
      <w:r>
        <w:rPr>
          <w:rFonts w:hint="cs"/>
          <w:rtl/>
        </w:rPr>
        <w:t>חיטין</w:t>
      </w:r>
      <w:proofErr w:type="spellEnd"/>
      <w:r>
        <w:rPr>
          <w:rFonts w:hint="cs"/>
          <w:rtl/>
        </w:rPr>
        <w:t xml:space="preserve"> כוסס, פשתן </w:t>
      </w:r>
      <w:r>
        <w:rPr>
          <w:rtl/>
        </w:rPr>
        <w:t>–</w:t>
      </w:r>
      <w:r>
        <w:rPr>
          <w:rFonts w:hint="cs"/>
          <w:rtl/>
        </w:rPr>
        <w:t xml:space="preserve"> פשתן לובש, לא נמצאת מאירה עיניו ומעמידתו על רגליו?!"</w:t>
      </w:r>
      <w:r w:rsidRPr="005316B5">
        <w:rPr>
          <w:rStyle w:val="a8"/>
          <w:rtl/>
        </w:rPr>
        <w:endnoteReference w:id="10"/>
      </w:r>
      <w:r>
        <w:rPr>
          <w:rFonts w:hint="cs"/>
          <w:rtl/>
        </w:rPr>
        <w:t xml:space="preserve">. לפי זה, אם עזר </w:t>
      </w:r>
      <w:proofErr w:type="spellStart"/>
      <w:r>
        <w:rPr>
          <w:rFonts w:hint="cs"/>
          <w:rtl/>
        </w:rPr>
        <w:t>האשה</w:t>
      </w:r>
      <w:proofErr w:type="spellEnd"/>
      <w:r>
        <w:rPr>
          <w:rFonts w:hint="cs"/>
          <w:rtl/>
        </w:rPr>
        <w:t xml:space="preserve"> ניכר בעיקר בבישול ובהלבשה, הרי שהדבר לא נצרך בגן עדן</w:t>
      </w:r>
      <w:r w:rsidRPr="005316B5">
        <w:rPr>
          <w:rStyle w:val="a8"/>
          <w:rtl/>
        </w:rPr>
        <w:endnoteReference w:id="11"/>
      </w:r>
      <w:r>
        <w:rPr>
          <w:rFonts w:hint="cs"/>
          <w:rtl/>
        </w:rPr>
        <w:t>, בו כל מחסורו של אדם הראשון היה על ה' (ממש כפי שלעתיד לבוא תצמיח ארץ ישראל גלוסקאות וכלי מילת</w:t>
      </w:r>
      <w:r w:rsidRPr="005316B5">
        <w:rPr>
          <w:rStyle w:val="a8"/>
          <w:rtl/>
        </w:rPr>
        <w:endnoteReference w:id="12"/>
      </w:r>
      <w:r>
        <w:rPr>
          <w:rFonts w:hint="cs"/>
          <w:rtl/>
        </w:rPr>
        <w:t xml:space="preserve">), ועל כן אדם הראשון לא חש כי אשתו הוא "עזר" ומתוך כך כפר בטובה. </w:t>
      </w:r>
    </w:p>
    <w:p w:rsidR="00C178B9" w:rsidRDefault="00C178B9" w:rsidP="00C178B9">
      <w:pPr>
        <w:rPr>
          <w:rFonts w:hint="cs"/>
          <w:rtl/>
        </w:rPr>
      </w:pPr>
      <w:r>
        <w:rPr>
          <w:rFonts w:hint="cs"/>
          <w:rtl/>
        </w:rPr>
        <w:t xml:space="preserve">אכן, טעותו העמוקה של אדם הראשון </w:t>
      </w:r>
      <w:proofErr w:type="spellStart"/>
      <w:r>
        <w:rPr>
          <w:rFonts w:hint="cs"/>
          <w:rtl/>
        </w:rPr>
        <w:t>היתה</w:t>
      </w:r>
      <w:proofErr w:type="spellEnd"/>
      <w:r>
        <w:rPr>
          <w:rFonts w:hint="cs"/>
          <w:rtl/>
        </w:rPr>
        <w:t xml:space="preserve"> בכך שלא חש </w:t>
      </w:r>
      <w:proofErr w:type="spellStart"/>
      <w:r>
        <w:rPr>
          <w:rFonts w:hint="cs"/>
          <w:rtl/>
        </w:rPr>
        <w:t>בענין</w:t>
      </w:r>
      <w:proofErr w:type="spellEnd"/>
      <w:r>
        <w:rPr>
          <w:rFonts w:hint="cs"/>
          <w:rtl/>
        </w:rPr>
        <w:t xml:space="preserve"> ה"עזר" המהותי </w:t>
      </w:r>
      <w:proofErr w:type="spellStart"/>
      <w:r>
        <w:rPr>
          <w:rFonts w:hint="cs"/>
          <w:rtl/>
        </w:rPr>
        <w:t>והאמיתי</w:t>
      </w:r>
      <w:proofErr w:type="spellEnd"/>
      <w:r>
        <w:rPr>
          <w:rFonts w:hint="cs"/>
          <w:rtl/>
        </w:rPr>
        <w:t xml:space="preserve"> שהעניקה לו אשתו – בכך שענתה על צרכיו שלא להיות לבדו (אחרי שבא על כל חיה ועוף שבעולם ולא נתקררה דעתו</w:t>
      </w:r>
      <w:r w:rsidRPr="005316B5">
        <w:rPr>
          <w:rStyle w:val="a8"/>
          <w:rtl/>
        </w:rPr>
        <w:endnoteReference w:id="13"/>
      </w:r>
      <w:r>
        <w:rPr>
          <w:rFonts w:hint="cs"/>
          <w:rtl/>
        </w:rPr>
        <w:t>) ובעיקר בקיום מצות וברכת ה' "פרו ורבו"</w:t>
      </w:r>
      <w:r w:rsidRPr="005316B5">
        <w:rPr>
          <w:rStyle w:val="a8"/>
          <w:rtl/>
        </w:rPr>
        <w:endnoteReference w:id="14"/>
      </w:r>
      <w:r>
        <w:rPr>
          <w:rFonts w:hint="cs"/>
          <w:rtl/>
        </w:rPr>
        <w:t xml:space="preserve">. בנין כל בית בישראל הוא כדי להעמיד דורות ישרים מבורכים, וזו הנקודה העצמית ביותר בה לא יכולים בני הזוג להסתדר אחד ללא השני ועליה עליהם להכיר תודה – הן זה לזו, והן </w:t>
      </w:r>
      <w:proofErr w:type="spellStart"/>
      <w:r>
        <w:rPr>
          <w:rFonts w:hint="cs"/>
          <w:rtl/>
        </w:rPr>
        <w:t>להשי"ת</w:t>
      </w:r>
      <w:proofErr w:type="spellEnd"/>
      <w:r>
        <w:rPr>
          <w:rFonts w:hint="cs"/>
          <w:rtl/>
        </w:rPr>
        <w:t xml:space="preserve"> על כך שזיכה אותם זה בזו. וביתר חדות – גם כאשר אחד מבני הזוג אינו מוצא טובות שמעניק לו בן זוגו, עליו להתבונן כי עצם ענין הנישואין (הבא לידי ביטוי ביחסי האישות ובהורות) הוא המתנה הכי גדולה </w:t>
      </w:r>
      <w:r>
        <w:rPr>
          <w:rFonts w:hint="cs"/>
          <w:rtl/>
        </w:rPr>
        <w:lastRenderedPageBreak/>
        <w:t xml:space="preserve">לה זכה מבן זוגו ולהכיר לו ולבוראו טובה על כך. מתוך כך, כאשר ישתחרר </w:t>
      </w:r>
      <w:proofErr w:type="spellStart"/>
      <w:r>
        <w:rPr>
          <w:rFonts w:hint="cs"/>
          <w:rtl/>
        </w:rPr>
        <w:t>מהיותו</w:t>
      </w:r>
      <w:proofErr w:type="spellEnd"/>
      <w:r>
        <w:rPr>
          <w:rFonts w:hint="cs"/>
          <w:rtl/>
        </w:rPr>
        <w:t xml:space="preserve"> כפוי טובה, יזכה להכיר יותר ויותר גם במעלותיו ובטובותיו של בן זוגו ולהודות לו עליהם.</w:t>
      </w:r>
    </w:p>
    <w:p w:rsidR="00C178B9" w:rsidRDefault="00C178B9" w:rsidP="00C178B9">
      <w:pPr>
        <w:rPr>
          <w:rFonts w:hint="cs"/>
          <w:rtl/>
        </w:rPr>
      </w:pPr>
      <w:r>
        <w:rPr>
          <w:rFonts w:hint="cs"/>
          <w:rtl/>
        </w:rPr>
        <w:t>[וכאן ראוי להוסיף, בהקשר ל'הסתבכות' וכפיות הטובה בנוגע ליחסי אישות: מבואר</w:t>
      </w:r>
      <w:r w:rsidRPr="005316B5">
        <w:rPr>
          <w:rStyle w:val="a8"/>
          <w:rtl/>
        </w:rPr>
        <w:endnoteReference w:id="15"/>
      </w:r>
      <w:r>
        <w:rPr>
          <w:rFonts w:hint="cs"/>
          <w:rtl/>
        </w:rPr>
        <w:t xml:space="preserve"> כי אחד מטכסיסי היצר לבטל את שלום הבית הוא בהופיעו </w:t>
      </w:r>
      <w:proofErr w:type="spellStart"/>
      <w:r>
        <w:rPr>
          <w:rFonts w:hint="cs"/>
          <w:rtl/>
        </w:rPr>
        <w:t>ככח</w:t>
      </w:r>
      <w:proofErr w:type="spellEnd"/>
      <w:r>
        <w:rPr>
          <w:rFonts w:hint="cs"/>
          <w:rtl/>
        </w:rPr>
        <w:t xml:space="preserve"> המדמה המטיל ספק באהבה לבן הזוג (וכנודע שה</w:t>
      </w:r>
      <w:r w:rsidRPr="00F645D1">
        <w:rPr>
          <w:rFonts w:hint="cs"/>
          <w:b/>
          <w:bCs/>
          <w:sz w:val="28"/>
          <w:szCs w:val="28"/>
          <w:rtl/>
        </w:rPr>
        <w:t>ספק</w:t>
      </w:r>
      <w:r>
        <w:rPr>
          <w:rFonts w:hint="cs"/>
          <w:rtl/>
        </w:rPr>
        <w:t xml:space="preserve"> בא משרש </w:t>
      </w:r>
      <w:r w:rsidRPr="00F645D1">
        <w:rPr>
          <w:rFonts w:hint="cs"/>
          <w:b/>
          <w:bCs/>
          <w:sz w:val="28"/>
          <w:szCs w:val="28"/>
          <w:rtl/>
        </w:rPr>
        <w:t>עמלק</w:t>
      </w:r>
      <w:r>
        <w:rPr>
          <w:rFonts w:hint="cs"/>
          <w:rtl/>
        </w:rPr>
        <w:t>, המתואר בחז"ל</w:t>
      </w:r>
      <w:r w:rsidRPr="005316B5">
        <w:rPr>
          <w:rStyle w:val="a8"/>
          <w:rtl/>
        </w:rPr>
        <w:endnoteReference w:id="16"/>
      </w:r>
      <w:r>
        <w:rPr>
          <w:rFonts w:hint="cs"/>
          <w:rtl/>
        </w:rPr>
        <w:t xml:space="preserve"> ככפוי הטובה בעצם, שתפקידו להיפרע מכפויי טובה) וגורם לדמיונות כאילו בן הזוג גורם לי לבטול תורה ועבודה ובעיקר לפגם הברית. המחשבה שבן הזוג מחטיא וגורם לפגם הברית היא מעין טענת אדם הראשון כי "</w:t>
      </w:r>
      <w:proofErr w:type="spellStart"/>
      <w:r>
        <w:rPr>
          <w:rFonts w:hint="cs"/>
          <w:rtl/>
        </w:rPr>
        <w:t>האשה</w:t>
      </w:r>
      <w:proofErr w:type="spellEnd"/>
      <w:r>
        <w:rPr>
          <w:rFonts w:hint="cs"/>
          <w:rtl/>
        </w:rPr>
        <w:t xml:space="preserve"> אשר </w:t>
      </w:r>
      <w:proofErr w:type="spellStart"/>
      <w:r>
        <w:rPr>
          <w:rFonts w:hint="cs"/>
          <w:rtl/>
        </w:rPr>
        <w:t>נתתה</w:t>
      </w:r>
      <w:proofErr w:type="spellEnd"/>
      <w:r>
        <w:rPr>
          <w:rFonts w:hint="cs"/>
          <w:rtl/>
        </w:rPr>
        <w:t xml:space="preserve"> עמדי" היא המחטיאה אותי – טענה שהיא עצם ושרש כפיות הטובה והכפירה בה, והיא המערערת בסופו של דבר את כל שלום הבית, כנ"ל. </w:t>
      </w:r>
    </w:p>
    <w:p w:rsidR="00C178B9" w:rsidRDefault="00C178B9" w:rsidP="00C178B9">
      <w:pPr>
        <w:rPr>
          <w:rFonts w:hint="cs"/>
          <w:rtl/>
        </w:rPr>
      </w:pPr>
      <w:r>
        <w:rPr>
          <w:rFonts w:hint="cs"/>
          <w:rtl/>
        </w:rPr>
        <w:t xml:space="preserve">הפתרון </w:t>
      </w:r>
      <w:proofErr w:type="spellStart"/>
      <w:r>
        <w:rPr>
          <w:rFonts w:hint="cs"/>
          <w:rtl/>
        </w:rPr>
        <w:t>לענין</w:t>
      </w:r>
      <w:proofErr w:type="spellEnd"/>
      <w:r>
        <w:rPr>
          <w:rFonts w:hint="cs"/>
          <w:rtl/>
        </w:rPr>
        <w:t xml:space="preserve"> זה </w:t>
      </w:r>
      <w:r>
        <w:rPr>
          <w:rtl/>
        </w:rPr>
        <w:t>–</w:t>
      </w:r>
      <w:r>
        <w:rPr>
          <w:rFonts w:hint="cs"/>
          <w:rtl/>
        </w:rPr>
        <w:t xml:space="preserve"> מעבר להתמודדות עם </w:t>
      </w:r>
      <w:proofErr w:type="spellStart"/>
      <w:r>
        <w:rPr>
          <w:rFonts w:hint="cs"/>
          <w:rtl/>
        </w:rPr>
        <w:t>כח</w:t>
      </w:r>
      <w:proofErr w:type="spellEnd"/>
      <w:r>
        <w:rPr>
          <w:rFonts w:hint="cs"/>
          <w:rtl/>
        </w:rPr>
        <w:t xml:space="preserve"> המדמה </w:t>
      </w:r>
      <w:proofErr w:type="spellStart"/>
      <w:r>
        <w:rPr>
          <w:rFonts w:hint="cs"/>
          <w:rtl/>
        </w:rPr>
        <w:t>הכזבי</w:t>
      </w:r>
      <w:proofErr w:type="spellEnd"/>
      <w:r>
        <w:rPr>
          <w:rFonts w:hint="cs"/>
          <w:rtl/>
        </w:rPr>
        <w:t xml:space="preserve"> הזה</w:t>
      </w:r>
      <w:r w:rsidRPr="005316B5">
        <w:rPr>
          <w:rStyle w:val="a8"/>
          <w:rtl/>
        </w:rPr>
        <w:endnoteReference w:id="17"/>
      </w:r>
      <w:r>
        <w:rPr>
          <w:rFonts w:hint="cs"/>
          <w:rtl/>
        </w:rPr>
        <w:t xml:space="preserve"> – הוא השתחררות </w:t>
      </w:r>
      <w:proofErr w:type="spellStart"/>
      <w:r>
        <w:rPr>
          <w:rFonts w:hint="cs"/>
          <w:rtl/>
        </w:rPr>
        <w:t>מה'סיבוך</w:t>
      </w:r>
      <w:proofErr w:type="spellEnd"/>
      <w:r>
        <w:rPr>
          <w:rFonts w:hint="cs"/>
          <w:rtl/>
        </w:rPr>
        <w:t>' של האדם עם הנאתו ההכרחית</w:t>
      </w:r>
      <w:r w:rsidRPr="005316B5">
        <w:rPr>
          <w:rStyle w:val="a8"/>
          <w:rtl/>
        </w:rPr>
        <w:endnoteReference w:id="18"/>
      </w:r>
      <w:r>
        <w:rPr>
          <w:rFonts w:hint="cs"/>
          <w:rtl/>
        </w:rPr>
        <w:t xml:space="preserve"> מהזיווג, הנדמית לו כפגם הברית. גם השתחררות זו תלויה בהודיה פשוטה ובריאה לה' על עצם התענוג מהזיווג, וכך כותב</w:t>
      </w:r>
      <w:r w:rsidRPr="005316B5">
        <w:rPr>
          <w:rStyle w:val="a8"/>
          <w:rtl/>
        </w:rPr>
        <w:endnoteReference w:id="19"/>
      </w:r>
      <w:r>
        <w:rPr>
          <w:rFonts w:hint="cs"/>
          <w:rtl/>
        </w:rPr>
        <w:t xml:space="preserve"> בעל ה"עטרת צבי", רבי צבי </w:t>
      </w:r>
      <w:proofErr w:type="spellStart"/>
      <w:r>
        <w:rPr>
          <w:rFonts w:hint="cs"/>
          <w:rtl/>
        </w:rPr>
        <w:t>מזידיטשוב</w:t>
      </w:r>
      <w:proofErr w:type="spellEnd"/>
      <w:r>
        <w:rPr>
          <w:rFonts w:hint="cs"/>
          <w:rtl/>
        </w:rPr>
        <w:t xml:space="preserve"> זצ"ל (אחרי שהוא מסביר בכללות כי קדושת הזיווג תלויה במעלה גדולה, ועיקרה קודם לזיווג, כי בעת הזיווג עצמו כמעט ואי אפשר לו לאדם בלא הנאה גשמית מהמעשה):</w:t>
      </w:r>
    </w:p>
    <w:p w:rsidR="00C178B9" w:rsidRPr="00F643BE" w:rsidRDefault="00C178B9" w:rsidP="00C178B9">
      <w:pPr>
        <w:pStyle w:val="a3"/>
        <w:rPr>
          <w:rFonts w:hint="cs"/>
          <w:rtl/>
        </w:rPr>
      </w:pPr>
      <w:r w:rsidRPr="00F643BE">
        <w:rPr>
          <w:rFonts w:hint="cs"/>
          <w:rtl/>
        </w:rPr>
        <w:t>אמנם אני מנהיג לתלמידי, הגם שלא תקנו ברכה בנוסח שם ומלכות, אבל ירא שמים יתן שבח והודאה על ההנאה שנתן לו הבורא ב"ה וב"ש ברוב חסדו ובטובו הגדול, שנתן עזר לנעזר בגבורה. אמנם מה שביכולת האדם להרחיק עצמו מן הנאה בוודאי ירחיק</w:t>
      </w:r>
      <w:r>
        <w:rPr>
          <w:rFonts w:hint="cs"/>
          <w:rtl/>
        </w:rPr>
        <w:t>…</w:t>
      </w:r>
      <w:r w:rsidRPr="00F643BE">
        <w:rPr>
          <w:rFonts w:hint="cs"/>
          <w:rtl/>
        </w:rPr>
        <w:t xml:space="preserve"> אמנם אם יגיע לך הנאה תן הודאה לבורא כל עלמין על חלקך, בכל לשון שאתה שומע ומדבר, ובזה תחזיר ההנאה לבעליה ולא תמעול בקודש.</w:t>
      </w:r>
    </w:p>
    <w:p w:rsidR="00C178B9" w:rsidRPr="00F643BE" w:rsidRDefault="00C178B9" w:rsidP="00C178B9">
      <w:pPr>
        <w:rPr>
          <w:rFonts w:hint="cs"/>
          <w:rtl/>
        </w:rPr>
      </w:pPr>
      <w:r w:rsidRPr="00F643BE">
        <w:rPr>
          <w:rFonts w:hint="cs"/>
          <w:rtl/>
        </w:rPr>
        <w:t xml:space="preserve">כאשר האדם מודה לה' על הנאת הזיווג, ומחזיר טובה לבעליה, הוא משתחרר גם מהדמיון כי בת זוגו מחטיאה </w:t>
      </w:r>
      <w:proofErr w:type="spellStart"/>
      <w:r w:rsidRPr="00F643BE">
        <w:rPr>
          <w:rFonts w:hint="cs"/>
          <w:rtl/>
        </w:rPr>
        <w:t>ומגשמת</w:t>
      </w:r>
      <w:proofErr w:type="spellEnd"/>
      <w:r w:rsidRPr="00F643BE">
        <w:rPr>
          <w:rFonts w:hint="cs"/>
          <w:rtl/>
        </w:rPr>
        <w:t xml:space="preserve"> אותו. הוא מבין כי הרחקת ההנאה הרצויה היא מצד עצמו </w:t>
      </w:r>
      <w:r w:rsidRPr="00F643BE">
        <w:rPr>
          <w:rFonts w:hint="eastAsia"/>
          <w:rtl/>
        </w:rPr>
        <w:t xml:space="preserve">– </w:t>
      </w:r>
      <w:r w:rsidRPr="00F643BE">
        <w:rPr>
          <w:rFonts w:hint="cs"/>
          <w:rtl/>
        </w:rPr>
        <w:t>דהיינו לא לכוון להנאה הגופנית ולרדוף אותה, ח"ו, שאזי הוא בבחינת "מוצא אני מר ממות"</w:t>
      </w:r>
      <w:r w:rsidRPr="005316B5">
        <w:rPr>
          <w:rStyle w:val="a8"/>
          <w:rtl/>
        </w:rPr>
        <w:endnoteReference w:id="20"/>
      </w:r>
      <w:r w:rsidRPr="00F643BE">
        <w:rPr>
          <w:rFonts w:hint="cs"/>
          <w:rtl/>
        </w:rPr>
        <w:t xml:space="preserve"> – אך עליו להשתדל להעניק הנאה לבת זוגו, כשם שעליה להשתדל </w:t>
      </w:r>
      <w:proofErr w:type="spellStart"/>
      <w:r w:rsidRPr="00F643BE">
        <w:rPr>
          <w:rFonts w:hint="cs"/>
          <w:rtl/>
        </w:rPr>
        <w:t>להנות</w:t>
      </w:r>
      <w:proofErr w:type="spellEnd"/>
      <w:r w:rsidRPr="00F643BE">
        <w:rPr>
          <w:rFonts w:hint="cs"/>
          <w:rtl/>
        </w:rPr>
        <w:t xml:space="preserve"> אותו, שאזי זוכים לבחינת "מצא </w:t>
      </w:r>
      <w:proofErr w:type="spellStart"/>
      <w:r w:rsidRPr="00F643BE">
        <w:rPr>
          <w:rFonts w:hint="cs"/>
          <w:rtl/>
        </w:rPr>
        <w:t>אשה</w:t>
      </w:r>
      <w:proofErr w:type="spellEnd"/>
      <w:r w:rsidRPr="00F643BE">
        <w:rPr>
          <w:rFonts w:hint="cs"/>
          <w:rtl/>
        </w:rPr>
        <w:t xml:space="preserve"> מצא טוב"</w:t>
      </w:r>
      <w:r w:rsidRPr="005316B5">
        <w:rPr>
          <w:rStyle w:val="a8"/>
          <w:rtl/>
        </w:rPr>
        <w:endnoteReference w:id="21"/>
      </w:r>
      <w:r w:rsidRPr="00F643BE">
        <w:rPr>
          <w:rFonts w:hint="cs"/>
          <w:rtl/>
        </w:rPr>
        <w:t xml:space="preserve"> (</w:t>
      </w:r>
      <w:proofErr w:type="spellStart"/>
      <w:r w:rsidRPr="00F643BE">
        <w:rPr>
          <w:rFonts w:hint="cs"/>
          <w:rtl/>
        </w:rPr>
        <w:t>ובודאי</w:t>
      </w:r>
      <w:proofErr w:type="spellEnd"/>
      <w:r w:rsidRPr="00F643BE">
        <w:rPr>
          <w:rFonts w:hint="cs"/>
          <w:rtl/>
        </w:rPr>
        <w:t xml:space="preserve"> שהנאתו ההכרחית בזיווג עם אשתו איננה פגם במעלתו ובקדושתו מתוך 'ויתור' לה ולצרכיה, כפי שיכול היה לשגות בדמיונו). אז הוא רואה את המעלה </w:t>
      </w:r>
      <w:proofErr w:type="spellStart"/>
      <w:r w:rsidRPr="00F643BE">
        <w:rPr>
          <w:rFonts w:hint="cs"/>
          <w:rtl/>
        </w:rPr>
        <w:t>האלקית</w:t>
      </w:r>
      <w:proofErr w:type="spellEnd"/>
      <w:r w:rsidRPr="00F643BE">
        <w:rPr>
          <w:rFonts w:hint="cs"/>
          <w:rtl/>
        </w:rPr>
        <w:t xml:space="preserve"> בזיווג ואת ה"עזר" שהוא מקבל מאשתו, הוא מודה לה' על המתנה הטובה שנתן לו בנישואיו, ומתוך כך גם לומד להכיר טובה לאשתו על כל ענין וענין (וכשם שאמורים הדברים ביחס של איש לאשתו כך הם גם ביחס של </w:t>
      </w:r>
      <w:proofErr w:type="spellStart"/>
      <w:r w:rsidRPr="00F643BE">
        <w:rPr>
          <w:rFonts w:hint="cs"/>
          <w:rtl/>
        </w:rPr>
        <w:t>אשה</w:t>
      </w:r>
      <w:proofErr w:type="spellEnd"/>
      <w:r w:rsidRPr="00F643BE">
        <w:rPr>
          <w:rFonts w:hint="cs"/>
          <w:rtl/>
        </w:rPr>
        <w:t xml:space="preserve"> לאישה, כפשוט).]</w:t>
      </w:r>
    </w:p>
    <w:p w:rsidR="005F4A47" w:rsidRDefault="00CC40F3">
      <w:bookmarkStart w:id="2" w:name="_GoBack"/>
      <w:bookmarkEnd w:id="2"/>
    </w:p>
    <w:sectPr w:rsidR="005F4A47" w:rsidSect="00061E65">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C40F3" w:rsidRDefault="00CC40F3" w:rsidP="00C178B9">
      <w:pPr>
        <w:spacing w:after="0" w:line="240" w:lineRule="auto"/>
      </w:pPr>
      <w:r>
        <w:separator/>
      </w:r>
    </w:p>
  </w:endnote>
  <w:endnote w:type="continuationSeparator" w:id="0">
    <w:p w:rsidR="00CC40F3" w:rsidRDefault="00CC40F3" w:rsidP="00C178B9">
      <w:pPr>
        <w:spacing w:after="0" w:line="240" w:lineRule="auto"/>
      </w:pPr>
      <w:r>
        <w:continuationSeparator/>
      </w:r>
    </w:p>
  </w:endnote>
  <w:endnote w:id="1">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בראשית ג, </w:t>
      </w:r>
      <w:proofErr w:type="spellStart"/>
      <w:r>
        <w:rPr>
          <w:rFonts w:hint="cs"/>
          <w:rtl/>
        </w:rPr>
        <w:t>יב</w:t>
      </w:r>
      <w:proofErr w:type="spellEnd"/>
      <w:r>
        <w:rPr>
          <w:rFonts w:hint="cs"/>
          <w:rtl/>
        </w:rPr>
        <w:t>.</w:t>
      </w:r>
    </w:p>
  </w:endnote>
  <w:endnote w:id="2">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משלי </w:t>
      </w:r>
      <w:proofErr w:type="spellStart"/>
      <w:r>
        <w:rPr>
          <w:rFonts w:hint="cs"/>
          <w:rtl/>
        </w:rPr>
        <w:t>יט</w:t>
      </w:r>
      <w:proofErr w:type="spellEnd"/>
      <w:r>
        <w:rPr>
          <w:rFonts w:hint="cs"/>
          <w:rtl/>
        </w:rPr>
        <w:t>, ג (וראה מדרש אגדת בראשית פרק סב).</w:t>
      </w:r>
    </w:p>
  </w:endnote>
  <w:endnote w:id="3">
    <w:p w:rsidR="00C178B9" w:rsidRDefault="00C178B9" w:rsidP="00C178B9">
      <w:pPr>
        <w:pStyle w:val="a6"/>
        <w:rPr>
          <w:rFonts w:hint="cs"/>
          <w:rtl/>
        </w:rPr>
      </w:pPr>
      <w:r>
        <w:rPr>
          <w:rtl/>
        </w:rPr>
        <w:tab/>
      </w:r>
      <w:r w:rsidRPr="00E15672">
        <w:rPr>
          <w:rtl/>
        </w:rPr>
        <w:endnoteRef/>
      </w:r>
      <w:r>
        <w:rPr>
          <w:rtl/>
        </w:rPr>
        <w:t>.</w:t>
      </w:r>
      <w:r>
        <w:rPr>
          <w:rtl/>
        </w:rPr>
        <w:tab/>
      </w:r>
      <w:r>
        <w:rPr>
          <w:rFonts w:hint="cs"/>
          <w:rtl/>
        </w:rPr>
        <w:t>ראה באורך בלב לדעת מאמר "פרק בעבודת ה'" ביאור ד.</w:t>
      </w:r>
    </w:p>
  </w:endnote>
  <w:endnote w:id="4">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שמואל-ב </w:t>
      </w:r>
      <w:proofErr w:type="spellStart"/>
      <w:r>
        <w:rPr>
          <w:rFonts w:hint="cs"/>
          <w:rtl/>
        </w:rPr>
        <w:t>יב</w:t>
      </w:r>
      <w:proofErr w:type="spellEnd"/>
      <w:r>
        <w:rPr>
          <w:rFonts w:hint="cs"/>
          <w:rtl/>
        </w:rPr>
        <w:t xml:space="preserve">, </w:t>
      </w:r>
      <w:proofErr w:type="spellStart"/>
      <w:r>
        <w:rPr>
          <w:rFonts w:hint="cs"/>
          <w:rtl/>
        </w:rPr>
        <w:t>יג</w:t>
      </w:r>
      <w:proofErr w:type="spellEnd"/>
      <w:r>
        <w:rPr>
          <w:rFonts w:hint="cs"/>
          <w:rtl/>
        </w:rPr>
        <w:t xml:space="preserve"> (וראה </w:t>
      </w:r>
      <w:proofErr w:type="spellStart"/>
      <w:r>
        <w:rPr>
          <w:rFonts w:hint="cs"/>
          <w:rtl/>
        </w:rPr>
        <w:t>ספורנו</w:t>
      </w:r>
      <w:proofErr w:type="spellEnd"/>
      <w:r>
        <w:rPr>
          <w:rFonts w:hint="cs"/>
          <w:rtl/>
        </w:rPr>
        <w:t xml:space="preserve"> לבראשית ג, </w:t>
      </w:r>
      <w:proofErr w:type="spellStart"/>
      <w:r>
        <w:rPr>
          <w:rFonts w:hint="cs"/>
          <w:rtl/>
        </w:rPr>
        <w:t>יב</w:t>
      </w:r>
      <w:proofErr w:type="spellEnd"/>
      <w:r>
        <w:rPr>
          <w:rFonts w:hint="cs"/>
          <w:rtl/>
        </w:rPr>
        <w:t>).</w:t>
      </w:r>
    </w:p>
  </w:endnote>
  <w:endnote w:id="5">
    <w:p w:rsidR="00C178B9" w:rsidRDefault="00C178B9" w:rsidP="00C178B9">
      <w:pPr>
        <w:pStyle w:val="a6"/>
        <w:rPr>
          <w:rFonts w:hint="cs"/>
        </w:rPr>
      </w:pPr>
      <w:r>
        <w:rPr>
          <w:rtl/>
        </w:rPr>
        <w:tab/>
      </w:r>
      <w:r w:rsidRPr="00E15672">
        <w:rPr>
          <w:rtl/>
        </w:rPr>
        <w:endnoteRef/>
      </w:r>
      <w:r>
        <w:rPr>
          <w:rtl/>
        </w:rPr>
        <w:t>.</w:t>
      </w:r>
      <w:r>
        <w:rPr>
          <w:rtl/>
        </w:rPr>
        <w:tab/>
      </w:r>
      <w:r>
        <w:rPr>
          <w:rFonts w:hint="cs"/>
          <w:rtl/>
        </w:rPr>
        <w:t xml:space="preserve">ילקוט שמעוני דברים רמז </w:t>
      </w:r>
      <w:proofErr w:type="spellStart"/>
      <w:r>
        <w:rPr>
          <w:rFonts w:hint="cs"/>
          <w:rtl/>
        </w:rPr>
        <w:t>תתקמ</w:t>
      </w:r>
      <w:proofErr w:type="spellEnd"/>
      <w:r>
        <w:rPr>
          <w:rFonts w:hint="cs"/>
          <w:rtl/>
        </w:rPr>
        <w:t>.</w:t>
      </w:r>
    </w:p>
  </w:endnote>
  <w:endnote w:id="6">
    <w:p w:rsidR="00C178B9" w:rsidRDefault="00C178B9" w:rsidP="00C178B9">
      <w:pPr>
        <w:pStyle w:val="a6"/>
        <w:rPr>
          <w:rtl/>
        </w:rPr>
      </w:pPr>
      <w:r>
        <w:rPr>
          <w:rtl/>
        </w:rPr>
        <w:tab/>
      </w:r>
      <w:r w:rsidRPr="00E15672">
        <w:rPr>
          <w:rtl/>
        </w:rPr>
        <w:endnoteRef/>
      </w:r>
      <w:r>
        <w:rPr>
          <w:rtl/>
        </w:rPr>
        <w:t>.</w:t>
      </w:r>
      <w:r>
        <w:rPr>
          <w:rtl/>
        </w:rPr>
        <w:tab/>
      </w:r>
      <w:r>
        <w:rPr>
          <w:rFonts w:hint="cs"/>
          <w:rtl/>
        </w:rPr>
        <w:t>ראה בפירושו לבראשית ג, ו.</w:t>
      </w:r>
    </w:p>
  </w:endnote>
  <w:endnote w:id="7">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בראשית ב, </w:t>
      </w:r>
      <w:proofErr w:type="spellStart"/>
      <w:r>
        <w:rPr>
          <w:rFonts w:hint="cs"/>
          <w:rtl/>
        </w:rPr>
        <w:t>כג</w:t>
      </w:r>
      <w:proofErr w:type="spellEnd"/>
      <w:r>
        <w:rPr>
          <w:rFonts w:hint="cs"/>
          <w:rtl/>
        </w:rPr>
        <w:t>.</w:t>
      </w:r>
    </w:p>
  </w:endnote>
  <w:endnote w:id="8">
    <w:p w:rsidR="00C178B9" w:rsidRDefault="00C178B9" w:rsidP="00C178B9">
      <w:pPr>
        <w:pStyle w:val="a6"/>
        <w:rPr>
          <w:rFonts w:hint="cs"/>
          <w:rtl/>
        </w:rPr>
      </w:pPr>
      <w:r>
        <w:rPr>
          <w:rtl/>
        </w:rPr>
        <w:tab/>
      </w:r>
      <w:r w:rsidRPr="00E15672">
        <w:rPr>
          <w:rtl/>
        </w:rPr>
        <w:endnoteRef/>
      </w:r>
      <w:r>
        <w:rPr>
          <w:rtl/>
        </w:rPr>
        <w:t>.</w:t>
      </w:r>
      <w:r>
        <w:rPr>
          <w:rtl/>
        </w:rPr>
        <w:tab/>
      </w:r>
      <w:r>
        <w:rPr>
          <w:rFonts w:hint="cs"/>
          <w:rtl/>
        </w:rPr>
        <w:t>וכנ"ל בתורה "אדן הבית היהודי".</w:t>
      </w:r>
    </w:p>
  </w:endnote>
  <w:endnote w:id="9">
    <w:p w:rsidR="00C178B9" w:rsidRDefault="00C178B9" w:rsidP="00C178B9">
      <w:pPr>
        <w:pStyle w:val="a6"/>
        <w:rPr>
          <w:rFonts w:hint="cs"/>
          <w:rtl/>
        </w:rPr>
      </w:pPr>
      <w:r>
        <w:rPr>
          <w:rtl/>
        </w:rPr>
        <w:tab/>
      </w:r>
      <w:r w:rsidRPr="00E15672">
        <w:rPr>
          <w:rtl/>
        </w:rPr>
        <w:endnoteRef/>
      </w:r>
      <w:r>
        <w:rPr>
          <w:rtl/>
        </w:rPr>
        <w:t>.</w:t>
      </w:r>
      <w:r>
        <w:rPr>
          <w:rtl/>
        </w:rPr>
        <w:tab/>
      </w:r>
      <w:r>
        <w:rPr>
          <w:rFonts w:hint="cs"/>
          <w:rtl/>
        </w:rPr>
        <w:t>אוצר חיים לרב שלזינגר.</w:t>
      </w:r>
    </w:p>
  </w:endnote>
  <w:endnote w:id="10">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יבמות </w:t>
      </w:r>
      <w:proofErr w:type="spellStart"/>
      <w:r>
        <w:rPr>
          <w:rFonts w:hint="cs"/>
          <w:rtl/>
        </w:rPr>
        <w:t>סג</w:t>
      </w:r>
      <w:proofErr w:type="spellEnd"/>
      <w:r>
        <w:rPr>
          <w:rFonts w:hint="cs"/>
          <w:rtl/>
        </w:rPr>
        <w:t>, א.</w:t>
      </w:r>
    </w:p>
  </w:endnote>
  <w:endnote w:id="11">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ומכאן ראיה כי יש בחינה ב"עזר" שכלל לא נתקיימה בגן עדן, שם היו בני הזוג בבחינת "לו" בלבד, וכפי שיתבאר באורך בע"ה </w:t>
      </w:r>
      <w:proofErr w:type="spellStart"/>
      <w:r>
        <w:rPr>
          <w:rFonts w:hint="cs"/>
          <w:rtl/>
        </w:rPr>
        <w:t>במ"א</w:t>
      </w:r>
      <w:proofErr w:type="spellEnd"/>
      <w:r>
        <w:rPr>
          <w:rFonts w:hint="cs"/>
          <w:rtl/>
        </w:rPr>
        <w:t>.</w:t>
      </w:r>
    </w:p>
  </w:endnote>
  <w:endnote w:id="12">
    <w:p w:rsidR="00C178B9" w:rsidRDefault="00C178B9" w:rsidP="00C178B9">
      <w:pPr>
        <w:pStyle w:val="a6"/>
        <w:rPr>
          <w:rFonts w:hint="cs"/>
          <w:rtl/>
        </w:rPr>
      </w:pPr>
      <w:r>
        <w:rPr>
          <w:rtl/>
        </w:rPr>
        <w:tab/>
      </w:r>
      <w:r w:rsidRPr="00E15672">
        <w:rPr>
          <w:rtl/>
        </w:rPr>
        <w:endnoteRef/>
      </w:r>
      <w:r>
        <w:rPr>
          <w:rtl/>
        </w:rPr>
        <w:t>.</w:t>
      </w:r>
      <w:r>
        <w:rPr>
          <w:rtl/>
        </w:rPr>
        <w:tab/>
      </w:r>
      <w:r>
        <w:rPr>
          <w:rFonts w:hint="cs"/>
          <w:rtl/>
        </w:rPr>
        <w:t>שבת ל, ב. כתובות קיא, ב.</w:t>
      </w:r>
    </w:p>
  </w:endnote>
  <w:endnote w:id="13">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רש"י לבראשית ב, </w:t>
      </w:r>
      <w:proofErr w:type="spellStart"/>
      <w:r>
        <w:rPr>
          <w:rFonts w:hint="cs"/>
          <w:rtl/>
        </w:rPr>
        <w:t>כג</w:t>
      </w:r>
      <w:proofErr w:type="spellEnd"/>
      <w:r>
        <w:rPr>
          <w:rFonts w:hint="cs"/>
          <w:rtl/>
        </w:rPr>
        <w:t xml:space="preserve"> (על פי יבמות </w:t>
      </w:r>
      <w:proofErr w:type="spellStart"/>
      <w:r>
        <w:rPr>
          <w:rFonts w:hint="cs"/>
          <w:rtl/>
        </w:rPr>
        <w:t>סג</w:t>
      </w:r>
      <w:proofErr w:type="spellEnd"/>
      <w:r>
        <w:rPr>
          <w:rFonts w:hint="cs"/>
          <w:rtl/>
        </w:rPr>
        <w:t>, א).</w:t>
      </w:r>
    </w:p>
  </w:endnote>
  <w:endnote w:id="14">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בראשית א, </w:t>
      </w:r>
      <w:proofErr w:type="spellStart"/>
      <w:r>
        <w:rPr>
          <w:rFonts w:hint="cs"/>
          <w:rtl/>
        </w:rPr>
        <w:t>כח</w:t>
      </w:r>
      <w:proofErr w:type="spellEnd"/>
      <w:r>
        <w:rPr>
          <w:rFonts w:hint="cs"/>
          <w:rtl/>
        </w:rPr>
        <w:t>.</w:t>
      </w:r>
    </w:p>
  </w:endnote>
  <w:endnote w:id="15">
    <w:p w:rsidR="00C178B9" w:rsidRDefault="00C178B9" w:rsidP="00C178B9">
      <w:pPr>
        <w:pStyle w:val="a6"/>
        <w:rPr>
          <w:rFonts w:hint="cs"/>
          <w:rtl/>
        </w:rPr>
      </w:pPr>
      <w:r>
        <w:rPr>
          <w:rtl/>
        </w:rPr>
        <w:tab/>
      </w:r>
      <w:r w:rsidRPr="00E15672">
        <w:rPr>
          <w:rtl/>
        </w:rPr>
        <w:endnoteRef/>
      </w:r>
      <w:r>
        <w:rPr>
          <w:rtl/>
        </w:rPr>
        <w:t>.</w:t>
      </w:r>
      <w:r>
        <w:rPr>
          <w:rtl/>
        </w:rPr>
        <w:tab/>
      </w:r>
      <w:r>
        <w:rPr>
          <w:rFonts w:hint="cs"/>
          <w:rtl/>
        </w:rPr>
        <w:t>שערי אהבה ורצון מאמר "ארך אפים" ג (עמ' רמה).</w:t>
      </w:r>
    </w:p>
  </w:endnote>
  <w:endnote w:id="16">
    <w:p w:rsidR="00C178B9" w:rsidRDefault="00C178B9" w:rsidP="00C178B9">
      <w:pPr>
        <w:pStyle w:val="a6"/>
        <w:rPr>
          <w:rFonts w:hint="cs"/>
          <w:rtl/>
        </w:rPr>
      </w:pPr>
      <w:r>
        <w:rPr>
          <w:rtl/>
        </w:rPr>
        <w:tab/>
      </w:r>
      <w:r w:rsidRPr="00E15672">
        <w:rPr>
          <w:rtl/>
        </w:rPr>
        <w:endnoteRef/>
      </w:r>
      <w:r>
        <w:rPr>
          <w:rtl/>
        </w:rPr>
        <w:t>.</w:t>
      </w:r>
      <w:r>
        <w:rPr>
          <w:rtl/>
        </w:rPr>
        <w:tab/>
      </w:r>
      <w:r>
        <w:rPr>
          <w:rFonts w:hint="cs"/>
          <w:rtl/>
        </w:rPr>
        <w:t>מכילתא בשלח (</w:t>
      </w:r>
      <w:proofErr w:type="spellStart"/>
      <w:r>
        <w:rPr>
          <w:rFonts w:hint="cs"/>
          <w:rtl/>
        </w:rPr>
        <w:t>יז</w:t>
      </w:r>
      <w:proofErr w:type="spellEnd"/>
      <w:r>
        <w:rPr>
          <w:rFonts w:hint="cs"/>
          <w:rtl/>
        </w:rPr>
        <w:t>, ח) פרשת עמלק פרק א.</w:t>
      </w:r>
    </w:p>
  </w:endnote>
  <w:endnote w:id="17">
    <w:p w:rsidR="00C178B9" w:rsidRDefault="00C178B9" w:rsidP="00C178B9">
      <w:pPr>
        <w:pStyle w:val="a6"/>
        <w:rPr>
          <w:rFonts w:hint="cs"/>
          <w:rtl/>
        </w:rPr>
      </w:pPr>
      <w:r>
        <w:rPr>
          <w:rtl/>
        </w:rPr>
        <w:tab/>
      </w:r>
      <w:r w:rsidRPr="00E15672">
        <w:rPr>
          <w:rtl/>
        </w:rPr>
        <w:endnoteRef/>
      </w:r>
      <w:r>
        <w:rPr>
          <w:rtl/>
        </w:rPr>
        <w:t>.</w:t>
      </w:r>
      <w:r>
        <w:rPr>
          <w:rtl/>
        </w:rPr>
        <w:tab/>
      </w:r>
      <w:r>
        <w:rPr>
          <w:rFonts w:hint="cs"/>
          <w:rtl/>
        </w:rPr>
        <w:t>ועיין בשערי אהבה ורצון שם.</w:t>
      </w:r>
    </w:p>
  </w:endnote>
  <w:endnote w:id="18">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ראה נעם אלימלך פרשת וישלח ד"ה "או יאמר ויותר יעקב לבדו" (וכן במקור המובא בסמוך מספר סור מרע ועשה טוב, </w:t>
      </w:r>
      <w:proofErr w:type="spellStart"/>
      <w:r>
        <w:rPr>
          <w:rFonts w:hint="cs"/>
          <w:rtl/>
        </w:rPr>
        <w:t>ועיי"ש</w:t>
      </w:r>
      <w:proofErr w:type="spellEnd"/>
      <w:r>
        <w:rPr>
          <w:rFonts w:hint="cs"/>
          <w:rtl/>
        </w:rPr>
        <w:t xml:space="preserve"> במ"מ נוספים </w:t>
      </w:r>
      <w:proofErr w:type="spellStart"/>
      <w:r>
        <w:rPr>
          <w:rFonts w:hint="cs"/>
          <w:rtl/>
        </w:rPr>
        <w:t>לענין</w:t>
      </w:r>
      <w:proofErr w:type="spellEnd"/>
      <w:r>
        <w:rPr>
          <w:rFonts w:hint="cs"/>
          <w:rtl/>
        </w:rPr>
        <w:t xml:space="preserve"> שהובאו ב"מעין ההוספות" לספר זה בהוצאת "אמת").</w:t>
      </w:r>
    </w:p>
  </w:endnote>
  <w:endnote w:id="19">
    <w:p w:rsidR="00C178B9" w:rsidRDefault="00C178B9" w:rsidP="00C178B9">
      <w:pPr>
        <w:pStyle w:val="a6"/>
        <w:rPr>
          <w:rFonts w:hint="cs"/>
          <w:rtl/>
        </w:rPr>
      </w:pPr>
      <w:r>
        <w:rPr>
          <w:rtl/>
        </w:rPr>
        <w:tab/>
      </w:r>
      <w:r w:rsidRPr="00E15672">
        <w:rPr>
          <w:rtl/>
        </w:rPr>
        <w:endnoteRef/>
      </w:r>
      <w:r>
        <w:rPr>
          <w:rtl/>
        </w:rPr>
        <w:t>.</w:t>
      </w:r>
      <w:r>
        <w:rPr>
          <w:rtl/>
        </w:rPr>
        <w:tab/>
      </w:r>
      <w:r>
        <w:rPr>
          <w:rFonts w:hint="cs"/>
          <w:rtl/>
        </w:rPr>
        <w:t xml:space="preserve">בספרו סור מרע ועשה טוב (בו </w:t>
      </w:r>
      <w:proofErr w:type="spellStart"/>
      <w:r>
        <w:rPr>
          <w:rFonts w:hint="cs"/>
          <w:rtl/>
        </w:rPr>
        <w:t>נתפרשו</w:t>
      </w:r>
      <w:proofErr w:type="spellEnd"/>
      <w:r>
        <w:rPr>
          <w:rFonts w:hint="cs"/>
          <w:rtl/>
        </w:rPr>
        <w:t xml:space="preserve"> תנאי לימוד הקבלה שמונה </w:t>
      </w:r>
      <w:proofErr w:type="spellStart"/>
      <w:r>
        <w:rPr>
          <w:rFonts w:hint="cs"/>
          <w:rtl/>
        </w:rPr>
        <w:t>מוהרח"ו</w:t>
      </w:r>
      <w:proofErr w:type="spellEnd"/>
      <w:r>
        <w:rPr>
          <w:rFonts w:hint="cs"/>
          <w:rtl/>
        </w:rPr>
        <w:t xml:space="preserve">) חלק סור מרע בתנאי </w:t>
      </w:r>
      <w:proofErr w:type="spellStart"/>
      <w:r>
        <w:rPr>
          <w:rFonts w:hint="cs"/>
          <w:rtl/>
        </w:rPr>
        <w:t>הששי</w:t>
      </w:r>
      <w:proofErr w:type="spellEnd"/>
      <w:r>
        <w:rPr>
          <w:rFonts w:hint="cs"/>
          <w:rtl/>
        </w:rPr>
        <w:t>.</w:t>
      </w:r>
    </w:p>
  </w:endnote>
  <w:endnote w:id="20">
    <w:p w:rsidR="00C178B9" w:rsidRDefault="00C178B9" w:rsidP="00C178B9">
      <w:pPr>
        <w:pStyle w:val="a6"/>
        <w:rPr>
          <w:rFonts w:hint="cs"/>
        </w:rPr>
      </w:pPr>
      <w:r>
        <w:rPr>
          <w:rtl/>
        </w:rPr>
        <w:tab/>
      </w:r>
      <w:r w:rsidRPr="00E15672">
        <w:rPr>
          <w:rtl/>
        </w:rPr>
        <w:endnoteRef/>
      </w:r>
      <w:r>
        <w:rPr>
          <w:rtl/>
        </w:rPr>
        <w:t>.</w:t>
      </w:r>
      <w:r>
        <w:rPr>
          <w:rtl/>
        </w:rPr>
        <w:tab/>
      </w:r>
      <w:r>
        <w:rPr>
          <w:rFonts w:hint="cs"/>
          <w:rtl/>
        </w:rPr>
        <w:t xml:space="preserve">קהלת ז, </w:t>
      </w:r>
      <w:proofErr w:type="spellStart"/>
      <w:r>
        <w:rPr>
          <w:rFonts w:hint="cs"/>
          <w:rtl/>
        </w:rPr>
        <w:t>כו</w:t>
      </w:r>
      <w:proofErr w:type="spellEnd"/>
      <w:r>
        <w:rPr>
          <w:rFonts w:hint="cs"/>
          <w:rtl/>
        </w:rPr>
        <w:t xml:space="preserve"> </w:t>
      </w:r>
      <w:r>
        <w:rPr>
          <w:rtl/>
        </w:rPr>
        <w:t>–</w:t>
      </w:r>
      <w:r>
        <w:rPr>
          <w:rFonts w:hint="cs"/>
          <w:rtl/>
        </w:rPr>
        <w:t xml:space="preserve"> ועיין היטב בהקדמת הספר שכינה ביניהם.</w:t>
      </w:r>
    </w:p>
  </w:endnote>
  <w:endnote w:id="21">
    <w:p w:rsidR="00C178B9" w:rsidRDefault="00C178B9" w:rsidP="00C178B9">
      <w:pPr>
        <w:pStyle w:val="a6"/>
        <w:rPr>
          <w:rFonts w:hint="cs"/>
        </w:rPr>
      </w:pPr>
      <w:r>
        <w:rPr>
          <w:rtl/>
        </w:rPr>
        <w:tab/>
      </w:r>
      <w:r w:rsidRPr="00E15672">
        <w:rPr>
          <w:rtl/>
        </w:rPr>
        <w:endnoteRef/>
      </w:r>
      <w:r>
        <w:rPr>
          <w:rtl/>
        </w:rPr>
        <w:t>.</w:t>
      </w:r>
      <w:r>
        <w:rPr>
          <w:rtl/>
        </w:rPr>
        <w:tab/>
      </w:r>
      <w:r>
        <w:rPr>
          <w:rFonts w:hint="cs"/>
          <w:rtl/>
        </w:rPr>
        <w:t xml:space="preserve">משלי </w:t>
      </w:r>
      <w:proofErr w:type="spellStart"/>
      <w:r>
        <w:rPr>
          <w:rFonts w:hint="cs"/>
          <w:rtl/>
        </w:rPr>
        <w:t>יח</w:t>
      </w:r>
      <w:proofErr w:type="spellEnd"/>
      <w:r>
        <w:rPr>
          <w:rFonts w:hint="cs"/>
          <w:rtl/>
        </w:rPr>
        <w:t xml:space="preserve">, </w:t>
      </w:r>
      <w:proofErr w:type="spellStart"/>
      <w:r>
        <w:rPr>
          <w:rFonts w:hint="cs"/>
          <w:rtl/>
        </w:rPr>
        <w:t>כב</w:t>
      </w:r>
      <w:proofErr w:type="spellEnd"/>
      <w:r>
        <w:rPr>
          <w:rFonts w:hint="cs"/>
          <w:rtl/>
        </w:rPr>
        <w:t xml:space="preserve"> – ועיין היטב בהקדמת הספר שכינה ביניהם.</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F Calligraphic Ornaments LET">
    <w:altName w:val="Symbol"/>
    <w:charset w:val="02"/>
    <w:family w:val="auto"/>
    <w:pitch w:val="variable"/>
    <w:sig w:usb0="00000000" w:usb1="10000000" w:usb2="00000000" w:usb3="00000000" w:csb0="80000000" w:csb1="00000000"/>
  </w:font>
  <w:font w:name="Guttman Soncino">
    <w:altName w:val="Courier New"/>
    <w:charset w:val="B1"/>
    <w:family w:val="auto"/>
    <w:pitch w:val="variable"/>
    <w:sig w:usb0="00000800" w:usb1="4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C40F3" w:rsidRDefault="00CC40F3" w:rsidP="00C178B9">
      <w:pPr>
        <w:spacing w:after="0" w:line="240" w:lineRule="auto"/>
      </w:pPr>
      <w:r>
        <w:separator/>
      </w:r>
    </w:p>
  </w:footnote>
  <w:footnote w:type="continuationSeparator" w:id="0">
    <w:p w:rsidR="00CC40F3" w:rsidRDefault="00CC40F3" w:rsidP="00C178B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C5A"/>
    <w:rsid w:val="00061E65"/>
    <w:rsid w:val="00AC2310"/>
    <w:rsid w:val="00C178B9"/>
    <w:rsid w:val="00CC40F3"/>
    <w:rsid w:val="00D02C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178B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178B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178B9"/>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C178B9"/>
    <w:pPr>
      <w:spacing w:before="120"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C178B9"/>
    <w:rPr>
      <w:rFonts w:ascii="Times New Roman" w:eastAsia="Times New Roman" w:hAnsi="Times New Roman" w:cs="Guttman Soncino"/>
      <w:noProof/>
      <w:snapToGrid w:val="0"/>
      <w:sz w:val="23"/>
    </w:rPr>
  </w:style>
  <w:style w:type="character" w:customStyle="1" w:styleId="a5">
    <w:name w:val="מרים"/>
    <w:basedOn w:val="a0"/>
    <w:rsid w:val="00C178B9"/>
    <w:rPr>
      <w:rFonts w:cs="Miriam"/>
      <w:w w:val="100"/>
      <w:sz w:val="21"/>
      <w:szCs w:val="23"/>
    </w:rPr>
  </w:style>
  <w:style w:type="paragraph" w:styleId="a6">
    <w:name w:val="endnote text"/>
    <w:aliases w:val="Endnote Text"/>
    <w:basedOn w:val="a"/>
    <w:link w:val="a7"/>
    <w:autoRedefine/>
    <w:semiHidden/>
    <w:rsid w:val="00C178B9"/>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C178B9"/>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C178B9"/>
    <w:rPr>
      <w:noProof/>
      <w:position w:val="-4"/>
      <w:szCs w:val="27"/>
      <w:vertAlign w:val="superscript"/>
    </w:rPr>
  </w:style>
  <w:style w:type="character" w:styleId="a9">
    <w:name w:val="footnote reference"/>
    <w:basedOn w:val="a0"/>
    <w:uiPriority w:val="99"/>
    <w:semiHidden/>
    <w:unhideWhenUsed/>
    <w:rsid w:val="00C178B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Normal"/>
    <w:qFormat/>
    <w:rsid w:val="00C178B9"/>
    <w:pPr>
      <w:bidi/>
      <w:spacing w:after="120" w:line="380" w:lineRule="exact"/>
      <w:jc w:val="both"/>
    </w:pPr>
    <w:rPr>
      <w:rFonts w:ascii="Times New Roman" w:eastAsia="Times New Roman" w:hAnsi="Times New Roman" w:cs="FrankRuehl"/>
      <w:sz w:val="26"/>
      <w:szCs w:val="27"/>
      <w:lang w:eastAsia="he-IL"/>
    </w:rPr>
  </w:style>
  <w:style w:type="paragraph" w:styleId="2">
    <w:name w:val="heading 2"/>
    <w:aliases w:val="Heading 2"/>
    <w:next w:val="a"/>
    <w:link w:val="20"/>
    <w:qFormat/>
    <w:rsid w:val="00C178B9"/>
    <w:pPr>
      <w:bidi/>
      <w:spacing w:before="1080" w:after="720" w:line="240" w:lineRule="auto"/>
      <w:ind w:left="-45"/>
      <w:jc w:val="right"/>
      <w:outlineLvl w:val="1"/>
    </w:pPr>
    <w:rPr>
      <w:rFonts w:ascii="DF Calligraphic Ornaments LET" w:eastAsia="Times New Roman" w:hAnsi="DF Calligraphic Ornaments LET" w:cs="Guttman Soncino"/>
      <w:noProof/>
      <w:spacing w:val="20"/>
      <w:w w:val="90"/>
      <w:kern w:val="28"/>
      <w:sz w:val="44"/>
      <w:szCs w:val="4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כותרת 2 תו"/>
    <w:basedOn w:val="a0"/>
    <w:link w:val="2"/>
    <w:rsid w:val="00C178B9"/>
    <w:rPr>
      <w:rFonts w:ascii="DF Calligraphic Ornaments LET" w:eastAsia="Times New Roman" w:hAnsi="DF Calligraphic Ornaments LET" w:cs="Guttman Soncino"/>
      <w:noProof/>
      <w:spacing w:val="20"/>
      <w:w w:val="90"/>
      <w:kern w:val="28"/>
      <w:sz w:val="44"/>
      <w:szCs w:val="46"/>
    </w:rPr>
  </w:style>
  <w:style w:type="paragraph" w:styleId="a3">
    <w:name w:val="Quote"/>
    <w:basedOn w:val="a"/>
    <w:link w:val="a4"/>
    <w:qFormat/>
    <w:rsid w:val="00C178B9"/>
    <w:pPr>
      <w:spacing w:before="120" w:line="340" w:lineRule="exact"/>
      <w:ind w:left="907"/>
      <w:contextualSpacing/>
    </w:pPr>
    <w:rPr>
      <w:rFonts w:cs="Guttman Soncino"/>
      <w:noProof/>
      <w:snapToGrid w:val="0"/>
      <w:sz w:val="23"/>
      <w:szCs w:val="22"/>
      <w:lang w:eastAsia="en-US"/>
    </w:rPr>
  </w:style>
  <w:style w:type="character" w:customStyle="1" w:styleId="a4">
    <w:name w:val="ציטוט תו"/>
    <w:basedOn w:val="a0"/>
    <w:link w:val="a3"/>
    <w:rsid w:val="00C178B9"/>
    <w:rPr>
      <w:rFonts w:ascii="Times New Roman" w:eastAsia="Times New Roman" w:hAnsi="Times New Roman" w:cs="Guttman Soncino"/>
      <w:noProof/>
      <w:snapToGrid w:val="0"/>
      <w:sz w:val="23"/>
    </w:rPr>
  </w:style>
  <w:style w:type="character" w:customStyle="1" w:styleId="a5">
    <w:name w:val="מרים"/>
    <w:basedOn w:val="a0"/>
    <w:rsid w:val="00C178B9"/>
    <w:rPr>
      <w:rFonts w:cs="Miriam"/>
      <w:w w:val="100"/>
      <w:sz w:val="21"/>
      <w:szCs w:val="23"/>
    </w:rPr>
  </w:style>
  <w:style w:type="paragraph" w:styleId="a6">
    <w:name w:val="endnote text"/>
    <w:aliases w:val="Endnote Text"/>
    <w:basedOn w:val="a"/>
    <w:link w:val="a7"/>
    <w:autoRedefine/>
    <w:semiHidden/>
    <w:rsid w:val="00C178B9"/>
    <w:pPr>
      <w:tabs>
        <w:tab w:val="right" w:pos="266"/>
        <w:tab w:val="left" w:pos="340"/>
      </w:tabs>
      <w:spacing w:after="20" w:line="260" w:lineRule="exact"/>
      <w:ind w:left="340" w:hanging="340"/>
    </w:pPr>
    <w:rPr>
      <w:sz w:val="20"/>
      <w:szCs w:val="23"/>
    </w:rPr>
  </w:style>
  <w:style w:type="character" w:customStyle="1" w:styleId="a7">
    <w:name w:val="טקסט הערת סיום תו"/>
    <w:basedOn w:val="a0"/>
    <w:link w:val="a6"/>
    <w:semiHidden/>
    <w:rsid w:val="00C178B9"/>
    <w:rPr>
      <w:rFonts w:ascii="Times New Roman" w:eastAsia="Times New Roman" w:hAnsi="Times New Roman" w:cs="FrankRuehl"/>
      <w:sz w:val="20"/>
      <w:szCs w:val="23"/>
      <w:lang w:eastAsia="he-IL"/>
    </w:rPr>
  </w:style>
  <w:style w:type="character" w:styleId="a8">
    <w:name w:val="endnote reference"/>
    <w:aliases w:val="Endnote Reference"/>
    <w:basedOn w:val="a9"/>
    <w:semiHidden/>
    <w:rsid w:val="00C178B9"/>
    <w:rPr>
      <w:noProof/>
      <w:position w:val="-4"/>
      <w:szCs w:val="27"/>
      <w:vertAlign w:val="superscript"/>
    </w:rPr>
  </w:style>
  <w:style w:type="character" w:styleId="a9">
    <w:name w:val="footnote reference"/>
    <w:basedOn w:val="a0"/>
    <w:uiPriority w:val="99"/>
    <w:semiHidden/>
    <w:unhideWhenUsed/>
    <w:rsid w:val="00C178B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733</Words>
  <Characters>3669</Characters>
  <Application>Microsoft Office Word</Application>
  <DocSecurity>0</DocSecurity>
  <Lines>30</Lines>
  <Paragraphs>8</Paragraphs>
  <ScaleCrop>false</ScaleCrop>
  <Company/>
  <LinksUpToDate>false</LinksUpToDate>
  <CharactersWithSpaces>4394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2017-08-14T22:49:00Z</dcterms:created>
  <dcterms:modified xsi:type="dcterms:W3CDTF">2017-08-14T22:49:00Z</dcterms:modified>
</cp:coreProperties>
</file>