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542" w:rsidRPr="00DE7874" w:rsidRDefault="00A22542" w:rsidP="00A22542">
      <w:pPr>
        <w:pStyle w:val="2"/>
        <w:rPr>
          <w:rFonts w:hint="cs"/>
          <w:rtl/>
        </w:rPr>
      </w:pPr>
      <w:bookmarkStart w:id="0" w:name="_Toc145068697"/>
      <w:bookmarkStart w:id="1" w:name="_Ref145069175"/>
      <w:r>
        <w:rPr>
          <w:w w:val="100"/>
          <w:rtl/>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685800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874">
        <w:rPr>
          <w:rFonts w:hint="cs"/>
          <w:rtl/>
        </w:rPr>
        <w:t>"ישלח דברו וירפאם"</w:t>
      </w:r>
      <w:bookmarkEnd w:id="0"/>
      <w:bookmarkEnd w:id="1"/>
    </w:p>
    <w:p w:rsidR="00A22542" w:rsidRDefault="00A22542" w:rsidP="00A22542">
      <w:pPr>
        <w:rPr>
          <w:rFonts w:hint="cs"/>
          <w:rtl/>
        </w:rPr>
      </w:pPr>
      <w:r>
        <w:rPr>
          <w:rFonts w:hint="cs"/>
          <w:rtl/>
        </w:rPr>
        <w:t>פי הרמז של "וכל ה</w:t>
      </w:r>
      <w:r w:rsidRPr="003D3B98">
        <w:rPr>
          <w:rFonts w:hint="cs"/>
          <w:b/>
          <w:bCs/>
          <w:sz w:val="28"/>
          <w:szCs w:val="28"/>
          <w:rtl/>
        </w:rPr>
        <w:t>חיים</w:t>
      </w:r>
      <w:r>
        <w:rPr>
          <w:rFonts w:hint="cs"/>
          <w:rtl/>
        </w:rPr>
        <w:t xml:space="preserve"> </w:t>
      </w:r>
      <w:proofErr w:type="spellStart"/>
      <w:r>
        <w:rPr>
          <w:rFonts w:hint="cs"/>
          <w:rtl/>
        </w:rPr>
        <w:t>יודוך</w:t>
      </w:r>
      <w:proofErr w:type="spellEnd"/>
      <w:r>
        <w:rPr>
          <w:rFonts w:hint="cs"/>
          <w:rtl/>
        </w:rPr>
        <w:t xml:space="preserve"> סלה"</w:t>
      </w:r>
      <w:r w:rsidRPr="005316B5">
        <w:rPr>
          <w:rStyle w:val="a6"/>
          <w:rtl/>
        </w:rPr>
        <w:endnoteReference w:id="1"/>
      </w:r>
      <w:r>
        <w:rPr>
          <w:rFonts w:hint="cs"/>
          <w:rtl/>
        </w:rPr>
        <w:t xml:space="preserve">, הראשון </w:t>
      </w:r>
      <w:proofErr w:type="spellStart"/>
      <w:r>
        <w:rPr>
          <w:rFonts w:hint="cs"/>
          <w:rtl/>
        </w:rPr>
        <w:t>מה"ארבעה</w:t>
      </w:r>
      <w:proofErr w:type="spellEnd"/>
      <w:r>
        <w:rPr>
          <w:rFonts w:hint="cs"/>
          <w:rtl/>
        </w:rPr>
        <w:t xml:space="preserve"> </w:t>
      </w:r>
      <w:proofErr w:type="spellStart"/>
      <w:r>
        <w:rPr>
          <w:rFonts w:hint="cs"/>
          <w:rtl/>
        </w:rPr>
        <w:t>צריכין</w:t>
      </w:r>
      <w:proofErr w:type="spellEnd"/>
      <w:r>
        <w:rPr>
          <w:rFonts w:hint="cs"/>
          <w:rtl/>
        </w:rPr>
        <w:t xml:space="preserve"> להודות" הוא "חולה שנתרפא"</w:t>
      </w:r>
      <w:r w:rsidRPr="005316B5">
        <w:rPr>
          <w:rStyle w:val="a6"/>
          <w:rtl/>
        </w:rPr>
        <w:endnoteReference w:id="2"/>
      </w:r>
      <w:r>
        <w:rPr>
          <w:rFonts w:hint="cs"/>
          <w:rtl/>
        </w:rPr>
        <w:t>. בחיי הנפש "ענין החולי הוא שנטמטם מוחו ולבו"</w:t>
      </w:r>
      <w:r w:rsidRPr="005316B5">
        <w:rPr>
          <w:rStyle w:val="a6"/>
          <w:rtl/>
        </w:rPr>
        <w:endnoteReference w:id="3"/>
      </w:r>
      <w:r>
        <w:rPr>
          <w:rFonts w:hint="cs"/>
          <w:rtl/>
        </w:rPr>
        <w:t>. בקבלה ובחסידות</w:t>
      </w:r>
      <w:r w:rsidRPr="005316B5">
        <w:rPr>
          <w:rStyle w:val="a6"/>
          <w:rtl/>
        </w:rPr>
        <w:endnoteReference w:id="4"/>
      </w:r>
      <w:r>
        <w:rPr>
          <w:rFonts w:hint="cs"/>
          <w:rtl/>
        </w:rPr>
        <w:t xml:space="preserve"> מובא הרמז כי </w:t>
      </w:r>
      <w:r w:rsidRPr="00EC7759">
        <w:rPr>
          <w:rFonts w:hint="cs"/>
          <w:b/>
          <w:bCs/>
          <w:sz w:val="28"/>
          <w:szCs w:val="28"/>
          <w:rtl/>
        </w:rPr>
        <w:t>חולה</w:t>
      </w:r>
      <w:r>
        <w:rPr>
          <w:rFonts w:hint="cs"/>
          <w:rtl/>
        </w:rPr>
        <w:t xml:space="preserve"> עולה </w:t>
      </w:r>
      <w:r w:rsidRPr="00EC7759">
        <w:rPr>
          <w:rFonts w:hint="cs"/>
          <w:b/>
          <w:bCs/>
          <w:sz w:val="28"/>
          <w:szCs w:val="28"/>
          <w:rtl/>
        </w:rPr>
        <w:t>מט</w:t>
      </w:r>
      <w:r>
        <w:rPr>
          <w:rFonts w:hint="eastAsia"/>
          <w:rtl/>
        </w:rPr>
        <w:t xml:space="preserve"> </w:t>
      </w:r>
      <w:r>
        <w:rPr>
          <w:rFonts w:hint="cs"/>
          <w:rtl/>
        </w:rPr>
        <w:t>(</w:t>
      </w:r>
      <w:r>
        <w:rPr>
          <w:rFonts w:hint="eastAsia"/>
          <w:rtl/>
        </w:rPr>
        <w:t>ללמד כי אף מי שזכה ל-</w:t>
      </w:r>
      <w:r w:rsidRPr="001655BC">
        <w:rPr>
          <w:rFonts w:hint="eastAsia"/>
          <w:b/>
          <w:bCs/>
          <w:sz w:val="28"/>
          <w:szCs w:val="28"/>
          <w:rtl/>
        </w:rPr>
        <w:t>מט</w:t>
      </w:r>
      <w:r>
        <w:rPr>
          <w:rFonts w:hint="eastAsia"/>
          <w:rtl/>
        </w:rPr>
        <w:t xml:space="preserve"> שערי בינה, אך </w:t>
      </w:r>
      <w:r>
        <w:rPr>
          <w:rFonts w:hint="cs"/>
          <w:rtl/>
        </w:rPr>
        <w:t xml:space="preserve">עדיין חסר לו </w:t>
      </w:r>
      <w:r>
        <w:rPr>
          <w:rFonts w:hint="eastAsia"/>
          <w:rtl/>
        </w:rPr>
        <w:t>שער ה-</w:t>
      </w:r>
      <w:r w:rsidRPr="001655BC">
        <w:rPr>
          <w:rFonts w:hint="eastAsia"/>
          <w:b/>
          <w:bCs/>
          <w:sz w:val="28"/>
          <w:szCs w:val="28"/>
          <w:rtl/>
        </w:rPr>
        <w:t>נ</w:t>
      </w:r>
      <w:r>
        <w:rPr>
          <w:rFonts w:hint="cs"/>
          <w:rtl/>
        </w:rPr>
        <w:t>, ל</w:t>
      </w:r>
      <w:r w:rsidRPr="001655BC">
        <w:rPr>
          <w:rFonts w:hint="cs"/>
          <w:b/>
          <w:bCs/>
          <w:sz w:val="28"/>
          <w:szCs w:val="28"/>
          <w:rtl/>
        </w:rPr>
        <w:t>חולה</w:t>
      </w:r>
      <w:r>
        <w:rPr>
          <w:rFonts w:hint="cs"/>
          <w:rtl/>
        </w:rPr>
        <w:t xml:space="preserve"> יחשב), </w:t>
      </w:r>
      <w:proofErr w:type="spellStart"/>
      <w:r>
        <w:rPr>
          <w:rFonts w:hint="cs"/>
          <w:rtl/>
        </w:rPr>
        <w:t>ולעניננו</w:t>
      </w:r>
      <w:proofErr w:type="spellEnd"/>
      <w:r>
        <w:rPr>
          <w:rFonts w:hint="cs"/>
          <w:rtl/>
        </w:rPr>
        <w:t xml:space="preserve"> רומז הדבר ל</w:t>
      </w:r>
      <w:r w:rsidRPr="001655BC">
        <w:rPr>
          <w:rFonts w:hint="cs"/>
          <w:b/>
          <w:bCs/>
          <w:sz w:val="28"/>
          <w:szCs w:val="28"/>
          <w:rtl/>
        </w:rPr>
        <w:t>טמט</w:t>
      </w:r>
      <w:r>
        <w:rPr>
          <w:rFonts w:hint="cs"/>
          <w:rtl/>
        </w:rPr>
        <w:t>ו</w:t>
      </w:r>
      <w:r w:rsidRPr="001655BC">
        <w:rPr>
          <w:rFonts w:hint="cs"/>
          <w:b/>
          <w:bCs/>
          <w:sz w:val="28"/>
          <w:szCs w:val="28"/>
          <w:rtl/>
        </w:rPr>
        <w:t>ם</w:t>
      </w:r>
      <w:r>
        <w:rPr>
          <w:rFonts w:hint="cs"/>
          <w:rtl/>
        </w:rPr>
        <w:t xml:space="preserve"> המח והלב שבחולי הרוחני. טמטום הלב גורם חוסר יכולת להשתנות ולהתפעל ממה שלומדים, משום שהאדם איננו מסוגל 'לקחת ללב' את מה שהוא מבין בשכלו. בפרט מתבטא טמטום הלב בחוסר יכולת להתפלל לפני ה' כדבעי, מקרב איש ולב עמוק, כאשר עם כל הלימוד העיוני וההבנה השכלית בדבר הצורך להתפלל נותר הלב אטום וקפוא. טמטום המח גורם לכך שעצם תפיסת המח מוגבלת, ודברי התורה בהם מעיינים לא נתפסים בשכלו כדבעי.</w:t>
      </w:r>
    </w:p>
    <w:p w:rsidR="00A22542" w:rsidRPr="00F643BE" w:rsidRDefault="00A22542" w:rsidP="00A22542">
      <w:pPr>
        <w:rPr>
          <w:rFonts w:hint="cs"/>
          <w:rtl/>
        </w:rPr>
      </w:pPr>
      <w:r>
        <w:rPr>
          <w:rFonts w:hint="cs"/>
          <w:rtl/>
        </w:rPr>
        <w:t xml:space="preserve">עם כל מה שנדמה כי דווקא התקופה שלפני הנישואין היא הזמן להרבות בו </w:t>
      </w:r>
      <w:r w:rsidRPr="00F643BE">
        <w:rPr>
          <w:rFonts w:hint="cs"/>
          <w:rtl/>
        </w:rPr>
        <w:t>בלימוד ובתפלה, כשהאדם פנוי מעול הבית והפרנסה, הרי הרווקים לוקים בטמטום הלב והמח (וממילא כל תורתם ותפלתם הן בבחינת חיצוניות)</w:t>
      </w:r>
      <w:r>
        <w:rPr>
          <w:rFonts w:hint="cs"/>
          <w:rtl/>
        </w:rPr>
        <w:t>:</w:t>
      </w:r>
      <w:r w:rsidRPr="00F643BE">
        <w:rPr>
          <w:rFonts w:hint="cs"/>
          <w:rtl/>
        </w:rPr>
        <w:t xml:space="preserve"> </w:t>
      </w:r>
    </w:p>
    <w:p w:rsidR="00A22542" w:rsidRDefault="00A22542" w:rsidP="00A22542">
      <w:pPr>
        <w:rPr>
          <w:rFonts w:hint="cs"/>
          <w:rtl/>
        </w:rPr>
      </w:pPr>
      <w:r w:rsidRPr="00F643BE">
        <w:rPr>
          <w:rFonts w:hint="cs"/>
          <w:rtl/>
        </w:rPr>
        <w:t>לפני</w:t>
      </w:r>
      <w:r>
        <w:rPr>
          <w:rFonts w:hint="cs"/>
          <w:rtl/>
        </w:rPr>
        <w:t xml:space="preserve"> החתונה, גם אם הבחור או הבחורה חשים כי הם מתפללים בכוונה, באריכות ובהתעוררות הנפש, הרי שאליבא דאמת הלב אטום. רק בחיי הנישואין נפתח הלב להרגיש את הזולת באמת, להזדהות עמו ולעורר עליו רחמים</w:t>
      </w:r>
      <w:r w:rsidRPr="005316B5">
        <w:rPr>
          <w:rStyle w:val="a6"/>
          <w:rtl/>
        </w:rPr>
        <w:endnoteReference w:id="5"/>
      </w:r>
      <w:r>
        <w:rPr>
          <w:rFonts w:hint="cs"/>
          <w:rtl/>
        </w:rPr>
        <w:t>, ורק אז ניתן להתפלל – "על [ידי</w:t>
      </w:r>
      <w:r w:rsidRPr="005316B5">
        <w:rPr>
          <w:rStyle w:val="a6"/>
          <w:rtl/>
        </w:rPr>
        <w:endnoteReference w:id="6"/>
      </w:r>
      <w:r>
        <w:rPr>
          <w:rFonts w:hint="cs"/>
          <w:rtl/>
        </w:rPr>
        <w:t xml:space="preserve">] זאת יתפלל כל חסיד אליך לעת מצא ['זו </w:t>
      </w:r>
      <w:proofErr w:type="spellStart"/>
      <w:r>
        <w:rPr>
          <w:rFonts w:hint="cs"/>
          <w:rtl/>
        </w:rPr>
        <w:t>אשה</w:t>
      </w:r>
      <w:proofErr w:type="spellEnd"/>
      <w:r>
        <w:rPr>
          <w:rFonts w:hint="cs"/>
          <w:rtl/>
        </w:rPr>
        <w:t>'</w:t>
      </w:r>
      <w:r w:rsidRPr="005316B5">
        <w:rPr>
          <w:rStyle w:val="a6"/>
          <w:rtl/>
        </w:rPr>
        <w:endnoteReference w:id="7"/>
      </w:r>
      <w:r>
        <w:rPr>
          <w:rFonts w:hint="cs"/>
          <w:rtl/>
        </w:rPr>
        <w:t>]"</w:t>
      </w:r>
      <w:r w:rsidRPr="005316B5">
        <w:rPr>
          <w:rStyle w:val="a6"/>
          <w:rtl/>
        </w:rPr>
        <w:endnoteReference w:id="8"/>
      </w:r>
      <w:r>
        <w:rPr>
          <w:rFonts w:hint="cs"/>
          <w:rtl/>
        </w:rPr>
        <w:t xml:space="preserve">. התפלה כולה נקראת "רחמי", ובלי פתיחת הלב הבסיסית לרחם לא ניתן לעורר שום רגש </w:t>
      </w:r>
      <w:proofErr w:type="spellStart"/>
      <w:r>
        <w:rPr>
          <w:rFonts w:hint="cs"/>
          <w:rtl/>
        </w:rPr>
        <w:t>אמיתי</w:t>
      </w:r>
      <w:proofErr w:type="spellEnd"/>
      <w:r>
        <w:rPr>
          <w:rFonts w:hint="cs"/>
          <w:rtl/>
        </w:rPr>
        <w:t xml:space="preserve"> בתפלה. כך מצינו</w:t>
      </w:r>
      <w:r w:rsidRPr="005316B5">
        <w:rPr>
          <w:rStyle w:val="a6"/>
          <w:rtl/>
        </w:rPr>
        <w:endnoteReference w:id="9"/>
      </w:r>
      <w:r>
        <w:rPr>
          <w:rFonts w:hint="cs"/>
          <w:rtl/>
        </w:rPr>
        <w:t xml:space="preserve"> כי רק לאחר שהכיר יעקב את אשתו </w:t>
      </w:r>
      <w:r>
        <w:rPr>
          <w:rtl/>
        </w:rPr>
        <w:t>–</w:t>
      </w:r>
      <w:r>
        <w:rPr>
          <w:rFonts w:hint="cs"/>
          <w:rtl/>
        </w:rPr>
        <w:t xml:space="preserve"> "</w:t>
      </w:r>
      <w:proofErr w:type="spellStart"/>
      <w:r>
        <w:rPr>
          <w:rFonts w:hint="cs"/>
          <w:rtl/>
        </w:rPr>
        <w:t>וישק</w:t>
      </w:r>
      <w:proofErr w:type="spellEnd"/>
      <w:r>
        <w:rPr>
          <w:rFonts w:hint="cs"/>
          <w:rtl/>
        </w:rPr>
        <w:t xml:space="preserve"> יעקב לרחל" </w:t>
      </w:r>
      <w:r>
        <w:rPr>
          <w:rtl/>
        </w:rPr>
        <w:t>–</w:t>
      </w:r>
      <w:r>
        <w:rPr>
          <w:rFonts w:hint="cs"/>
          <w:rtl/>
        </w:rPr>
        <w:t xml:space="preserve"> היה מסוגל לעורר רחמים רבים מקרב איש ולב עמוק ולקיים "</w:t>
      </w:r>
      <w:proofErr w:type="spellStart"/>
      <w:r>
        <w:rPr>
          <w:rFonts w:hint="cs"/>
          <w:rtl/>
        </w:rPr>
        <w:t>וישא</w:t>
      </w:r>
      <w:proofErr w:type="spellEnd"/>
      <w:r>
        <w:rPr>
          <w:rFonts w:hint="cs"/>
          <w:rtl/>
        </w:rPr>
        <w:t xml:space="preserve"> את קולו </w:t>
      </w:r>
      <w:proofErr w:type="spellStart"/>
      <w:r>
        <w:rPr>
          <w:rFonts w:hint="cs"/>
          <w:rtl/>
        </w:rPr>
        <w:t>ויבך</w:t>
      </w:r>
      <w:proofErr w:type="spellEnd"/>
      <w:r>
        <w:rPr>
          <w:rFonts w:hint="cs"/>
          <w:rtl/>
        </w:rPr>
        <w:t>"</w:t>
      </w:r>
      <w:r w:rsidRPr="005316B5">
        <w:rPr>
          <w:rStyle w:val="a6"/>
          <w:rtl/>
        </w:rPr>
        <w:endnoteReference w:id="10"/>
      </w:r>
      <w:r>
        <w:rPr>
          <w:rFonts w:hint="cs"/>
          <w:rtl/>
        </w:rPr>
        <w:t xml:space="preserve">. לפני הנישואין לא רק שאי אפשר לעורר רחמים על </w:t>
      </w:r>
      <w:proofErr w:type="spellStart"/>
      <w:r>
        <w:rPr>
          <w:rFonts w:hint="cs"/>
          <w:rtl/>
        </w:rPr>
        <w:t>האשה</w:t>
      </w:r>
      <w:proofErr w:type="spellEnd"/>
      <w:r>
        <w:rPr>
          <w:rFonts w:hint="cs"/>
          <w:rtl/>
        </w:rPr>
        <w:t xml:space="preserve"> כאדם (וממילא גם לא ניתן להזדהות עם אדם אחר ולעורר עליו רחמים, כנודע</w:t>
      </w:r>
      <w:r w:rsidRPr="005316B5">
        <w:rPr>
          <w:rStyle w:val="a6"/>
          <w:rtl/>
        </w:rPr>
        <w:endnoteReference w:id="11"/>
      </w:r>
      <w:r>
        <w:rPr>
          <w:rFonts w:hint="cs"/>
          <w:rtl/>
        </w:rPr>
        <w:t xml:space="preserve"> שמצות "ואהבת לרעך כמוך"</w:t>
      </w:r>
      <w:r w:rsidRPr="005316B5">
        <w:rPr>
          <w:rStyle w:val="a6"/>
          <w:rtl/>
        </w:rPr>
        <w:endnoteReference w:id="12"/>
      </w:r>
      <w:r>
        <w:rPr>
          <w:rFonts w:hint="cs"/>
          <w:rtl/>
        </w:rPr>
        <w:t xml:space="preserve"> מתחילה באהבה שבין איש לאשתו</w:t>
      </w:r>
      <w:r w:rsidRPr="005316B5">
        <w:rPr>
          <w:rStyle w:val="a6"/>
          <w:rtl/>
        </w:rPr>
        <w:endnoteReference w:id="13"/>
      </w:r>
      <w:r>
        <w:rPr>
          <w:rFonts w:hint="cs"/>
          <w:rtl/>
        </w:rPr>
        <w:t xml:space="preserve">, ומשם היא מתפשטת לשאר האנשים), אלא שגם לא ניתן לעורר רחמים על כנסת ישראל (אותה מסמלת </w:t>
      </w:r>
      <w:proofErr w:type="spellStart"/>
      <w:r>
        <w:rPr>
          <w:rFonts w:hint="cs"/>
          <w:rtl/>
        </w:rPr>
        <w:t>האשה</w:t>
      </w:r>
      <w:proofErr w:type="spellEnd"/>
      <w:r>
        <w:rPr>
          <w:rFonts w:hint="cs"/>
          <w:rtl/>
        </w:rPr>
        <w:t>) ולהתפלל באמת על השכינה השרויה בגלות.</w:t>
      </w:r>
    </w:p>
    <w:p w:rsidR="00A22542" w:rsidRDefault="00A22542" w:rsidP="00A22542">
      <w:pPr>
        <w:rPr>
          <w:rFonts w:hint="cs"/>
          <w:rtl/>
        </w:rPr>
      </w:pPr>
      <w:r>
        <w:rPr>
          <w:rFonts w:hint="cs"/>
          <w:rtl/>
        </w:rPr>
        <w:t>וביחס ללימוד תורה, אף כי ישנם עילויים גדולים לפני נישואיהם (ובישיבות מסוימות אף נהגו להתחתן מאוחר כדי ללמוד תורה בשקט שנים ארוכות</w:t>
      </w:r>
      <w:r w:rsidRPr="005316B5">
        <w:rPr>
          <w:rStyle w:val="a6"/>
          <w:rtl/>
        </w:rPr>
        <w:endnoteReference w:id="14"/>
      </w:r>
      <w:r>
        <w:rPr>
          <w:rFonts w:hint="cs"/>
          <w:rtl/>
        </w:rPr>
        <w:t>), בכל זאת נקטו חז"ל</w:t>
      </w:r>
      <w:bookmarkStart w:id="2" w:name="_Ref144733108"/>
      <w:r w:rsidRPr="005316B5">
        <w:rPr>
          <w:rStyle w:val="a6"/>
          <w:rtl/>
        </w:rPr>
        <w:endnoteReference w:id="15"/>
      </w:r>
      <w:bookmarkEnd w:id="2"/>
      <w:r>
        <w:rPr>
          <w:rFonts w:hint="cs"/>
          <w:rtl/>
        </w:rPr>
        <w:t xml:space="preserve"> כי "מאן דלא פריס </w:t>
      </w:r>
      <w:proofErr w:type="spellStart"/>
      <w:r>
        <w:rPr>
          <w:rFonts w:hint="cs"/>
          <w:rtl/>
        </w:rPr>
        <w:t>סודרא</w:t>
      </w:r>
      <w:proofErr w:type="spellEnd"/>
      <w:r>
        <w:rPr>
          <w:rFonts w:hint="cs"/>
          <w:rtl/>
        </w:rPr>
        <w:t xml:space="preserve">" (מי שאיננו מכסה את ראש בטלית, משום שאינו נשוי) איננו יכול ללמוד כדבעי ואמרו כי "כל אדם שאין לו </w:t>
      </w:r>
      <w:proofErr w:type="spellStart"/>
      <w:r>
        <w:rPr>
          <w:rFonts w:hint="cs"/>
          <w:rtl/>
        </w:rPr>
        <w:t>אשה</w:t>
      </w:r>
      <w:proofErr w:type="spellEnd"/>
      <w:r>
        <w:rPr>
          <w:rFonts w:hint="cs"/>
          <w:rtl/>
        </w:rPr>
        <w:t xml:space="preserve"> שרוי בלא תורה"</w:t>
      </w:r>
      <w:r w:rsidRPr="005316B5">
        <w:rPr>
          <w:rStyle w:val="a6"/>
          <w:rtl/>
        </w:rPr>
        <w:endnoteReference w:id="16"/>
      </w:r>
      <w:r>
        <w:rPr>
          <w:rFonts w:hint="cs"/>
          <w:rtl/>
        </w:rPr>
        <w:t xml:space="preserve"> (שעל כן החסידים נזהרו בנישואין בגיל צעיר). לפני הנישואין, גם אצל "אדם גדול"</w:t>
      </w:r>
      <w:r w:rsidRPr="00FA315B">
        <w:rPr>
          <w:rStyle w:val="a6"/>
          <w:rtl/>
        </w:rPr>
        <w:fldChar w:fldCharType="begin"/>
      </w:r>
      <w:r w:rsidRPr="00FA315B">
        <w:rPr>
          <w:rStyle w:val="a6"/>
          <w:rtl/>
        </w:rPr>
        <w:instrText xml:space="preserve"> </w:instrText>
      </w:r>
      <w:r w:rsidRPr="00FA315B">
        <w:rPr>
          <w:rStyle w:val="a6"/>
          <w:rFonts w:hint="cs"/>
        </w:rPr>
        <w:instrText>NOTEREF</w:instrText>
      </w:r>
      <w:r w:rsidRPr="00FA315B">
        <w:rPr>
          <w:rStyle w:val="a6"/>
          <w:rFonts w:hint="cs"/>
          <w:rtl/>
        </w:rPr>
        <w:instrText xml:space="preserve"> _</w:instrText>
      </w:r>
      <w:r w:rsidRPr="00FA315B">
        <w:rPr>
          <w:rStyle w:val="a6"/>
          <w:rFonts w:hint="cs"/>
        </w:rPr>
        <w:instrText>Ref144733108 \h</w:instrText>
      </w:r>
      <w:r w:rsidRPr="00FA315B">
        <w:rPr>
          <w:rStyle w:val="a6"/>
          <w:rtl/>
        </w:rPr>
        <w:instrText xml:space="preserve"> </w:instrText>
      </w:r>
      <w:r w:rsidRPr="00FA315B">
        <w:rPr>
          <w:rStyle w:val="a6"/>
        </w:rPr>
      </w:r>
      <w:r>
        <w:rPr>
          <w:rStyle w:val="a6"/>
          <w:rtl/>
        </w:rPr>
        <w:instrText xml:space="preserve"> \* </w:instrText>
      </w:r>
      <w:r>
        <w:rPr>
          <w:rStyle w:val="a6"/>
        </w:rPr>
        <w:instrText>MERGEFORMAT</w:instrText>
      </w:r>
      <w:r>
        <w:rPr>
          <w:rStyle w:val="a6"/>
          <w:rtl/>
        </w:rPr>
        <w:instrText xml:space="preserve"> </w:instrText>
      </w:r>
      <w:r w:rsidRPr="00FA315B">
        <w:rPr>
          <w:rStyle w:val="a6"/>
          <w:rtl/>
        </w:rPr>
        <w:fldChar w:fldCharType="separate"/>
      </w:r>
      <w:r>
        <w:rPr>
          <w:rStyle w:val="a6"/>
          <w:rtl/>
        </w:rPr>
        <w:t>טו</w:t>
      </w:r>
      <w:r w:rsidRPr="00FA315B">
        <w:rPr>
          <w:rStyle w:val="a6"/>
          <w:rtl/>
        </w:rPr>
        <w:fldChar w:fldCharType="end"/>
      </w:r>
      <w:r>
        <w:rPr>
          <w:rFonts w:hint="cs"/>
          <w:rtl/>
        </w:rPr>
        <w:t xml:space="preserve"> ועילוי חריף ההבנה השכלית מוגבלת – השכל חד וחריף, ופנוי מטרדות, אך אין בו את </w:t>
      </w:r>
      <w:proofErr w:type="spellStart"/>
      <w:r>
        <w:rPr>
          <w:rFonts w:hint="cs"/>
          <w:rtl/>
        </w:rPr>
        <w:t>הכח</w:t>
      </w:r>
      <w:proofErr w:type="spellEnd"/>
      <w:r>
        <w:rPr>
          <w:rFonts w:hint="cs"/>
          <w:rtl/>
        </w:rPr>
        <w:t xml:space="preserve"> להעמיק כדבעי ולעמוד על אמיתת ופנימיות </w:t>
      </w:r>
      <w:proofErr w:type="spellStart"/>
      <w:r>
        <w:rPr>
          <w:rFonts w:hint="cs"/>
          <w:rtl/>
        </w:rPr>
        <w:t>הסוגיא</w:t>
      </w:r>
      <w:proofErr w:type="spellEnd"/>
      <w:r>
        <w:rPr>
          <w:rFonts w:hint="cs"/>
          <w:rtl/>
        </w:rPr>
        <w:t xml:space="preserve">. בפרט אמורים הדברים ביחס ללימוד פנימיות התורה, עד שידוע שהיו שאסרו לעסוק בחכמת הסוד </w:t>
      </w:r>
      <w:r>
        <w:rPr>
          <w:rFonts w:hint="cs"/>
          <w:rtl/>
        </w:rPr>
        <w:lastRenderedPageBreak/>
        <w:t>לפני שהאדם נשוי. גם כיום, כאשר ההנהגה הישרה היא לעסוק בלימוד פנימיות התורה גם בתקופת הבחרות, ועל כך מיוסד החינוך הטוב לתורה ומצוות, יש לדעת כי לפני הנישואין המח 'מטומטם' וההבנה בסודות התורה מוגבלת וחיצונית</w:t>
      </w:r>
      <w:r w:rsidRPr="005316B5">
        <w:rPr>
          <w:rStyle w:val="a6"/>
          <w:rtl/>
        </w:rPr>
        <w:endnoteReference w:id="17"/>
      </w:r>
      <w:r>
        <w:rPr>
          <w:rFonts w:hint="cs"/>
          <w:rtl/>
        </w:rPr>
        <w:t xml:space="preserve"> (וכך יש לתת טעם לשבח במסופר על אדמו"ר האמצעי, אשר שש לזרז את חתונתו בתאוותו לשמוע את דרושי החסידות של אביו בחתונה ובמסיבות ה"שבע ברכות", ולומר כי באמת לא הסתפק רק בדרושי החסידות שסביב החתונה אלא חש כי בכך תלוי כל עיסוקו בחסידות, שיהיה עמוק ופנימי לאין ערוך אחר הנישואין).</w:t>
      </w:r>
    </w:p>
    <w:p w:rsidR="00A22542" w:rsidRDefault="00A22542" w:rsidP="00A22542">
      <w:pPr>
        <w:rPr>
          <w:rFonts w:hint="cs"/>
          <w:rtl/>
        </w:rPr>
      </w:pPr>
      <w:r>
        <w:rPr>
          <w:rFonts w:hint="cs"/>
          <w:rtl/>
        </w:rPr>
        <w:t xml:space="preserve">רק אחרי הנישואין נפתח הלב מאטימותו, והחתן והכלה מסוגלים ללמוד כדבעי תורה ופנימיות התורה ולהתפלל בשפיכת הלב כמים לפני ה'. בפרטות מבואר שהיחס בין החתן והכלה הוא כבין מח ולב, וממילא שבירת טמטום המח והאפשרות ללמוד תורה נוגעת בעיקר לחתן (וממנו היא </w:t>
      </w:r>
      <w:proofErr w:type="spellStart"/>
      <w:r>
        <w:rPr>
          <w:rFonts w:hint="cs"/>
          <w:rtl/>
        </w:rPr>
        <w:t>נשפעת</w:t>
      </w:r>
      <w:proofErr w:type="spellEnd"/>
      <w:r>
        <w:rPr>
          <w:rFonts w:hint="cs"/>
          <w:rtl/>
        </w:rPr>
        <w:t xml:space="preserve"> גם לכלתו) ושבירת טמטום הלב והאפשרות להתפלל נוגעת בעיקר לכלה (וממנה היא </w:t>
      </w:r>
      <w:proofErr w:type="spellStart"/>
      <w:r>
        <w:rPr>
          <w:rFonts w:hint="cs"/>
          <w:rtl/>
        </w:rPr>
        <w:t>נשפעת</w:t>
      </w:r>
      <w:proofErr w:type="spellEnd"/>
      <w:r>
        <w:rPr>
          <w:rFonts w:hint="cs"/>
          <w:rtl/>
        </w:rPr>
        <w:t xml:space="preserve"> גם לחתנה), </w:t>
      </w:r>
      <w:proofErr w:type="spellStart"/>
      <w:r>
        <w:rPr>
          <w:rFonts w:hint="cs"/>
          <w:rtl/>
        </w:rPr>
        <w:t>כשביחד</w:t>
      </w:r>
      <w:proofErr w:type="spellEnd"/>
      <w:r>
        <w:rPr>
          <w:rFonts w:hint="cs"/>
          <w:rtl/>
        </w:rPr>
        <w:t xml:space="preserve"> עליהם לעשות מביתם החדש "בית תורה" ו"בית תפלה"</w:t>
      </w:r>
      <w:r w:rsidRPr="005316B5">
        <w:rPr>
          <w:rStyle w:val="a6"/>
          <w:rtl/>
        </w:rPr>
        <w:endnoteReference w:id="18"/>
      </w:r>
      <w:r>
        <w:rPr>
          <w:rFonts w:hint="cs"/>
          <w:rtl/>
        </w:rPr>
        <w:t>.</w:t>
      </w:r>
    </w:p>
    <w:p w:rsidR="00A22542" w:rsidRDefault="00A22542" w:rsidP="00A22542">
      <w:pPr>
        <w:rPr>
          <w:rFonts w:hint="cs"/>
          <w:rtl/>
        </w:rPr>
      </w:pPr>
      <w:r w:rsidRPr="00E84990">
        <w:rPr>
          <w:rStyle w:val="a3"/>
          <w:rFonts w:hint="cs"/>
          <w:rtl/>
        </w:rPr>
        <w:t>הודית</w:t>
      </w:r>
      <w:r>
        <w:rPr>
          <w:rFonts w:hint="cs"/>
          <w:rtl/>
        </w:rPr>
        <w:t xml:space="preserve"> החולה שנרפא כוללת בתוכה ממד של </w:t>
      </w:r>
      <w:r w:rsidRPr="00E84990">
        <w:rPr>
          <w:rStyle w:val="a3"/>
          <w:rFonts w:hint="cs"/>
          <w:rtl/>
        </w:rPr>
        <w:t>וידוי</w:t>
      </w:r>
      <w:r>
        <w:rPr>
          <w:rFonts w:hint="cs"/>
          <w:rtl/>
        </w:rPr>
        <w:t xml:space="preserve"> </w:t>
      </w:r>
      <w:r>
        <w:rPr>
          <w:rFonts w:hint="eastAsia"/>
          <w:rtl/>
        </w:rPr>
        <w:t xml:space="preserve">– החולה מכיר כי נתקיים בו </w:t>
      </w:r>
      <w:r>
        <w:rPr>
          <w:rFonts w:hint="cs"/>
          <w:rtl/>
        </w:rPr>
        <w:t>"</w:t>
      </w:r>
      <w:proofErr w:type="spellStart"/>
      <w:r>
        <w:rPr>
          <w:rFonts w:hint="cs"/>
          <w:rtl/>
        </w:rPr>
        <w:t>אוִלים</w:t>
      </w:r>
      <w:proofErr w:type="spellEnd"/>
      <w:r>
        <w:rPr>
          <w:rFonts w:hint="cs"/>
          <w:rtl/>
        </w:rPr>
        <w:t xml:space="preserve"> מדרך פשעם </w:t>
      </w:r>
      <w:proofErr w:type="spellStart"/>
      <w:r>
        <w:rPr>
          <w:rFonts w:hint="cs"/>
          <w:rtl/>
        </w:rPr>
        <w:t>ומעונ</w:t>
      </w:r>
      <w:r w:rsidRPr="00910A93">
        <w:rPr>
          <w:rFonts w:hint="cs"/>
          <w:spacing w:val="-10"/>
          <w:rtl/>
        </w:rPr>
        <w:t>ֹ</w:t>
      </w:r>
      <w:r>
        <w:rPr>
          <w:rFonts w:hint="cs"/>
          <w:rtl/>
        </w:rPr>
        <w:t>תיהם</w:t>
      </w:r>
      <w:proofErr w:type="spellEnd"/>
      <w:r>
        <w:rPr>
          <w:rFonts w:hint="cs"/>
          <w:rtl/>
        </w:rPr>
        <w:t xml:space="preserve"> יתענו"</w:t>
      </w:r>
      <w:r w:rsidRPr="005316B5">
        <w:rPr>
          <w:rStyle w:val="a6"/>
          <w:rtl/>
        </w:rPr>
        <w:endnoteReference w:id="19"/>
      </w:r>
      <w:r>
        <w:rPr>
          <w:rFonts w:hint="cs"/>
          <w:rtl/>
        </w:rPr>
        <w:t xml:space="preserve"> (ועל כן בקשת הרפואה מלווה </w:t>
      </w:r>
      <w:proofErr w:type="spellStart"/>
      <w:r>
        <w:rPr>
          <w:rFonts w:hint="cs"/>
          <w:rtl/>
        </w:rPr>
        <w:t>בוידוי</w:t>
      </w:r>
      <w:proofErr w:type="spellEnd"/>
      <w:r>
        <w:rPr>
          <w:rFonts w:hint="cs"/>
          <w:rtl/>
        </w:rPr>
        <w:t xml:space="preserve"> </w:t>
      </w:r>
      <w:r>
        <w:rPr>
          <w:rtl/>
        </w:rPr>
        <w:t>–</w:t>
      </w:r>
      <w:r>
        <w:rPr>
          <w:rFonts w:hint="cs"/>
          <w:rtl/>
        </w:rPr>
        <w:t xml:space="preserve"> "רפאה נפשי כי חטאתי לך), ועם ההודיה לה' על הרפואה הוא משתדל לתקן את שעוות בחטאיו. כך, עם פתיחת הלב והמח לתפלה ולתורה צריכים בני הזוג להודות לה' על זכייתם, וגם להכיר ולהתוודות כי עד כה כל תורתם ועבודתם, כמו גם קיום המצוות ויחסי האנוש שלהם, היו נגועים בטמטום ואטימות.</w:t>
      </w:r>
    </w:p>
    <w:p w:rsidR="00A22542" w:rsidRPr="00F643BE" w:rsidRDefault="00A22542" w:rsidP="00A22542">
      <w:pPr>
        <w:rPr>
          <w:rFonts w:hint="cs"/>
          <w:rtl/>
        </w:rPr>
      </w:pPr>
      <w:r w:rsidRPr="00F643BE">
        <w:rPr>
          <w:rFonts w:hint="cs"/>
          <w:rtl/>
        </w:rPr>
        <w:t>[בפרט נובעים טמטום הלב והמח מפגם הברית</w:t>
      </w:r>
      <w:r w:rsidRPr="005316B5">
        <w:rPr>
          <w:rStyle w:val="a6"/>
          <w:rtl/>
        </w:rPr>
        <w:endnoteReference w:id="20"/>
      </w:r>
      <w:r w:rsidRPr="00F643BE">
        <w:rPr>
          <w:rFonts w:hint="cs"/>
          <w:rtl/>
        </w:rPr>
        <w:t xml:space="preserve">, וקודם הנישואין לא ניתן ולא רצוי להתוודות על פגמי הברית ולעסוק בתיקונם </w:t>
      </w:r>
      <w:r w:rsidRPr="00F643BE">
        <w:rPr>
          <w:rtl/>
        </w:rPr>
        <w:t>–</w:t>
      </w:r>
      <w:r w:rsidRPr="00F643BE">
        <w:rPr>
          <w:rFonts w:hint="cs"/>
          <w:rtl/>
        </w:rPr>
        <w:t xml:space="preserve"> רק אחרי החתונה, כשהם זוכים להודות על שמחת הזיווג בקדושה</w:t>
      </w:r>
      <w:r w:rsidRPr="005316B5">
        <w:rPr>
          <w:rStyle w:val="a6"/>
          <w:rtl/>
        </w:rPr>
        <w:endnoteReference w:id="21"/>
      </w:r>
      <w:r w:rsidRPr="00F643BE">
        <w:rPr>
          <w:rFonts w:hint="cs"/>
          <w:rtl/>
        </w:rPr>
        <w:t>, הם רשאים גם להתוודות על חטאי הנעורים ולתקן את השפעתם על הנפש</w:t>
      </w:r>
      <w:r w:rsidRPr="005316B5">
        <w:rPr>
          <w:rStyle w:val="a6"/>
          <w:rtl/>
        </w:rPr>
        <w:endnoteReference w:id="22"/>
      </w:r>
      <w:r w:rsidRPr="00F643BE">
        <w:rPr>
          <w:rFonts w:hint="cs"/>
          <w:rtl/>
        </w:rPr>
        <w:t>. ובעומק יותר ביחס לפגם הברית</w:t>
      </w:r>
      <w:r>
        <w:rPr>
          <w:rFonts w:hint="cs"/>
          <w:rtl/>
        </w:rPr>
        <w:t>:</w:t>
      </w:r>
      <w:r w:rsidRPr="00F643BE">
        <w:rPr>
          <w:rFonts w:hint="cs"/>
          <w:rtl/>
        </w:rPr>
        <w:t xml:space="preserve"> </w:t>
      </w:r>
      <w:r w:rsidRPr="00F643BE">
        <w:rPr>
          <w:rFonts w:hint="eastAsia"/>
          <w:rtl/>
        </w:rPr>
        <w:t>הטמטום</w:t>
      </w:r>
      <w:r w:rsidRPr="00F643BE">
        <w:rPr>
          <w:rFonts w:hint="cs"/>
          <w:rtl/>
        </w:rPr>
        <w:t xml:space="preserve"> היינו אוטם שלא מאפשר לגלות את פנימיות האדם – כאשר אין לו פה להפיק את התורה והתפלה מפנימיותו – כפי שאוטם הטומטום מונע לדעת מהו מינו ולהוליד ולדות חדשים. לפי זה הטמטום עצמו הוא סוג של "העלם השלמות העצמית" (שהוא התוצאה החמורה והמובהקת של פגם הברית</w:t>
      </w:r>
      <w:r w:rsidRPr="005316B5">
        <w:rPr>
          <w:rStyle w:val="a6"/>
          <w:rtl/>
        </w:rPr>
        <w:endnoteReference w:id="23"/>
      </w:r>
      <w:r w:rsidRPr="00F643BE">
        <w:rPr>
          <w:rFonts w:hint="cs"/>
          <w:rtl/>
        </w:rPr>
        <w:t>), כאשר זהותו העצמית של האדם ושלמותו ביכולת לפרות ולרבות אטומות ונעלמות. ואם כן, אטימות זו גופא היא פגם הברית הקיים גם אצל רווק הצדיק והטהור ביותר, שלא ראה קרי מימיו, כאשר טרם נתגלתה מהותו העצמית כזכר (וכיוצא בו אצל רווקה השמורה והצנועה בתכלית, במחשבה בדבור ובמעשה, אשר עצם היותה אטומה ובתולה היינו "העלם השלמות העצמית" על היותה נקבה ו"כלי"</w:t>
      </w:r>
      <w:r w:rsidRPr="005316B5">
        <w:rPr>
          <w:rStyle w:val="a6"/>
          <w:rtl/>
        </w:rPr>
        <w:endnoteReference w:id="24"/>
      </w:r>
      <w:r w:rsidRPr="00F643BE">
        <w:rPr>
          <w:rFonts w:hint="cs"/>
          <w:rtl/>
        </w:rPr>
        <w:t xml:space="preserve"> מוכשר לנישואין וללידת ילדים).]</w:t>
      </w:r>
    </w:p>
    <w:p w:rsidR="005F4A47" w:rsidRDefault="009444AD">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4AD" w:rsidRDefault="009444AD" w:rsidP="00A22542">
      <w:pPr>
        <w:spacing w:after="0" w:line="240" w:lineRule="auto"/>
      </w:pPr>
      <w:r>
        <w:separator/>
      </w:r>
    </w:p>
  </w:endnote>
  <w:endnote w:type="continuationSeparator" w:id="0">
    <w:p w:rsidR="009444AD" w:rsidRDefault="009444AD" w:rsidP="00A22542">
      <w:pPr>
        <w:spacing w:after="0" w:line="240" w:lineRule="auto"/>
      </w:pPr>
      <w:r>
        <w:continuationSeparator/>
      </w:r>
    </w:p>
  </w:endnote>
  <w:endnote w:id="1">
    <w:p w:rsidR="00A22542" w:rsidRDefault="00A22542" w:rsidP="00A22542">
      <w:pPr>
        <w:pStyle w:val="a4"/>
        <w:rPr>
          <w:rFonts w:hint="cs"/>
          <w:rtl/>
        </w:rPr>
      </w:pPr>
      <w:r>
        <w:rPr>
          <w:rtl/>
        </w:rPr>
        <w:tab/>
      </w:r>
      <w:r w:rsidRPr="00E15672">
        <w:rPr>
          <w:rtl/>
        </w:rPr>
        <w:endnoteRef/>
      </w:r>
      <w:r>
        <w:rPr>
          <w:rtl/>
        </w:rPr>
        <w:t>.</w:t>
      </w:r>
      <w:r>
        <w:rPr>
          <w:rtl/>
        </w:rPr>
        <w:tab/>
      </w:r>
      <w:r>
        <w:rPr>
          <w:rFonts w:hint="cs"/>
          <w:rtl/>
        </w:rPr>
        <w:t xml:space="preserve">הנ"ל בתורה "וכל החיים </w:t>
      </w:r>
      <w:proofErr w:type="spellStart"/>
      <w:r>
        <w:rPr>
          <w:rFonts w:hint="cs"/>
          <w:rtl/>
        </w:rPr>
        <w:t>יודוך</w:t>
      </w:r>
      <w:proofErr w:type="spellEnd"/>
      <w:r>
        <w:rPr>
          <w:rFonts w:hint="cs"/>
          <w:rtl/>
        </w:rPr>
        <w:t xml:space="preserve"> סלה".</w:t>
      </w:r>
    </w:p>
  </w:endnote>
  <w:endnote w:id="2">
    <w:p w:rsidR="00A22542" w:rsidRDefault="00A22542" w:rsidP="00A22542">
      <w:pPr>
        <w:pStyle w:val="a4"/>
        <w:rPr>
          <w:rFonts w:hint="cs"/>
        </w:rPr>
      </w:pPr>
      <w:r>
        <w:rPr>
          <w:rtl/>
        </w:rPr>
        <w:tab/>
      </w:r>
      <w:r w:rsidRPr="00E15672">
        <w:rPr>
          <w:rtl/>
        </w:rPr>
        <w:endnoteRef/>
      </w:r>
      <w:r>
        <w:rPr>
          <w:rtl/>
        </w:rPr>
        <w:t>.</w:t>
      </w:r>
      <w:r>
        <w:rPr>
          <w:rtl/>
        </w:rPr>
        <w:tab/>
      </w:r>
      <w:r>
        <w:rPr>
          <w:rFonts w:hint="cs"/>
          <w:rtl/>
        </w:rPr>
        <w:t>ברכות נד, ב.</w:t>
      </w:r>
    </w:p>
  </w:endnote>
  <w:endnote w:id="3">
    <w:p w:rsidR="00A22542" w:rsidRDefault="00A22542" w:rsidP="00A22542">
      <w:pPr>
        <w:pStyle w:val="a4"/>
        <w:rPr>
          <w:rFonts w:hint="cs"/>
          <w:rtl/>
        </w:rPr>
      </w:pPr>
      <w:r>
        <w:rPr>
          <w:rtl/>
        </w:rPr>
        <w:tab/>
      </w:r>
      <w:r w:rsidRPr="00E15672">
        <w:rPr>
          <w:rtl/>
        </w:rPr>
        <w:endnoteRef/>
      </w:r>
      <w:r>
        <w:rPr>
          <w:rtl/>
        </w:rPr>
        <w:t>.</w:t>
      </w:r>
      <w:r>
        <w:rPr>
          <w:rtl/>
        </w:rPr>
        <w:tab/>
      </w:r>
      <w:proofErr w:type="spellStart"/>
      <w:r>
        <w:rPr>
          <w:rFonts w:hint="cs"/>
          <w:rtl/>
        </w:rPr>
        <w:t>סה"מ</w:t>
      </w:r>
      <w:proofErr w:type="spellEnd"/>
      <w:r>
        <w:rPr>
          <w:rFonts w:hint="cs"/>
          <w:rtl/>
        </w:rPr>
        <w:t xml:space="preserve"> קונטרסים (לכ"ק אדמו"ר </w:t>
      </w:r>
      <w:proofErr w:type="spellStart"/>
      <w:r>
        <w:rPr>
          <w:rFonts w:hint="cs"/>
          <w:rtl/>
        </w:rPr>
        <w:t>הריי"צ</w:t>
      </w:r>
      <w:proofErr w:type="spellEnd"/>
      <w:r>
        <w:rPr>
          <w:rFonts w:hint="cs"/>
          <w:rtl/>
        </w:rPr>
        <w:t xml:space="preserve">) עמ' </w:t>
      </w:r>
      <w:proofErr w:type="spellStart"/>
      <w:r>
        <w:rPr>
          <w:rFonts w:hint="cs"/>
          <w:rtl/>
        </w:rPr>
        <w:t>קפז</w:t>
      </w:r>
      <w:proofErr w:type="spellEnd"/>
      <w:r>
        <w:rPr>
          <w:rFonts w:hint="cs"/>
          <w:rtl/>
        </w:rPr>
        <w:t>, ב.</w:t>
      </w:r>
    </w:p>
  </w:endnote>
  <w:endnote w:id="4">
    <w:p w:rsidR="00A22542" w:rsidRDefault="00A22542" w:rsidP="00A22542">
      <w:pPr>
        <w:pStyle w:val="a4"/>
        <w:rPr>
          <w:rFonts w:hint="cs"/>
          <w:rtl/>
        </w:rPr>
      </w:pPr>
      <w:r>
        <w:rPr>
          <w:rtl/>
        </w:rPr>
        <w:tab/>
      </w:r>
      <w:r w:rsidRPr="00E15672">
        <w:rPr>
          <w:rtl/>
        </w:rPr>
        <w:endnoteRef/>
      </w:r>
      <w:r>
        <w:rPr>
          <w:rtl/>
        </w:rPr>
        <w:t>.</w:t>
      </w:r>
      <w:r>
        <w:rPr>
          <w:rtl/>
        </w:rPr>
        <w:tab/>
      </w:r>
      <w:r>
        <w:rPr>
          <w:rFonts w:hint="cs"/>
          <w:rtl/>
        </w:rPr>
        <w:t xml:space="preserve">מאורי אור מערכת ח אות לה, ונתבאר באורך בספרנו גוף נפש ונשמה פרק ה (וראה בהקשר דנן במאמר ד"ה "הודו </w:t>
      </w:r>
      <w:proofErr w:type="spellStart"/>
      <w:r>
        <w:rPr>
          <w:rFonts w:hint="cs"/>
          <w:rtl/>
        </w:rPr>
        <w:t>להוי</w:t>
      </w:r>
      <w:proofErr w:type="spellEnd"/>
      <w:r>
        <w:rPr>
          <w:rFonts w:hint="cs"/>
          <w:rtl/>
        </w:rPr>
        <w:t>' כי טוב כי לעולם חסדו" תשמ"ו).</w:t>
      </w:r>
    </w:p>
  </w:endnote>
  <w:endnote w:id="5">
    <w:p w:rsidR="00A22542" w:rsidRDefault="00A22542" w:rsidP="00A22542">
      <w:pPr>
        <w:pStyle w:val="a4"/>
        <w:rPr>
          <w:rFonts w:hint="cs"/>
          <w:rtl/>
        </w:rPr>
      </w:pPr>
      <w:r>
        <w:rPr>
          <w:rtl/>
        </w:rPr>
        <w:tab/>
      </w:r>
      <w:r w:rsidRPr="00E15672">
        <w:rPr>
          <w:rtl/>
        </w:rPr>
        <w:endnoteRef/>
      </w:r>
      <w:r>
        <w:rPr>
          <w:rtl/>
        </w:rPr>
        <w:t>.</w:t>
      </w:r>
      <w:r>
        <w:rPr>
          <w:rtl/>
        </w:rPr>
        <w:tab/>
      </w:r>
      <w:r>
        <w:rPr>
          <w:rFonts w:hint="cs"/>
          <w:rtl/>
        </w:rPr>
        <w:t xml:space="preserve">וראה יין משמח </w:t>
      </w:r>
      <w:proofErr w:type="spellStart"/>
      <w:r>
        <w:rPr>
          <w:rFonts w:hint="cs"/>
          <w:rtl/>
        </w:rPr>
        <w:t>ח"ב</w:t>
      </w:r>
      <w:proofErr w:type="spellEnd"/>
      <w:r>
        <w:rPr>
          <w:rFonts w:hint="cs"/>
          <w:rtl/>
        </w:rPr>
        <w:t xml:space="preserve"> שער א בתורה "</w:t>
      </w:r>
      <w:proofErr w:type="spellStart"/>
      <w:r>
        <w:rPr>
          <w:rFonts w:hint="cs"/>
          <w:rtl/>
        </w:rPr>
        <w:t>עזיזא</w:t>
      </w:r>
      <w:proofErr w:type="spellEnd"/>
      <w:r>
        <w:rPr>
          <w:rFonts w:hint="cs"/>
          <w:rtl/>
        </w:rPr>
        <w:t xml:space="preserve"> </w:t>
      </w:r>
      <w:proofErr w:type="spellStart"/>
      <w:r>
        <w:rPr>
          <w:rFonts w:hint="cs"/>
          <w:rtl/>
        </w:rPr>
        <w:t>רחימתין</w:t>
      </w:r>
      <w:proofErr w:type="spellEnd"/>
      <w:r>
        <w:rPr>
          <w:rFonts w:hint="cs"/>
          <w:rtl/>
        </w:rPr>
        <w:t>".</w:t>
      </w:r>
    </w:p>
  </w:endnote>
  <w:endnote w:id="6">
    <w:p w:rsidR="00A22542" w:rsidRDefault="00A22542" w:rsidP="00A22542">
      <w:pPr>
        <w:pStyle w:val="a4"/>
        <w:rPr>
          <w:rFonts w:hint="cs"/>
          <w:rtl/>
        </w:rPr>
      </w:pPr>
      <w:r>
        <w:rPr>
          <w:rtl/>
        </w:rPr>
        <w:tab/>
      </w:r>
      <w:r w:rsidRPr="00E15672">
        <w:rPr>
          <w:rtl/>
        </w:rPr>
        <w:endnoteRef/>
      </w:r>
      <w:r>
        <w:rPr>
          <w:rtl/>
        </w:rPr>
        <w:t>.</w:t>
      </w:r>
      <w:r>
        <w:rPr>
          <w:rtl/>
        </w:rPr>
        <w:tab/>
      </w:r>
      <w:r>
        <w:rPr>
          <w:rFonts w:hint="cs"/>
          <w:rtl/>
        </w:rPr>
        <w:t>ראה רש"י למלאכי ג, כד.</w:t>
      </w:r>
    </w:p>
  </w:endnote>
  <w:endnote w:id="7">
    <w:p w:rsidR="00A22542" w:rsidRDefault="00A22542" w:rsidP="00A22542">
      <w:pPr>
        <w:pStyle w:val="a4"/>
        <w:rPr>
          <w:rFonts w:hint="cs"/>
        </w:rPr>
      </w:pPr>
      <w:r>
        <w:rPr>
          <w:rtl/>
        </w:rPr>
        <w:tab/>
      </w:r>
      <w:r w:rsidRPr="00E15672">
        <w:rPr>
          <w:rtl/>
        </w:rPr>
        <w:endnoteRef/>
      </w:r>
      <w:r>
        <w:rPr>
          <w:rtl/>
        </w:rPr>
        <w:t>.</w:t>
      </w:r>
      <w:r>
        <w:rPr>
          <w:rtl/>
        </w:rPr>
        <w:tab/>
      </w:r>
      <w:r>
        <w:rPr>
          <w:rFonts w:hint="cs"/>
          <w:rtl/>
        </w:rPr>
        <w:t>ברכות ח, א.</w:t>
      </w:r>
    </w:p>
  </w:endnote>
  <w:endnote w:id="8">
    <w:p w:rsidR="00A22542" w:rsidRDefault="00A22542" w:rsidP="00A22542">
      <w:pPr>
        <w:pStyle w:val="a4"/>
        <w:rPr>
          <w:rFonts w:hint="cs"/>
          <w:rtl/>
        </w:rPr>
      </w:pPr>
      <w:r>
        <w:rPr>
          <w:rtl/>
        </w:rPr>
        <w:tab/>
      </w:r>
      <w:r w:rsidRPr="00E15672">
        <w:rPr>
          <w:rtl/>
        </w:rPr>
        <w:endnoteRef/>
      </w:r>
      <w:r>
        <w:rPr>
          <w:rtl/>
        </w:rPr>
        <w:t>.</w:t>
      </w:r>
      <w:r>
        <w:rPr>
          <w:rtl/>
        </w:rPr>
        <w:tab/>
      </w:r>
      <w:r>
        <w:rPr>
          <w:rFonts w:hint="cs"/>
          <w:rtl/>
        </w:rPr>
        <w:t>תהלים לב, ו (וראה בהקדמה לספרנו שכינה ביניהם).</w:t>
      </w:r>
    </w:p>
  </w:endnote>
  <w:endnote w:id="9">
    <w:p w:rsidR="00A22542" w:rsidRDefault="00A22542" w:rsidP="00A22542">
      <w:pPr>
        <w:pStyle w:val="a4"/>
        <w:rPr>
          <w:rFonts w:hint="cs"/>
          <w:rtl/>
        </w:rPr>
      </w:pPr>
      <w:r>
        <w:rPr>
          <w:rtl/>
        </w:rPr>
        <w:tab/>
      </w:r>
      <w:r w:rsidRPr="00E15672">
        <w:rPr>
          <w:rtl/>
        </w:rPr>
        <w:endnoteRef/>
      </w:r>
      <w:r>
        <w:rPr>
          <w:rtl/>
        </w:rPr>
        <w:t>.</w:t>
      </w:r>
      <w:r>
        <w:rPr>
          <w:rtl/>
        </w:rPr>
        <w:tab/>
      </w:r>
      <w:r>
        <w:rPr>
          <w:rFonts w:hint="cs"/>
          <w:rtl/>
        </w:rPr>
        <w:t xml:space="preserve">ראה תניא </w:t>
      </w:r>
      <w:proofErr w:type="spellStart"/>
      <w:r>
        <w:rPr>
          <w:rFonts w:hint="cs"/>
          <w:rtl/>
        </w:rPr>
        <w:t>פמ"ה</w:t>
      </w:r>
      <w:proofErr w:type="spellEnd"/>
      <w:r>
        <w:rPr>
          <w:rFonts w:hint="cs"/>
          <w:rtl/>
        </w:rPr>
        <w:t>.</w:t>
      </w:r>
    </w:p>
  </w:endnote>
  <w:endnote w:id="10">
    <w:p w:rsidR="00A22542" w:rsidRDefault="00A22542" w:rsidP="00A22542">
      <w:pPr>
        <w:pStyle w:val="a4"/>
        <w:rPr>
          <w:rFonts w:hint="cs"/>
          <w:rtl/>
        </w:rPr>
      </w:pPr>
      <w:r>
        <w:rPr>
          <w:rtl/>
        </w:rPr>
        <w:tab/>
      </w:r>
      <w:r w:rsidRPr="00E15672">
        <w:rPr>
          <w:rtl/>
        </w:rPr>
        <w:endnoteRef/>
      </w:r>
      <w:r>
        <w:rPr>
          <w:rtl/>
        </w:rPr>
        <w:t>.</w:t>
      </w:r>
      <w:r>
        <w:rPr>
          <w:rtl/>
        </w:rPr>
        <w:tab/>
      </w:r>
      <w:r>
        <w:rPr>
          <w:rFonts w:hint="cs"/>
          <w:rtl/>
        </w:rPr>
        <w:t xml:space="preserve">בראשית </w:t>
      </w:r>
      <w:proofErr w:type="spellStart"/>
      <w:r>
        <w:rPr>
          <w:rFonts w:hint="cs"/>
          <w:rtl/>
        </w:rPr>
        <w:t>כט</w:t>
      </w:r>
      <w:proofErr w:type="spellEnd"/>
      <w:r>
        <w:rPr>
          <w:rFonts w:hint="cs"/>
          <w:rtl/>
        </w:rPr>
        <w:t>, יא.</w:t>
      </w:r>
    </w:p>
  </w:endnote>
  <w:endnote w:id="11">
    <w:p w:rsidR="00A22542" w:rsidRDefault="00A22542" w:rsidP="00A22542">
      <w:pPr>
        <w:pStyle w:val="a4"/>
        <w:rPr>
          <w:rFonts w:hint="cs"/>
          <w:rtl/>
        </w:rPr>
      </w:pPr>
      <w:r>
        <w:rPr>
          <w:rtl/>
        </w:rPr>
        <w:tab/>
      </w:r>
      <w:r w:rsidRPr="00E15672">
        <w:rPr>
          <w:rtl/>
        </w:rPr>
        <w:endnoteRef/>
      </w:r>
      <w:r>
        <w:rPr>
          <w:rtl/>
        </w:rPr>
        <w:t>.</w:t>
      </w:r>
      <w:r>
        <w:rPr>
          <w:rtl/>
        </w:rPr>
        <w:tab/>
      </w:r>
      <w:r>
        <w:rPr>
          <w:rFonts w:hint="cs"/>
          <w:rtl/>
        </w:rPr>
        <w:t xml:space="preserve">ראה ילקוט שמעוני דברים רמז </w:t>
      </w:r>
      <w:proofErr w:type="spellStart"/>
      <w:r>
        <w:rPr>
          <w:rFonts w:hint="cs"/>
          <w:rtl/>
        </w:rPr>
        <w:t>תתקלג</w:t>
      </w:r>
      <w:proofErr w:type="spellEnd"/>
      <w:r>
        <w:rPr>
          <w:rFonts w:hint="cs"/>
          <w:rtl/>
        </w:rPr>
        <w:t xml:space="preserve"> </w:t>
      </w:r>
      <w:proofErr w:type="spellStart"/>
      <w:r>
        <w:rPr>
          <w:rFonts w:hint="cs"/>
          <w:rtl/>
        </w:rPr>
        <w:t>ובש"ך</w:t>
      </w:r>
      <w:proofErr w:type="spellEnd"/>
      <w:r>
        <w:rPr>
          <w:rFonts w:hint="cs"/>
          <w:rtl/>
        </w:rPr>
        <w:t xml:space="preserve"> על דברים </w:t>
      </w:r>
      <w:proofErr w:type="spellStart"/>
      <w:r>
        <w:rPr>
          <w:rFonts w:hint="cs"/>
          <w:rtl/>
        </w:rPr>
        <w:t>כב</w:t>
      </w:r>
      <w:proofErr w:type="spellEnd"/>
      <w:r>
        <w:rPr>
          <w:rFonts w:hint="cs"/>
          <w:rtl/>
        </w:rPr>
        <w:t xml:space="preserve">, </w:t>
      </w:r>
      <w:proofErr w:type="spellStart"/>
      <w:r>
        <w:rPr>
          <w:rFonts w:hint="cs"/>
          <w:rtl/>
        </w:rPr>
        <w:t>יג</w:t>
      </w:r>
      <w:proofErr w:type="spellEnd"/>
      <w:r>
        <w:rPr>
          <w:rFonts w:hint="cs"/>
          <w:rtl/>
        </w:rPr>
        <w:t>.</w:t>
      </w:r>
    </w:p>
  </w:endnote>
  <w:endnote w:id="12">
    <w:p w:rsidR="00A22542" w:rsidRDefault="00A22542" w:rsidP="00A22542">
      <w:pPr>
        <w:pStyle w:val="a4"/>
        <w:rPr>
          <w:rFonts w:hint="cs"/>
          <w:rtl/>
        </w:rPr>
      </w:pPr>
      <w:r>
        <w:rPr>
          <w:rtl/>
        </w:rPr>
        <w:tab/>
      </w:r>
      <w:r w:rsidRPr="00E15672">
        <w:rPr>
          <w:rtl/>
        </w:rPr>
        <w:endnoteRef/>
      </w:r>
      <w:r>
        <w:rPr>
          <w:rtl/>
        </w:rPr>
        <w:t>.</w:t>
      </w:r>
      <w:r>
        <w:rPr>
          <w:rtl/>
        </w:rPr>
        <w:tab/>
      </w:r>
      <w:r>
        <w:rPr>
          <w:rFonts w:hint="cs"/>
          <w:rtl/>
        </w:rPr>
        <w:t xml:space="preserve">ויקרא </w:t>
      </w:r>
      <w:proofErr w:type="spellStart"/>
      <w:r>
        <w:rPr>
          <w:rFonts w:hint="cs"/>
          <w:rtl/>
        </w:rPr>
        <w:t>יט</w:t>
      </w:r>
      <w:proofErr w:type="spellEnd"/>
      <w:r>
        <w:rPr>
          <w:rFonts w:hint="cs"/>
          <w:rtl/>
        </w:rPr>
        <w:t xml:space="preserve">, </w:t>
      </w:r>
      <w:proofErr w:type="spellStart"/>
      <w:r>
        <w:rPr>
          <w:rFonts w:hint="cs"/>
          <w:rtl/>
        </w:rPr>
        <w:t>יח</w:t>
      </w:r>
      <w:proofErr w:type="spellEnd"/>
      <w:r>
        <w:rPr>
          <w:rFonts w:hint="cs"/>
          <w:rtl/>
        </w:rPr>
        <w:t>.</w:t>
      </w:r>
    </w:p>
  </w:endnote>
  <w:endnote w:id="13">
    <w:p w:rsidR="00A22542" w:rsidRDefault="00A22542" w:rsidP="00A22542">
      <w:pPr>
        <w:pStyle w:val="a4"/>
        <w:rPr>
          <w:rFonts w:hint="cs"/>
          <w:rtl/>
        </w:rPr>
      </w:pPr>
      <w:r>
        <w:rPr>
          <w:rtl/>
        </w:rPr>
        <w:tab/>
      </w:r>
      <w:r w:rsidRPr="00E15672">
        <w:rPr>
          <w:rtl/>
        </w:rPr>
        <w:endnoteRef/>
      </w:r>
      <w:r>
        <w:rPr>
          <w:rtl/>
        </w:rPr>
        <w:t>.</w:t>
      </w:r>
      <w:r>
        <w:rPr>
          <w:rtl/>
        </w:rPr>
        <w:tab/>
      </w:r>
      <w:r>
        <w:rPr>
          <w:rFonts w:hint="cs"/>
          <w:rtl/>
        </w:rPr>
        <w:t xml:space="preserve">ראה קידושין </w:t>
      </w:r>
      <w:proofErr w:type="spellStart"/>
      <w:r>
        <w:rPr>
          <w:rFonts w:hint="cs"/>
          <w:rtl/>
        </w:rPr>
        <w:t>מא</w:t>
      </w:r>
      <w:proofErr w:type="spellEnd"/>
      <w:r>
        <w:rPr>
          <w:rFonts w:hint="cs"/>
          <w:rtl/>
        </w:rPr>
        <w:t>, א.</w:t>
      </w:r>
    </w:p>
  </w:endnote>
  <w:endnote w:id="14">
    <w:p w:rsidR="00A22542" w:rsidRDefault="00A22542" w:rsidP="00A22542">
      <w:pPr>
        <w:pStyle w:val="a4"/>
        <w:rPr>
          <w:rFonts w:hint="cs"/>
          <w:rtl/>
        </w:rPr>
      </w:pPr>
      <w:r>
        <w:rPr>
          <w:rtl/>
        </w:rPr>
        <w:tab/>
      </w:r>
      <w:r w:rsidRPr="00E15672">
        <w:rPr>
          <w:rtl/>
        </w:rPr>
        <w:endnoteRef/>
      </w:r>
      <w:r>
        <w:rPr>
          <w:rtl/>
        </w:rPr>
        <w:t>.</w:t>
      </w:r>
      <w:r>
        <w:rPr>
          <w:rtl/>
        </w:rPr>
        <w:tab/>
      </w:r>
      <w:r>
        <w:rPr>
          <w:rFonts w:hint="cs"/>
          <w:rtl/>
        </w:rPr>
        <w:t xml:space="preserve">והוא על יסוד הנפסק ברמב"ם הלכות אישות </w:t>
      </w:r>
      <w:proofErr w:type="spellStart"/>
      <w:r>
        <w:rPr>
          <w:rFonts w:hint="cs"/>
          <w:rtl/>
        </w:rPr>
        <w:t>פט"ו</w:t>
      </w:r>
      <w:proofErr w:type="spellEnd"/>
      <w:r>
        <w:rPr>
          <w:rFonts w:hint="cs"/>
          <w:rtl/>
        </w:rPr>
        <w:t xml:space="preserve"> </w:t>
      </w:r>
      <w:proofErr w:type="spellStart"/>
      <w:r>
        <w:rPr>
          <w:rFonts w:hint="cs"/>
          <w:rtl/>
        </w:rPr>
        <w:t>ה"ב</w:t>
      </w:r>
      <w:proofErr w:type="spellEnd"/>
      <w:r>
        <w:rPr>
          <w:rFonts w:hint="cs"/>
          <w:rtl/>
        </w:rPr>
        <w:t xml:space="preserve"> </w:t>
      </w:r>
      <w:proofErr w:type="spellStart"/>
      <w:r>
        <w:rPr>
          <w:rFonts w:hint="cs"/>
          <w:rtl/>
        </w:rPr>
        <w:t>ושו"ע</w:t>
      </w:r>
      <w:proofErr w:type="spellEnd"/>
      <w:r>
        <w:rPr>
          <w:rFonts w:hint="cs"/>
          <w:rtl/>
        </w:rPr>
        <w:t xml:space="preserve"> </w:t>
      </w:r>
      <w:proofErr w:type="spellStart"/>
      <w:r>
        <w:rPr>
          <w:rFonts w:hint="cs"/>
          <w:rtl/>
        </w:rPr>
        <w:t>אבהע"ז</w:t>
      </w:r>
      <w:proofErr w:type="spellEnd"/>
      <w:r>
        <w:rPr>
          <w:rFonts w:hint="cs"/>
          <w:rtl/>
        </w:rPr>
        <w:t xml:space="preserve"> סימן א הלכה ד.</w:t>
      </w:r>
    </w:p>
  </w:endnote>
  <w:endnote w:id="15">
    <w:p w:rsidR="00A22542" w:rsidRDefault="00A22542" w:rsidP="00A22542">
      <w:pPr>
        <w:pStyle w:val="a4"/>
        <w:rPr>
          <w:rFonts w:hint="cs"/>
          <w:rtl/>
        </w:rPr>
      </w:pPr>
      <w:r>
        <w:rPr>
          <w:rtl/>
        </w:rPr>
        <w:tab/>
      </w:r>
      <w:r w:rsidRPr="00E15672">
        <w:rPr>
          <w:rtl/>
        </w:rPr>
        <w:endnoteRef/>
      </w:r>
      <w:r>
        <w:rPr>
          <w:rtl/>
        </w:rPr>
        <w:t>.</w:t>
      </w:r>
      <w:r>
        <w:rPr>
          <w:rtl/>
        </w:rPr>
        <w:tab/>
      </w:r>
      <w:proofErr w:type="spellStart"/>
      <w:r>
        <w:rPr>
          <w:rFonts w:hint="cs"/>
          <w:rtl/>
        </w:rPr>
        <w:t>קדושין</w:t>
      </w:r>
      <w:proofErr w:type="spellEnd"/>
      <w:r>
        <w:rPr>
          <w:rFonts w:hint="cs"/>
          <w:rtl/>
        </w:rPr>
        <w:t xml:space="preserve"> </w:t>
      </w:r>
      <w:proofErr w:type="spellStart"/>
      <w:r>
        <w:rPr>
          <w:rFonts w:hint="cs"/>
          <w:rtl/>
        </w:rPr>
        <w:t>כט</w:t>
      </w:r>
      <w:proofErr w:type="spellEnd"/>
      <w:r>
        <w:rPr>
          <w:rFonts w:hint="cs"/>
          <w:rtl/>
        </w:rPr>
        <w:t>, ב.</w:t>
      </w:r>
    </w:p>
  </w:endnote>
  <w:endnote w:id="16">
    <w:p w:rsidR="00A22542" w:rsidRDefault="00A22542" w:rsidP="00A22542">
      <w:pPr>
        <w:pStyle w:val="a4"/>
        <w:rPr>
          <w:rFonts w:hint="cs"/>
          <w:rtl/>
        </w:rPr>
      </w:pPr>
      <w:r>
        <w:rPr>
          <w:rtl/>
        </w:rPr>
        <w:tab/>
      </w:r>
      <w:r w:rsidRPr="00E15672">
        <w:rPr>
          <w:rtl/>
        </w:rPr>
        <w:endnoteRef/>
      </w:r>
      <w:r>
        <w:rPr>
          <w:rtl/>
        </w:rPr>
        <w:t>.</w:t>
      </w:r>
      <w:r>
        <w:rPr>
          <w:rtl/>
        </w:rPr>
        <w:tab/>
      </w:r>
      <w:r>
        <w:rPr>
          <w:rFonts w:hint="cs"/>
          <w:rtl/>
        </w:rPr>
        <w:t>ראה יבמות סב, ב.</w:t>
      </w:r>
    </w:p>
  </w:endnote>
  <w:endnote w:id="17">
    <w:p w:rsidR="00A22542" w:rsidRDefault="00A22542" w:rsidP="00A22542">
      <w:pPr>
        <w:pStyle w:val="a4"/>
        <w:rPr>
          <w:rFonts w:hint="cs"/>
          <w:rtl/>
        </w:rPr>
      </w:pPr>
      <w:r>
        <w:rPr>
          <w:rtl/>
        </w:rPr>
        <w:tab/>
      </w:r>
      <w:r w:rsidRPr="00E15672">
        <w:rPr>
          <w:rtl/>
        </w:rPr>
        <w:endnoteRef/>
      </w:r>
      <w:r>
        <w:rPr>
          <w:rtl/>
        </w:rPr>
        <w:t>.</w:t>
      </w:r>
      <w:r>
        <w:rPr>
          <w:rtl/>
        </w:rPr>
        <w:tab/>
      </w:r>
      <w:r>
        <w:rPr>
          <w:rFonts w:hint="cs"/>
          <w:rtl/>
        </w:rPr>
        <w:t>עוד על לימוד התורה כדבעי ו"לשמה" דווקא אחרי הנישואין ראה בספר חתן עם הכלה וביין משמח ח"א בשער הרביעי כולו.</w:t>
      </w:r>
    </w:p>
  </w:endnote>
  <w:endnote w:id="18">
    <w:p w:rsidR="00A22542" w:rsidRDefault="00A22542" w:rsidP="00A22542">
      <w:pPr>
        <w:pStyle w:val="a4"/>
        <w:rPr>
          <w:rFonts w:hint="cs"/>
        </w:rPr>
      </w:pPr>
      <w:r>
        <w:rPr>
          <w:rtl/>
        </w:rPr>
        <w:tab/>
      </w:r>
      <w:r w:rsidRPr="00E15672">
        <w:rPr>
          <w:rtl/>
        </w:rPr>
        <w:endnoteRef/>
      </w:r>
      <w:r>
        <w:rPr>
          <w:rtl/>
        </w:rPr>
        <w:t>.</w:t>
      </w:r>
      <w:r>
        <w:rPr>
          <w:rtl/>
        </w:rPr>
        <w:tab/>
      </w:r>
      <w:r>
        <w:rPr>
          <w:rFonts w:hint="cs"/>
          <w:rtl/>
        </w:rPr>
        <w:t xml:space="preserve">וראה יין משמח ח"א שער ד בתורה "אבא </w:t>
      </w:r>
      <w:proofErr w:type="spellStart"/>
      <w:r>
        <w:rPr>
          <w:rFonts w:hint="cs"/>
          <w:rtl/>
        </w:rPr>
        <w:t>אבא</w:t>
      </w:r>
      <w:proofErr w:type="spellEnd"/>
      <w:r>
        <w:rPr>
          <w:rFonts w:hint="cs"/>
          <w:rtl/>
        </w:rPr>
        <w:t>".</w:t>
      </w:r>
    </w:p>
  </w:endnote>
  <w:endnote w:id="19">
    <w:p w:rsidR="00A22542" w:rsidRDefault="00A22542" w:rsidP="00A22542">
      <w:pPr>
        <w:pStyle w:val="a4"/>
        <w:rPr>
          <w:rtl/>
        </w:rPr>
      </w:pPr>
      <w:r>
        <w:rPr>
          <w:rtl/>
        </w:rPr>
        <w:tab/>
      </w:r>
      <w:r w:rsidRPr="00E15672">
        <w:rPr>
          <w:rtl/>
        </w:rPr>
        <w:endnoteRef/>
      </w:r>
      <w:r>
        <w:rPr>
          <w:rtl/>
        </w:rPr>
        <w:t>.</w:t>
      </w:r>
      <w:r>
        <w:rPr>
          <w:rtl/>
        </w:rPr>
        <w:tab/>
      </w:r>
      <w:r>
        <w:rPr>
          <w:rFonts w:hint="cs"/>
          <w:rtl/>
        </w:rPr>
        <w:t xml:space="preserve">תהלים </w:t>
      </w:r>
      <w:proofErr w:type="spellStart"/>
      <w:r>
        <w:rPr>
          <w:rFonts w:hint="cs"/>
          <w:rtl/>
        </w:rPr>
        <w:t>קז</w:t>
      </w:r>
      <w:proofErr w:type="spellEnd"/>
      <w:r>
        <w:rPr>
          <w:rFonts w:hint="cs"/>
          <w:rtl/>
        </w:rPr>
        <w:t xml:space="preserve">, </w:t>
      </w:r>
      <w:proofErr w:type="spellStart"/>
      <w:r>
        <w:rPr>
          <w:rFonts w:hint="cs"/>
          <w:rtl/>
        </w:rPr>
        <w:t>יח</w:t>
      </w:r>
      <w:proofErr w:type="spellEnd"/>
      <w:r>
        <w:rPr>
          <w:rFonts w:hint="cs"/>
          <w:rtl/>
        </w:rPr>
        <w:t xml:space="preserve"> (מקור הלימוד אודות "חולה שנתרפא").</w:t>
      </w:r>
    </w:p>
  </w:endnote>
  <w:endnote w:id="20">
    <w:p w:rsidR="00A22542" w:rsidRDefault="00A22542" w:rsidP="00A22542">
      <w:pPr>
        <w:pStyle w:val="a4"/>
        <w:rPr>
          <w:rFonts w:hint="cs"/>
          <w:rtl/>
        </w:rPr>
      </w:pPr>
      <w:r>
        <w:rPr>
          <w:rtl/>
        </w:rPr>
        <w:tab/>
      </w:r>
      <w:r w:rsidRPr="00E15672">
        <w:rPr>
          <w:rtl/>
        </w:rPr>
        <w:endnoteRef/>
      </w:r>
      <w:r>
        <w:rPr>
          <w:rtl/>
        </w:rPr>
        <w:t>.</w:t>
      </w:r>
      <w:r>
        <w:rPr>
          <w:rtl/>
        </w:rPr>
        <w:tab/>
      </w:r>
      <w:r>
        <w:rPr>
          <w:rFonts w:hint="cs"/>
          <w:rtl/>
        </w:rPr>
        <w:t xml:space="preserve">וראה תניא </w:t>
      </w:r>
      <w:proofErr w:type="spellStart"/>
      <w:r>
        <w:rPr>
          <w:rFonts w:hint="cs"/>
          <w:rtl/>
        </w:rPr>
        <w:t>פמ"ב</w:t>
      </w:r>
      <w:proofErr w:type="spellEnd"/>
      <w:r>
        <w:rPr>
          <w:rFonts w:hint="cs"/>
          <w:rtl/>
        </w:rPr>
        <w:t xml:space="preserve"> (על פי ספר חסידים סימן לה) ובאגרת התשובה פ"ט.</w:t>
      </w:r>
    </w:p>
  </w:endnote>
  <w:endnote w:id="21">
    <w:p w:rsidR="00A22542" w:rsidRDefault="00A22542" w:rsidP="00A22542">
      <w:pPr>
        <w:pStyle w:val="a4"/>
        <w:rPr>
          <w:rFonts w:hint="cs"/>
          <w:rtl/>
        </w:rPr>
      </w:pPr>
      <w:r>
        <w:rPr>
          <w:rtl/>
        </w:rPr>
        <w:tab/>
      </w:r>
      <w:r w:rsidRPr="00E15672">
        <w:rPr>
          <w:rtl/>
        </w:rPr>
        <w:endnoteRef/>
      </w:r>
      <w:r>
        <w:rPr>
          <w:rtl/>
        </w:rPr>
        <w:t>.</w:t>
      </w:r>
      <w:r>
        <w:rPr>
          <w:rtl/>
        </w:rPr>
        <w:tab/>
      </w:r>
      <w:r>
        <w:rPr>
          <w:rFonts w:hint="cs"/>
          <w:rtl/>
        </w:rPr>
        <w:t>וכנ"ל בתורה "</w:t>
      </w:r>
      <w:proofErr w:type="spellStart"/>
      <w:r>
        <w:rPr>
          <w:rFonts w:hint="cs"/>
          <w:rtl/>
        </w:rPr>
        <w:t>האשה</w:t>
      </w:r>
      <w:proofErr w:type="spellEnd"/>
      <w:r>
        <w:rPr>
          <w:rFonts w:hint="cs"/>
          <w:rtl/>
        </w:rPr>
        <w:t xml:space="preserve"> אשר </w:t>
      </w:r>
      <w:proofErr w:type="spellStart"/>
      <w:r>
        <w:rPr>
          <w:rFonts w:hint="cs"/>
          <w:rtl/>
        </w:rPr>
        <w:t>נתתה</w:t>
      </w:r>
      <w:proofErr w:type="spellEnd"/>
      <w:r>
        <w:rPr>
          <w:rFonts w:hint="cs"/>
          <w:rtl/>
        </w:rPr>
        <w:t xml:space="preserve"> עמדי".</w:t>
      </w:r>
    </w:p>
  </w:endnote>
  <w:endnote w:id="22">
    <w:p w:rsidR="00A22542" w:rsidRDefault="00A22542" w:rsidP="00A22542">
      <w:pPr>
        <w:pStyle w:val="a4"/>
        <w:rPr>
          <w:rFonts w:hint="cs"/>
          <w:rtl/>
        </w:rPr>
      </w:pPr>
      <w:r>
        <w:rPr>
          <w:rtl/>
        </w:rPr>
        <w:tab/>
      </w:r>
      <w:r w:rsidRPr="00E15672">
        <w:rPr>
          <w:rtl/>
        </w:rPr>
        <w:endnoteRef/>
      </w:r>
      <w:r>
        <w:rPr>
          <w:rtl/>
        </w:rPr>
        <w:t>.</w:t>
      </w:r>
      <w:r>
        <w:rPr>
          <w:rtl/>
        </w:rPr>
        <w:tab/>
      </w:r>
      <w:r>
        <w:rPr>
          <w:rFonts w:hint="cs"/>
          <w:rtl/>
        </w:rPr>
        <w:t xml:space="preserve">כהוראת כ"ק אדמו"ר </w:t>
      </w:r>
      <w:proofErr w:type="spellStart"/>
      <w:r>
        <w:rPr>
          <w:rFonts w:hint="cs"/>
          <w:rtl/>
        </w:rPr>
        <w:t>מליובאוויטש</w:t>
      </w:r>
      <w:proofErr w:type="spellEnd"/>
      <w:r>
        <w:rPr>
          <w:rFonts w:hint="cs"/>
          <w:rtl/>
        </w:rPr>
        <w:t xml:space="preserve"> בכך בכ"ד (ראה לדוגמה </w:t>
      </w:r>
      <w:proofErr w:type="spellStart"/>
      <w:r>
        <w:rPr>
          <w:rFonts w:hint="cs"/>
          <w:rtl/>
        </w:rPr>
        <w:t>אג"ק</w:t>
      </w:r>
      <w:proofErr w:type="spellEnd"/>
      <w:r>
        <w:rPr>
          <w:rFonts w:hint="cs"/>
          <w:rtl/>
        </w:rPr>
        <w:t xml:space="preserve"> </w:t>
      </w:r>
      <w:proofErr w:type="spellStart"/>
      <w:r>
        <w:rPr>
          <w:rFonts w:hint="cs"/>
          <w:rtl/>
        </w:rPr>
        <w:t>יג</w:t>
      </w:r>
      <w:proofErr w:type="spellEnd"/>
      <w:r>
        <w:rPr>
          <w:rFonts w:hint="cs"/>
          <w:rtl/>
        </w:rPr>
        <w:t xml:space="preserve"> עמ' </w:t>
      </w:r>
      <w:proofErr w:type="spellStart"/>
      <w:r>
        <w:rPr>
          <w:rFonts w:hint="cs"/>
          <w:rtl/>
        </w:rPr>
        <w:t>רעח</w:t>
      </w:r>
      <w:proofErr w:type="spellEnd"/>
      <w:r>
        <w:rPr>
          <w:rFonts w:hint="cs"/>
          <w:rtl/>
        </w:rPr>
        <w:t>).</w:t>
      </w:r>
    </w:p>
  </w:endnote>
  <w:endnote w:id="23">
    <w:p w:rsidR="00A22542" w:rsidRDefault="00A22542" w:rsidP="00A22542">
      <w:pPr>
        <w:pStyle w:val="a4"/>
        <w:rPr>
          <w:rFonts w:hint="cs"/>
          <w:rtl/>
        </w:rPr>
      </w:pPr>
      <w:r>
        <w:rPr>
          <w:rtl/>
        </w:rPr>
        <w:tab/>
      </w:r>
      <w:r w:rsidRPr="00E15672">
        <w:rPr>
          <w:rtl/>
        </w:rPr>
        <w:endnoteRef/>
      </w:r>
      <w:r>
        <w:rPr>
          <w:rtl/>
        </w:rPr>
        <w:t>.</w:t>
      </w:r>
      <w:r>
        <w:rPr>
          <w:rtl/>
        </w:rPr>
        <w:tab/>
      </w:r>
      <w:r>
        <w:rPr>
          <w:rFonts w:hint="cs"/>
          <w:rtl/>
        </w:rPr>
        <w:t>ראה תורת שלום עמ' 172-173.</w:t>
      </w:r>
    </w:p>
  </w:endnote>
  <w:endnote w:id="24">
    <w:p w:rsidR="00A22542" w:rsidRDefault="00A22542" w:rsidP="00A22542">
      <w:pPr>
        <w:pStyle w:val="a4"/>
        <w:rPr>
          <w:rFonts w:hint="cs"/>
          <w:rtl/>
        </w:rPr>
      </w:pPr>
      <w:r>
        <w:rPr>
          <w:rtl/>
        </w:rPr>
        <w:tab/>
      </w:r>
      <w:r w:rsidRPr="00E15672">
        <w:rPr>
          <w:rtl/>
        </w:rPr>
        <w:endnoteRef/>
      </w:r>
      <w:r>
        <w:rPr>
          <w:rtl/>
        </w:rPr>
        <w:t>.</w:t>
      </w:r>
      <w:r>
        <w:rPr>
          <w:rtl/>
        </w:rPr>
        <w:tab/>
      </w:r>
      <w:r>
        <w:rPr>
          <w:rFonts w:hint="cs"/>
          <w:rtl/>
        </w:rPr>
        <w:t xml:space="preserve">סנהדרין </w:t>
      </w:r>
      <w:proofErr w:type="spellStart"/>
      <w:r>
        <w:rPr>
          <w:rFonts w:hint="cs"/>
          <w:rtl/>
        </w:rPr>
        <w:t>כב</w:t>
      </w:r>
      <w:proofErr w:type="spellEnd"/>
      <w:r>
        <w:rPr>
          <w:rFonts w:hint="cs"/>
          <w:rtl/>
        </w:rPr>
        <w:t>, ב (וראה באורך בשער 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4AD" w:rsidRDefault="009444AD" w:rsidP="00A22542">
      <w:pPr>
        <w:spacing w:after="0" w:line="240" w:lineRule="auto"/>
      </w:pPr>
      <w:r>
        <w:separator/>
      </w:r>
    </w:p>
  </w:footnote>
  <w:footnote w:type="continuationSeparator" w:id="0">
    <w:p w:rsidR="009444AD" w:rsidRDefault="009444AD" w:rsidP="00A225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F6C"/>
    <w:rsid w:val="00061E65"/>
    <w:rsid w:val="003E4F6C"/>
    <w:rsid w:val="009444AD"/>
    <w:rsid w:val="00A22542"/>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22542"/>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22542"/>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22542"/>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A22542"/>
    <w:rPr>
      <w:rFonts w:cs="Miriam"/>
      <w:w w:val="100"/>
      <w:sz w:val="21"/>
      <w:szCs w:val="23"/>
    </w:rPr>
  </w:style>
  <w:style w:type="paragraph" w:styleId="a4">
    <w:name w:val="endnote text"/>
    <w:aliases w:val="Endnote Text"/>
    <w:basedOn w:val="a"/>
    <w:link w:val="a5"/>
    <w:autoRedefine/>
    <w:semiHidden/>
    <w:rsid w:val="00A22542"/>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A22542"/>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A22542"/>
    <w:rPr>
      <w:noProof/>
      <w:position w:val="-4"/>
      <w:szCs w:val="27"/>
      <w:vertAlign w:val="superscript"/>
    </w:rPr>
  </w:style>
  <w:style w:type="character" w:styleId="a7">
    <w:name w:val="footnote reference"/>
    <w:basedOn w:val="a0"/>
    <w:uiPriority w:val="99"/>
    <w:semiHidden/>
    <w:unhideWhenUsed/>
    <w:rsid w:val="00A2254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22542"/>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22542"/>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22542"/>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A22542"/>
    <w:rPr>
      <w:rFonts w:cs="Miriam"/>
      <w:w w:val="100"/>
      <w:sz w:val="21"/>
      <w:szCs w:val="23"/>
    </w:rPr>
  </w:style>
  <w:style w:type="paragraph" w:styleId="a4">
    <w:name w:val="endnote text"/>
    <w:aliases w:val="Endnote Text"/>
    <w:basedOn w:val="a"/>
    <w:link w:val="a5"/>
    <w:autoRedefine/>
    <w:semiHidden/>
    <w:rsid w:val="00A22542"/>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A22542"/>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A22542"/>
    <w:rPr>
      <w:noProof/>
      <w:position w:val="-4"/>
      <w:szCs w:val="27"/>
      <w:vertAlign w:val="superscript"/>
    </w:rPr>
  </w:style>
  <w:style w:type="character" w:styleId="a7">
    <w:name w:val="footnote reference"/>
    <w:basedOn w:val="a0"/>
    <w:uiPriority w:val="99"/>
    <w:semiHidden/>
    <w:unhideWhenUsed/>
    <w:rsid w:val="00A225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3;&#1513;&#1497;%20&#1493;&#1499;&#1500;%20&#1492;&#1495;&#1497;&#1497;&#1501;%20&#1497;&#1493;&#1491;&#1493;&#1498;%20&#1505;&#1500;&#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741</Words>
  <Characters>3706</Characters>
  <Application>Microsoft Office Word</Application>
  <DocSecurity>0</DocSecurity>
  <Lines>30</Lines>
  <Paragraphs>8</Paragraphs>
  <ScaleCrop>false</ScaleCrop>
  <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2017-08-14T22:50:00Z</dcterms:created>
  <dcterms:modified xsi:type="dcterms:W3CDTF">2017-08-14T22:50:00Z</dcterms:modified>
</cp:coreProperties>
</file>