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CA7" w:rsidRPr="00DE7874" w:rsidRDefault="00A96CA7" w:rsidP="00A96CA7">
      <w:pPr>
        <w:pStyle w:val="2"/>
        <w:rPr>
          <w:rFonts w:hint="cs"/>
          <w:rtl/>
        </w:rPr>
      </w:pPr>
      <w:bookmarkStart w:id="0" w:name="_Toc145068698"/>
      <w:bookmarkStart w:id="1" w:name="_Ref145069176"/>
      <w:r>
        <w:rPr>
          <w:w w:val="100"/>
          <w:rtl/>
        </w:rPr>
        <w:drawing>
          <wp:anchor distT="0" distB="0" distL="114300" distR="114300" simplePos="0" relativeHeight="251659264" behindDoc="1" locked="0" layoutInCell="1" allowOverlap="1">
            <wp:simplePos x="0" y="0"/>
            <wp:positionH relativeFrom="column">
              <wp:posOffset>1933575</wp:posOffset>
            </wp:positionH>
            <wp:positionV relativeFrom="paragraph">
              <wp:posOffset>685800</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7874">
        <w:rPr>
          <w:rFonts w:hint="cs"/>
          <w:rtl/>
        </w:rPr>
        <w:t>"ומוסרותיהם ינתק"</w:t>
      </w:r>
      <w:bookmarkEnd w:id="0"/>
      <w:bookmarkEnd w:id="1"/>
    </w:p>
    <w:p w:rsidR="00A96CA7" w:rsidRPr="00115A08" w:rsidRDefault="00A96CA7" w:rsidP="00A96CA7">
      <w:pPr>
        <w:keepNext/>
        <w:framePr w:dropCap="drop" w:lines="2" w:hSpace="57" w:wrap="around" w:vAnchor="text" w:hAnchor="text" w:xAlign="right"/>
        <w:spacing w:after="0" w:line="760" w:lineRule="exact"/>
        <w:textAlignment w:val="baseline"/>
        <w:rPr>
          <w:rStyle w:val="a9"/>
          <w:rtl/>
        </w:rPr>
      </w:pPr>
      <w:r w:rsidRPr="00115A08">
        <w:rPr>
          <w:rStyle w:val="a9"/>
          <w:rFonts w:hint="cs"/>
          <w:rtl/>
        </w:rPr>
        <w:t>ה</w:t>
      </w:r>
    </w:p>
    <w:p w:rsidR="00A96CA7" w:rsidRDefault="00A96CA7" w:rsidP="00A96CA7">
      <w:pPr>
        <w:rPr>
          <w:rFonts w:hint="cs"/>
          <w:rtl/>
        </w:rPr>
      </w:pPr>
      <w:r>
        <w:rPr>
          <w:rFonts w:hint="cs"/>
          <w:rtl/>
        </w:rPr>
        <w:t xml:space="preserve">שני </w:t>
      </w:r>
      <w:proofErr w:type="spellStart"/>
      <w:r>
        <w:rPr>
          <w:rFonts w:hint="cs"/>
          <w:rtl/>
        </w:rPr>
        <w:t>מה"ארבעה</w:t>
      </w:r>
      <w:proofErr w:type="spellEnd"/>
      <w:r>
        <w:rPr>
          <w:rFonts w:hint="cs"/>
          <w:rtl/>
        </w:rPr>
        <w:t xml:space="preserve"> </w:t>
      </w:r>
      <w:proofErr w:type="spellStart"/>
      <w:r>
        <w:rPr>
          <w:rFonts w:hint="cs"/>
          <w:rtl/>
        </w:rPr>
        <w:t>צריכין</w:t>
      </w:r>
      <w:proofErr w:type="spellEnd"/>
      <w:r>
        <w:rPr>
          <w:rFonts w:hint="cs"/>
          <w:rtl/>
        </w:rPr>
        <w:t xml:space="preserve"> להודות",</w:t>
      </w:r>
      <w:r w:rsidRPr="00491B7B">
        <w:rPr>
          <w:rFonts w:hint="cs"/>
          <w:rtl/>
        </w:rPr>
        <w:t xml:space="preserve"> </w:t>
      </w:r>
      <w:r>
        <w:rPr>
          <w:rFonts w:hint="cs"/>
          <w:rtl/>
        </w:rPr>
        <w:t>לפי הרמז של "וכל ה</w:t>
      </w:r>
      <w:r w:rsidRPr="003D3B98">
        <w:rPr>
          <w:rFonts w:hint="cs"/>
          <w:b/>
          <w:bCs/>
          <w:sz w:val="28"/>
          <w:szCs w:val="28"/>
          <w:rtl/>
        </w:rPr>
        <w:t>חיים</w:t>
      </w:r>
      <w:r>
        <w:rPr>
          <w:rFonts w:hint="cs"/>
          <w:rtl/>
        </w:rPr>
        <w:t xml:space="preserve"> </w:t>
      </w:r>
      <w:proofErr w:type="spellStart"/>
      <w:r>
        <w:rPr>
          <w:rFonts w:hint="cs"/>
          <w:rtl/>
        </w:rPr>
        <w:t>יודוך</w:t>
      </w:r>
      <w:proofErr w:type="spellEnd"/>
      <w:r>
        <w:rPr>
          <w:rFonts w:hint="cs"/>
          <w:rtl/>
        </w:rPr>
        <w:t xml:space="preserve"> סלה"</w:t>
      </w:r>
      <w:r w:rsidRPr="005316B5">
        <w:rPr>
          <w:rStyle w:val="a6"/>
          <w:rtl/>
        </w:rPr>
        <w:endnoteReference w:id="1"/>
      </w:r>
      <w:r>
        <w:rPr>
          <w:rFonts w:hint="cs"/>
          <w:rtl/>
        </w:rPr>
        <w:t xml:space="preserve">, הוא בעל </w:t>
      </w:r>
      <w:proofErr w:type="spellStart"/>
      <w:r>
        <w:rPr>
          <w:rFonts w:hint="cs"/>
          <w:rtl/>
        </w:rPr>
        <w:t>ה</w:t>
      </w:r>
      <w:r w:rsidRPr="005B02B5">
        <w:rPr>
          <w:rFonts w:hint="cs"/>
          <w:b/>
          <w:bCs/>
          <w:sz w:val="28"/>
          <w:szCs w:val="28"/>
          <w:rtl/>
        </w:rPr>
        <w:t>י</w:t>
      </w:r>
      <w:r>
        <w:rPr>
          <w:rFonts w:hint="cs"/>
          <w:rtl/>
        </w:rPr>
        <w:t>סורים</w:t>
      </w:r>
      <w:proofErr w:type="spellEnd"/>
      <w:r>
        <w:rPr>
          <w:rFonts w:hint="cs"/>
          <w:rtl/>
        </w:rPr>
        <w:t xml:space="preserve"> </w:t>
      </w:r>
      <w:r>
        <w:rPr>
          <w:rtl/>
        </w:rPr>
        <w:t>–</w:t>
      </w:r>
      <w:r>
        <w:rPr>
          <w:rFonts w:hint="cs"/>
          <w:rtl/>
        </w:rPr>
        <w:t xml:space="preserve"> "מי שהיה חבוש בבית האסורים ויצא"</w:t>
      </w:r>
      <w:r w:rsidRPr="005316B5">
        <w:rPr>
          <w:rStyle w:val="a6"/>
          <w:rtl/>
        </w:rPr>
        <w:endnoteReference w:id="2"/>
      </w:r>
      <w:r>
        <w:rPr>
          <w:rFonts w:hint="cs"/>
          <w:rtl/>
        </w:rPr>
        <w:t>. בחיי הנפש חבישה בבית האסורים היא מצב "אשר ח"ו הרע מתגבר על הטוב, כמו שכתוב רשע [היצר הרע] מכתיר את הצדיק [יצר טוב]"</w:t>
      </w:r>
      <w:r w:rsidRPr="005316B5">
        <w:rPr>
          <w:rStyle w:val="a6"/>
          <w:rtl/>
        </w:rPr>
        <w:endnoteReference w:id="3"/>
      </w:r>
      <w:r>
        <w:rPr>
          <w:rFonts w:hint="cs"/>
          <w:rtl/>
        </w:rPr>
        <w:t xml:space="preserve"> </w:t>
      </w:r>
      <w:r>
        <w:rPr>
          <w:rtl/>
        </w:rPr>
        <w:t>–</w:t>
      </w:r>
      <w:r>
        <w:rPr>
          <w:rFonts w:hint="cs"/>
          <w:rtl/>
        </w:rPr>
        <w:t xml:space="preserve"> מצב בו הטוב העצמי שיש בנפש, הצדיק הקיים בכל אדם, מנוע מלהתגלות ולפעול את פעולתו, מסיבות פנימיות (אותן יצר האדם בהמשכו אחר יצרו הרע) או חיצוניות (כשהמסגרת החיצונית היא "בית האסורים" המונע מהאדם לבטא את כל יכולותיו </w:t>
      </w:r>
      <w:proofErr w:type="spellStart"/>
      <w:r>
        <w:rPr>
          <w:rFonts w:hint="cs"/>
          <w:rtl/>
        </w:rPr>
        <w:t>וכשרונותיו</w:t>
      </w:r>
      <w:proofErr w:type="spellEnd"/>
      <w:r>
        <w:rPr>
          <w:rFonts w:hint="cs"/>
          <w:rtl/>
        </w:rPr>
        <w:t xml:space="preserve"> הטובים).</w:t>
      </w:r>
    </w:p>
    <w:p w:rsidR="00A96CA7" w:rsidRPr="00F643BE" w:rsidRDefault="00A96CA7" w:rsidP="00A96CA7">
      <w:pPr>
        <w:rPr>
          <w:rFonts w:hint="cs"/>
          <w:rtl/>
        </w:rPr>
      </w:pPr>
      <w:r>
        <w:rPr>
          <w:rFonts w:hint="cs"/>
          <w:rtl/>
        </w:rPr>
        <w:t xml:space="preserve">לפני הנישואין, עם כל מה שנדמה לרווק ולרווקה כי הם חסרי עול </w:t>
      </w:r>
      <w:proofErr w:type="spellStart"/>
      <w:r>
        <w:rPr>
          <w:rFonts w:hint="cs"/>
          <w:rtl/>
        </w:rPr>
        <w:t>והתחיבות</w:t>
      </w:r>
      <w:proofErr w:type="spellEnd"/>
      <w:r>
        <w:rPr>
          <w:rFonts w:hint="cs"/>
          <w:rtl/>
        </w:rPr>
        <w:t>, הם היו שרויים בבית האסורים. לפני שהאדם מוצא לו "עזר כנגדו"</w:t>
      </w:r>
      <w:r w:rsidRPr="005316B5">
        <w:rPr>
          <w:rStyle w:val="a6"/>
          <w:rtl/>
        </w:rPr>
        <w:endnoteReference w:id="4"/>
      </w:r>
      <w:r>
        <w:rPr>
          <w:rFonts w:hint="cs"/>
          <w:rtl/>
        </w:rPr>
        <w:t xml:space="preserve"> </w:t>
      </w:r>
      <w:r>
        <w:rPr>
          <w:rtl/>
        </w:rPr>
        <w:t>–</w:t>
      </w:r>
      <w:r>
        <w:rPr>
          <w:rFonts w:hint="cs"/>
          <w:rtl/>
        </w:rPr>
        <w:t xml:space="preserve"> כל עוד הוא שרוי "בלא שמחה, בלא ברכה, בלא טובה, בלא תורה, בלא חומה, בלא שלום"</w:t>
      </w:r>
      <w:r w:rsidRPr="005316B5">
        <w:rPr>
          <w:rStyle w:val="a6"/>
          <w:rtl/>
        </w:rPr>
        <w:endnoteReference w:id="5"/>
      </w:r>
      <w:r>
        <w:rPr>
          <w:rFonts w:hint="cs"/>
          <w:rtl/>
        </w:rPr>
        <w:t xml:space="preserve"> </w:t>
      </w:r>
      <w:r>
        <w:rPr>
          <w:rtl/>
        </w:rPr>
        <w:t>–</w:t>
      </w:r>
      <w:r>
        <w:rPr>
          <w:rFonts w:hint="cs"/>
          <w:rtl/>
        </w:rPr>
        <w:t xml:space="preserve"> הוא מנוע מלהפיק את כל הטוב שבו, ורק כאשר "מצא </w:t>
      </w:r>
      <w:proofErr w:type="spellStart"/>
      <w:r>
        <w:rPr>
          <w:rFonts w:hint="cs"/>
          <w:rtl/>
        </w:rPr>
        <w:t>אשה</w:t>
      </w:r>
      <w:proofErr w:type="spellEnd"/>
      <w:r>
        <w:rPr>
          <w:rFonts w:hint="cs"/>
          <w:rtl/>
        </w:rPr>
        <w:t xml:space="preserve"> מצא טוב [אפשר לקיים]</w:t>
      </w:r>
      <w:r w:rsidRPr="00F643BE">
        <w:rPr>
          <w:rFonts w:hint="cs"/>
          <w:rtl/>
        </w:rPr>
        <w:t xml:space="preserve"> </w:t>
      </w:r>
      <w:proofErr w:type="spellStart"/>
      <w:r w:rsidRPr="00F643BE">
        <w:rPr>
          <w:rFonts w:hint="cs"/>
          <w:rtl/>
        </w:rPr>
        <w:t>ויפק</w:t>
      </w:r>
      <w:proofErr w:type="spellEnd"/>
      <w:r w:rsidRPr="00F643BE">
        <w:rPr>
          <w:rFonts w:hint="cs"/>
          <w:rtl/>
        </w:rPr>
        <w:t xml:space="preserve"> רצון </w:t>
      </w:r>
      <w:proofErr w:type="spellStart"/>
      <w:r w:rsidRPr="00F643BE">
        <w:rPr>
          <w:rFonts w:hint="cs"/>
          <w:rtl/>
        </w:rPr>
        <w:t>מהוי</w:t>
      </w:r>
      <w:proofErr w:type="spellEnd"/>
      <w:r w:rsidRPr="00F643BE">
        <w:rPr>
          <w:rFonts w:hint="cs"/>
          <w:rtl/>
        </w:rPr>
        <w:t>' [בהפקת כל מה שה' רוצה ממנו וטמון בתוכו]"</w:t>
      </w:r>
      <w:r w:rsidRPr="005316B5">
        <w:rPr>
          <w:rStyle w:val="a6"/>
          <w:rtl/>
        </w:rPr>
        <w:endnoteReference w:id="6"/>
      </w:r>
      <w:r w:rsidRPr="00F643BE">
        <w:rPr>
          <w:rFonts w:hint="cs"/>
          <w:rtl/>
        </w:rPr>
        <w:t xml:space="preserve">. מי שזוכה לבן זוג תומך ואוהב משתחרר לפתע מהעכבות שהוטלו קודם על נפשו, ונעשה חפשי באמת לפעול בעולם ולגלות את כל העוצמות הטמונות בו. בפרט, המאסר החמור ביותר הוא ההגבלה על </w:t>
      </w:r>
      <w:proofErr w:type="spellStart"/>
      <w:r w:rsidRPr="00F643BE">
        <w:rPr>
          <w:rFonts w:hint="cs"/>
          <w:rtl/>
        </w:rPr>
        <w:t>כח</w:t>
      </w:r>
      <w:proofErr w:type="spellEnd"/>
      <w:r w:rsidRPr="00F643BE">
        <w:rPr>
          <w:rFonts w:hint="cs"/>
          <w:rtl/>
        </w:rPr>
        <w:t xml:space="preserve"> הפוריות שבנפש, שמימושו הוא פריצת האדם מכלא גבולותיו, וקודם הנישואין האדם הוא ב"</w:t>
      </w:r>
      <w:r w:rsidRPr="00E84990">
        <w:rPr>
          <w:rStyle w:val="a3"/>
          <w:rFonts w:hint="cs"/>
          <w:rtl/>
        </w:rPr>
        <w:t>ב</w:t>
      </w:r>
      <w:r w:rsidRPr="00F643BE">
        <w:rPr>
          <w:rFonts w:hint="cs"/>
          <w:rtl/>
        </w:rPr>
        <w:t>ית ה</w:t>
      </w:r>
      <w:r w:rsidRPr="00E84990">
        <w:rPr>
          <w:rStyle w:val="a3"/>
          <w:rFonts w:hint="cs"/>
          <w:rtl/>
        </w:rPr>
        <w:t>אסורים</w:t>
      </w:r>
      <w:r w:rsidRPr="00F643BE">
        <w:rPr>
          <w:rFonts w:hint="cs"/>
          <w:rtl/>
        </w:rPr>
        <w:t>" ביחס אליו, בשני ה</w:t>
      </w:r>
      <w:r w:rsidRPr="00E84990">
        <w:rPr>
          <w:rStyle w:val="a3"/>
          <w:rFonts w:hint="cs"/>
          <w:rtl/>
        </w:rPr>
        <w:t>איסורים</w:t>
      </w:r>
      <w:r w:rsidRPr="00F643BE">
        <w:rPr>
          <w:rFonts w:hint="cs"/>
          <w:rtl/>
        </w:rPr>
        <w:t xml:space="preserve"> של "אשר צוונו על העריות ואסר לנו את הארוסות"</w:t>
      </w:r>
      <w:r w:rsidRPr="005316B5">
        <w:rPr>
          <w:rStyle w:val="a6"/>
          <w:rtl/>
        </w:rPr>
        <w:endnoteReference w:id="7"/>
      </w:r>
      <w:r w:rsidRPr="00F643BE">
        <w:rPr>
          <w:rFonts w:hint="cs"/>
          <w:rtl/>
        </w:rPr>
        <w:t xml:space="preserve"> (ובעומק יותר כבול הרווק בשני האיסורים של "מי שאין בו דעת [ידיעת והרגשת הזולת, לה זוכים ב'והאדם ידע'</w:t>
      </w:r>
      <w:r w:rsidRPr="005316B5">
        <w:rPr>
          <w:rStyle w:val="a6"/>
          <w:rtl/>
        </w:rPr>
        <w:endnoteReference w:id="8"/>
      </w:r>
      <w:r w:rsidRPr="00F643BE">
        <w:rPr>
          <w:rFonts w:hint="cs"/>
          <w:rtl/>
        </w:rPr>
        <w:t>] אסור לרחם עליו"</w:t>
      </w:r>
      <w:r w:rsidRPr="005316B5">
        <w:rPr>
          <w:rStyle w:val="a6"/>
          <w:rtl/>
        </w:rPr>
        <w:endnoteReference w:id="9"/>
      </w:r>
      <w:r w:rsidRPr="00F643BE">
        <w:rPr>
          <w:rFonts w:hint="cs"/>
          <w:rtl/>
        </w:rPr>
        <w:t xml:space="preserve"> ו"עם הארץ אסור לאכול בשר [שהרי טרם זכה לתקן </w:t>
      </w:r>
      <w:proofErr w:type="spellStart"/>
      <w:r w:rsidRPr="00F643BE">
        <w:rPr>
          <w:rFonts w:hint="cs"/>
          <w:rtl/>
        </w:rPr>
        <w:t>כדעי</w:t>
      </w:r>
      <w:proofErr w:type="spellEnd"/>
      <w:r w:rsidRPr="00F643BE">
        <w:rPr>
          <w:rFonts w:hint="cs"/>
          <w:rtl/>
        </w:rPr>
        <w:t xml:space="preserve"> את ברית הבשר</w:t>
      </w:r>
      <w:r w:rsidRPr="005316B5">
        <w:rPr>
          <w:rStyle w:val="a6"/>
          <w:rtl/>
        </w:rPr>
        <w:endnoteReference w:id="10"/>
      </w:r>
      <w:r w:rsidRPr="00F643BE">
        <w:rPr>
          <w:rFonts w:hint="cs"/>
          <w:rtl/>
        </w:rPr>
        <w:t>]"</w:t>
      </w:r>
      <w:r w:rsidRPr="005316B5">
        <w:rPr>
          <w:rStyle w:val="a6"/>
          <w:rtl/>
        </w:rPr>
        <w:endnoteReference w:id="11"/>
      </w:r>
      <w:r w:rsidRPr="00F643BE">
        <w:rPr>
          <w:rFonts w:hint="cs"/>
          <w:rtl/>
        </w:rPr>
        <w:t xml:space="preserve">, וד"ל). הדבר נכון לא רק מצד ההגבלות הנפשיות הפנימיות אלא גם מצד המסגרות החיצוניות </w:t>
      </w:r>
      <w:r w:rsidRPr="00F643BE">
        <w:rPr>
          <w:rtl/>
        </w:rPr>
        <w:t>–</w:t>
      </w:r>
      <w:r w:rsidRPr="00F643BE">
        <w:rPr>
          <w:rFonts w:hint="cs"/>
          <w:rtl/>
        </w:rPr>
        <w:t xml:space="preserve"> טרם הנישואין שוהים בדרך כלל בתוך מסגרת המכוונת ומנחה את הרווק או הרווקה בכל אורחות חייהם (וכך ראוי למי שהוא עדיין פגיע, "בלא חומה", וצריך </w:t>
      </w:r>
      <w:proofErr w:type="spellStart"/>
      <w:r w:rsidRPr="00F643BE">
        <w:rPr>
          <w:rFonts w:hint="cs"/>
          <w:rtl/>
        </w:rPr>
        <w:t>להשמר</w:t>
      </w:r>
      <w:proofErr w:type="spellEnd"/>
      <w:r w:rsidRPr="00F643BE">
        <w:rPr>
          <w:rFonts w:hint="cs"/>
          <w:rtl/>
        </w:rPr>
        <w:t xml:space="preserve"> מגירוי היצר </w:t>
      </w:r>
      <w:proofErr w:type="spellStart"/>
      <w:r w:rsidRPr="00F643BE">
        <w:rPr>
          <w:rFonts w:hint="cs"/>
          <w:rtl/>
        </w:rPr>
        <w:t>בענינים</w:t>
      </w:r>
      <w:proofErr w:type="spellEnd"/>
      <w:r w:rsidRPr="00F643BE">
        <w:rPr>
          <w:rFonts w:hint="cs"/>
          <w:rtl/>
        </w:rPr>
        <w:t xml:space="preserve"> שצריכים להיות לגמרי 'מחוץ לתחום' עבורו</w:t>
      </w:r>
      <w:r w:rsidRPr="005316B5">
        <w:rPr>
          <w:rStyle w:val="a6"/>
          <w:rtl/>
        </w:rPr>
        <w:endnoteReference w:id="12"/>
      </w:r>
      <w:r w:rsidRPr="00F643BE">
        <w:rPr>
          <w:rFonts w:hint="cs"/>
          <w:rtl/>
        </w:rPr>
        <w:t>). אחרי הנישואין החתן והכלה בני חורין להקים את ביתם על פי רצונם הטהור ולממש בחופשיות את שליחותם המשותפת בעולם.</w:t>
      </w:r>
    </w:p>
    <w:p w:rsidR="00A96CA7" w:rsidRDefault="00A96CA7" w:rsidP="00A96CA7">
      <w:pPr>
        <w:rPr>
          <w:rFonts w:hint="cs"/>
          <w:rtl/>
        </w:rPr>
      </w:pPr>
      <w:r>
        <w:rPr>
          <w:rFonts w:hint="cs"/>
          <w:rtl/>
        </w:rPr>
        <w:t>ה</w:t>
      </w:r>
      <w:r w:rsidRPr="00E84990">
        <w:rPr>
          <w:rStyle w:val="a3"/>
          <w:rFonts w:hint="cs"/>
          <w:rtl/>
        </w:rPr>
        <w:t>הודיה</w:t>
      </w:r>
      <w:r>
        <w:rPr>
          <w:rFonts w:hint="cs"/>
          <w:rtl/>
        </w:rPr>
        <w:t xml:space="preserve"> על היציאה מבית האסורים צבועה בגוון מיוחד של "</w:t>
      </w:r>
      <w:r w:rsidRPr="00E84990">
        <w:rPr>
          <w:rStyle w:val="a3"/>
          <w:rFonts w:hint="cs"/>
          <w:rtl/>
        </w:rPr>
        <w:t>הוד</w:t>
      </w:r>
      <w:r>
        <w:rPr>
          <w:rFonts w:hint="cs"/>
          <w:rtl/>
        </w:rPr>
        <w:t xml:space="preserve"> מלכות"</w:t>
      </w:r>
      <w:r w:rsidRPr="005316B5">
        <w:rPr>
          <w:rStyle w:val="a6"/>
          <w:rtl/>
        </w:rPr>
        <w:endnoteReference w:id="13"/>
      </w:r>
      <w:r>
        <w:rPr>
          <w:rFonts w:hint="cs"/>
          <w:rtl/>
        </w:rPr>
        <w:t xml:space="preserve">. הנקודה היוצאת לחופש היא ניצוץ המשיח שבכל יהודי, שרק כאשר הוא משוחרר ממגבלות פנימיות וחיצוניות הוא מסוגל לבטא את עצמו כדבעי ולבטא את הוד מלכותו בעולם (והרמז: "כי תקנה </w:t>
      </w:r>
      <w:r w:rsidRPr="00E35A57">
        <w:rPr>
          <w:rFonts w:hint="cs"/>
          <w:b/>
          <w:bCs/>
          <w:sz w:val="28"/>
          <w:szCs w:val="28"/>
          <w:rtl/>
        </w:rPr>
        <w:t>עבד</w:t>
      </w:r>
      <w:r>
        <w:rPr>
          <w:rFonts w:hint="cs"/>
          <w:rtl/>
        </w:rPr>
        <w:t xml:space="preserve"> </w:t>
      </w:r>
      <w:r w:rsidRPr="00E35A57">
        <w:rPr>
          <w:rFonts w:hint="cs"/>
          <w:b/>
          <w:bCs/>
          <w:sz w:val="28"/>
          <w:szCs w:val="28"/>
          <w:rtl/>
        </w:rPr>
        <w:t>עברי</w:t>
      </w:r>
      <w:r>
        <w:rPr>
          <w:rFonts w:hint="cs"/>
          <w:rtl/>
        </w:rPr>
        <w:t xml:space="preserve"> [= </w:t>
      </w:r>
      <w:r w:rsidRPr="00E35A57">
        <w:rPr>
          <w:rFonts w:hint="cs"/>
          <w:b/>
          <w:bCs/>
          <w:sz w:val="28"/>
          <w:szCs w:val="28"/>
          <w:rtl/>
        </w:rPr>
        <w:t>משיח</w:t>
      </w:r>
      <w:r>
        <w:rPr>
          <w:rFonts w:hint="cs"/>
          <w:rtl/>
        </w:rPr>
        <w:t>] שש שנים יעב</w:t>
      </w:r>
      <w:r w:rsidRPr="00910A93">
        <w:rPr>
          <w:rFonts w:hint="cs"/>
          <w:spacing w:val="-10"/>
          <w:rtl/>
        </w:rPr>
        <w:t>ֹ</w:t>
      </w:r>
      <w:r>
        <w:rPr>
          <w:rFonts w:hint="cs"/>
          <w:rtl/>
        </w:rPr>
        <w:t xml:space="preserve">ד ובשבִעִת [זמן החתונה, כפי </w:t>
      </w:r>
      <w:proofErr w:type="spellStart"/>
      <w:r>
        <w:rPr>
          <w:rFonts w:hint="cs"/>
          <w:rtl/>
        </w:rPr>
        <w:t>שמצינו</w:t>
      </w:r>
      <w:proofErr w:type="spellEnd"/>
      <w:r>
        <w:rPr>
          <w:rFonts w:hint="cs"/>
          <w:rtl/>
        </w:rPr>
        <w:t xml:space="preserve"> ביעקב אבינו] יצא </w:t>
      </w:r>
      <w:proofErr w:type="spellStart"/>
      <w:r w:rsidRPr="00E35A57">
        <w:rPr>
          <w:rFonts w:hint="cs"/>
          <w:b/>
          <w:bCs/>
          <w:sz w:val="28"/>
          <w:szCs w:val="28"/>
          <w:rtl/>
        </w:rPr>
        <w:t>לחפשי</w:t>
      </w:r>
      <w:proofErr w:type="spellEnd"/>
      <w:r>
        <w:rPr>
          <w:rFonts w:hint="cs"/>
          <w:rtl/>
        </w:rPr>
        <w:t xml:space="preserve"> </w:t>
      </w:r>
      <w:r w:rsidRPr="00E35A57">
        <w:rPr>
          <w:rFonts w:hint="cs"/>
          <w:b/>
          <w:bCs/>
          <w:sz w:val="28"/>
          <w:szCs w:val="28"/>
          <w:rtl/>
        </w:rPr>
        <w:t>חנם</w:t>
      </w:r>
      <w:r>
        <w:rPr>
          <w:rFonts w:hint="cs"/>
          <w:rtl/>
        </w:rPr>
        <w:t xml:space="preserve"> [= </w:t>
      </w:r>
      <w:r w:rsidRPr="00E35A57">
        <w:rPr>
          <w:rFonts w:hint="cs"/>
          <w:b/>
          <w:bCs/>
          <w:sz w:val="28"/>
          <w:szCs w:val="28"/>
          <w:rtl/>
        </w:rPr>
        <w:t>למלכות</w:t>
      </w:r>
      <w:r>
        <w:rPr>
          <w:rFonts w:hint="cs"/>
          <w:rtl/>
        </w:rPr>
        <w:t>]"</w:t>
      </w:r>
      <w:r w:rsidRPr="005316B5">
        <w:rPr>
          <w:rStyle w:val="a6"/>
          <w:rtl/>
        </w:rPr>
        <w:endnoteReference w:id="14"/>
      </w:r>
      <w:r>
        <w:rPr>
          <w:rFonts w:hint="cs"/>
          <w:rtl/>
        </w:rPr>
        <w:t>). כך יש לומר על כל חתן ועל כל כלה "כי מבית הסורים יצא למל</w:t>
      </w:r>
      <w:r w:rsidRPr="00910A93">
        <w:rPr>
          <w:rFonts w:hint="cs"/>
          <w:spacing w:val="-10"/>
          <w:rtl/>
        </w:rPr>
        <w:t>ֹ</w:t>
      </w:r>
      <w:r w:rsidRPr="00910A93">
        <w:rPr>
          <w:rFonts w:hint="cs"/>
          <w:spacing w:val="-6"/>
          <w:rtl/>
        </w:rPr>
        <w:t>ך</w:t>
      </w:r>
      <w:r>
        <w:rPr>
          <w:rFonts w:hint="cs"/>
          <w:rtl/>
        </w:rPr>
        <w:t>"</w:t>
      </w:r>
      <w:r w:rsidRPr="005316B5">
        <w:rPr>
          <w:rStyle w:val="a6"/>
          <w:rtl/>
        </w:rPr>
        <w:endnoteReference w:id="15"/>
      </w:r>
      <w:r>
        <w:rPr>
          <w:rFonts w:hint="cs"/>
          <w:rtl/>
        </w:rPr>
        <w:t>, ובזכות החרות הזו אמרו</w:t>
      </w:r>
      <w:r w:rsidRPr="005316B5">
        <w:rPr>
          <w:rStyle w:val="a6"/>
          <w:rtl/>
        </w:rPr>
        <w:endnoteReference w:id="16"/>
      </w:r>
      <w:r>
        <w:rPr>
          <w:rFonts w:hint="cs"/>
          <w:rtl/>
        </w:rPr>
        <w:t xml:space="preserve"> בפירוש כי החתן דומה למלך והכלה למלכה. עם הוד המלכות השרוי על החתן והכלה מצד ניצוץ המשיח שמשתחרר בתוכם, ובזכותו, הם יכולים לזכות גם להוד מלכותו של מלך </w:t>
      </w:r>
      <w:r>
        <w:rPr>
          <w:rFonts w:hint="cs"/>
          <w:rtl/>
        </w:rPr>
        <w:lastRenderedPageBreak/>
        <w:t>ישראל, הנשיא והמשיח שבדור, כאשר הם יוצאים ביחד למלא את שליחותו ולהקים בית של הפצת תורה וחסידות (שאזי הם כפופים לו ישירות, ומתוך כך משוחררים מכל מסגרת אחרת).</w:t>
      </w:r>
    </w:p>
    <w:p w:rsidR="005F4A47" w:rsidRDefault="002A1749">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749" w:rsidRDefault="002A1749" w:rsidP="00A96CA7">
      <w:pPr>
        <w:spacing w:after="0" w:line="240" w:lineRule="auto"/>
      </w:pPr>
      <w:r>
        <w:separator/>
      </w:r>
    </w:p>
  </w:endnote>
  <w:endnote w:type="continuationSeparator" w:id="0">
    <w:p w:rsidR="002A1749" w:rsidRDefault="002A1749" w:rsidP="00A96CA7">
      <w:pPr>
        <w:spacing w:after="0" w:line="240" w:lineRule="auto"/>
      </w:pPr>
      <w:r>
        <w:continuationSeparator/>
      </w:r>
    </w:p>
  </w:endnote>
  <w:endnote w:id="1">
    <w:p w:rsidR="00A96CA7" w:rsidRDefault="00A96CA7" w:rsidP="00A96CA7">
      <w:pPr>
        <w:pStyle w:val="a4"/>
        <w:rPr>
          <w:rFonts w:hint="cs"/>
          <w:rtl/>
        </w:rPr>
      </w:pPr>
      <w:r>
        <w:rPr>
          <w:rtl/>
        </w:rPr>
        <w:tab/>
      </w:r>
      <w:r w:rsidRPr="00E15672">
        <w:rPr>
          <w:rtl/>
        </w:rPr>
        <w:endnoteRef/>
      </w:r>
      <w:r>
        <w:rPr>
          <w:rtl/>
        </w:rPr>
        <w:t>.</w:t>
      </w:r>
      <w:r>
        <w:rPr>
          <w:rtl/>
        </w:rPr>
        <w:tab/>
      </w:r>
      <w:r>
        <w:rPr>
          <w:rFonts w:hint="cs"/>
          <w:rtl/>
        </w:rPr>
        <w:t xml:space="preserve">הנ"ל בתורה "וכל החיים </w:t>
      </w:r>
      <w:proofErr w:type="spellStart"/>
      <w:r>
        <w:rPr>
          <w:rFonts w:hint="cs"/>
          <w:rtl/>
        </w:rPr>
        <w:t>יודוך</w:t>
      </w:r>
      <w:proofErr w:type="spellEnd"/>
      <w:r>
        <w:rPr>
          <w:rFonts w:hint="cs"/>
          <w:rtl/>
        </w:rPr>
        <w:t xml:space="preserve"> סלה".</w:t>
      </w:r>
    </w:p>
  </w:endnote>
  <w:endnote w:id="2">
    <w:p w:rsidR="00A96CA7" w:rsidRDefault="00A96CA7" w:rsidP="00A96CA7">
      <w:pPr>
        <w:pStyle w:val="a4"/>
        <w:rPr>
          <w:rFonts w:hint="cs"/>
        </w:rPr>
      </w:pPr>
      <w:r>
        <w:rPr>
          <w:rtl/>
        </w:rPr>
        <w:tab/>
      </w:r>
      <w:r w:rsidRPr="00E15672">
        <w:rPr>
          <w:rtl/>
        </w:rPr>
        <w:endnoteRef/>
      </w:r>
      <w:r>
        <w:rPr>
          <w:rtl/>
        </w:rPr>
        <w:t>.</w:t>
      </w:r>
      <w:r>
        <w:rPr>
          <w:rtl/>
        </w:rPr>
        <w:tab/>
      </w:r>
      <w:r>
        <w:rPr>
          <w:rFonts w:hint="cs"/>
          <w:rtl/>
        </w:rPr>
        <w:t>ברכות נד, ב.</w:t>
      </w:r>
    </w:p>
  </w:endnote>
  <w:endnote w:id="3">
    <w:p w:rsidR="00A96CA7" w:rsidRDefault="00A96CA7" w:rsidP="00A96CA7">
      <w:pPr>
        <w:pStyle w:val="a4"/>
        <w:rPr>
          <w:rFonts w:hint="cs"/>
          <w:rtl/>
        </w:rPr>
      </w:pPr>
      <w:r>
        <w:rPr>
          <w:rtl/>
        </w:rPr>
        <w:tab/>
      </w:r>
      <w:r w:rsidRPr="00E15672">
        <w:rPr>
          <w:rtl/>
        </w:rPr>
        <w:endnoteRef/>
      </w:r>
      <w:r>
        <w:rPr>
          <w:rtl/>
        </w:rPr>
        <w:t>.</w:t>
      </w:r>
      <w:r>
        <w:rPr>
          <w:rtl/>
        </w:rPr>
        <w:tab/>
      </w:r>
      <w:proofErr w:type="spellStart"/>
      <w:r>
        <w:rPr>
          <w:rFonts w:hint="cs"/>
          <w:rtl/>
        </w:rPr>
        <w:t>סה"מ</w:t>
      </w:r>
      <w:proofErr w:type="spellEnd"/>
      <w:r>
        <w:rPr>
          <w:rFonts w:hint="cs"/>
          <w:rtl/>
        </w:rPr>
        <w:t xml:space="preserve"> קונטרסים (לכ"ק אדמו"ר </w:t>
      </w:r>
      <w:proofErr w:type="spellStart"/>
      <w:r>
        <w:rPr>
          <w:rFonts w:hint="cs"/>
          <w:rtl/>
        </w:rPr>
        <w:t>הריי"צ</w:t>
      </w:r>
      <w:proofErr w:type="spellEnd"/>
      <w:r>
        <w:rPr>
          <w:rFonts w:hint="cs"/>
          <w:rtl/>
        </w:rPr>
        <w:t xml:space="preserve">) עמ' </w:t>
      </w:r>
      <w:proofErr w:type="spellStart"/>
      <w:r>
        <w:rPr>
          <w:rFonts w:hint="cs"/>
          <w:rtl/>
        </w:rPr>
        <w:t>קפז</w:t>
      </w:r>
      <w:proofErr w:type="spellEnd"/>
      <w:r>
        <w:rPr>
          <w:rFonts w:hint="cs"/>
          <w:rtl/>
        </w:rPr>
        <w:t>, ב.</w:t>
      </w:r>
    </w:p>
  </w:endnote>
  <w:endnote w:id="4">
    <w:p w:rsidR="00A96CA7" w:rsidRDefault="00A96CA7" w:rsidP="00A96CA7">
      <w:pPr>
        <w:pStyle w:val="a4"/>
        <w:rPr>
          <w:rFonts w:hint="cs"/>
          <w:rtl/>
        </w:rPr>
      </w:pPr>
      <w:r>
        <w:rPr>
          <w:rtl/>
        </w:rPr>
        <w:tab/>
      </w:r>
      <w:r w:rsidRPr="00E15672">
        <w:rPr>
          <w:rtl/>
        </w:rPr>
        <w:endnoteRef/>
      </w:r>
      <w:r>
        <w:rPr>
          <w:rtl/>
        </w:rPr>
        <w:t>.</w:t>
      </w:r>
      <w:r>
        <w:rPr>
          <w:rtl/>
        </w:rPr>
        <w:tab/>
      </w:r>
      <w:r>
        <w:rPr>
          <w:rFonts w:hint="cs"/>
          <w:rtl/>
        </w:rPr>
        <w:t>בראשית ב, חי.</w:t>
      </w:r>
    </w:p>
  </w:endnote>
  <w:endnote w:id="5">
    <w:p w:rsidR="00A96CA7" w:rsidRDefault="00A96CA7" w:rsidP="00A96CA7">
      <w:pPr>
        <w:pStyle w:val="a4"/>
        <w:rPr>
          <w:rFonts w:hint="cs"/>
          <w:rtl/>
        </w:rPr>
      </w:pPr>
      <w:r>
        <w:rPr>
          <w:rtl/>
        </w:rPr>
        <w:tab/>
      </w:r>
      <w:r w:rsidRPr="00E15672">
        <w:rPr>
          <w:rtl/>
        </w:rPr>
        <w:endnoteRef/>
      </w:r>
      <w:r>
        <w:rPr>
          <w:rtl/>
        </w:rPr>
        <w:t>.</w:t>
      </w:r>
      <w:r>
        <w:rPr>
          <w:rtl/>
        </w:rPr>
        <w:tab/>
      </w:r>
      <w:r>
        <w:rPr>
          <w:rFonts w:hint="cs"/>
          <w:rtl/>
        </w:rPr>
        <w:t>ראה יבמות סב, ב.</w:t>
      </w:r>
    </w:p>
  </w:endnote>
  <w:endnote w:id="6">
    <w:p w:rsidR="00A96CA7" w:rsidRDefault="00A96CA7" w:rsidP="00A96CA7">
      <w:pPr>
        <w:pStyle w:val="a4"/>
        <w:rPr>
          <w:rFonts w:hint="cs"/>
          <w:rtl/>
        </w:rPr>
      </w:pPr>
      <w:r>
        <w:rPr>
          <w:rtl/>
        </w:rPr>
        <w:tab/>
      </w:r>
      <w:r w:rsidRPr="00E15672">
        <w:rPr>
          <w:rtl/>
        </w:rPr>
        <w:endnoteRef/>
      </w:r>
      <w:r>
        <w:rPr>
          <w:rtl/>
        </w:rPr>
        <w:t>.</w:t>
      </w:r>
      <w:r>
        <w:rPr>
          <w:rtl/>
        </w:rPr>
        <w:tab/>
      </w:r>
      <w:r>
        <w:rPr>
          <w:rFonts w:hint="cs"/>
          <w:rtl/>
        </w:rPr>
        <w:t xml:space="preserve">משלי חי, </w:t>
      </w:r>
      <w:proofErr w:type="spellStart"/>
      <w:r>
        <w:rPr>
          <w:rFonts w:hint="cs"/>
          <w:rtl/>
        </w:rPr>
        <w:t>כב</w:t>
      </w:r>
      <w:proofErr w:type="spellEnd"/>
      <w:r>
        <w:rPr>
          <w:rFonts w:hint="cs"/>
          <w:rtl/>
        </w:rPr>
        <w:t xml:space="preserve"> (וראה שכינה ביניהם ע' יא).</w:t>
      </w:r>
    </w:p>
  </w:endnote>
  <w:endnote w:id="7">
    <w:p w:rsidR="00A96CA7" w:rsidRDefault="00A96CA7" w:rsidP="00A96CA7">
      <w:pPr>
        <w:pStyle w:val="a4"/>
        <w:rPr>
          <w:rFonts w:hint="cs"/>
          <w:rtl/>
        </w:rPr>
      </w:pPr>
      <w:r>
        <w:rPr>
          <w:rtl/>
        </w:rPr>
        <w:tab/>
      </w:r>
      <w:r w:rsidRPr="00E15672">
        <w:rPr>
          <w:rtl/>
        </w:rPr>
        <w:endnoteRef/>
      </w:r>
      <w:r>
        <w:rPr>
          <w:rtl/>
        </w:rPr>
        <w:t>.</w:t>
      </w:r>
      <w:r>
        <w:rPr>
          <w:rtl/>
        </w:rPr>
        <w:tab/>
      </w:r>
      <w:r>
        <w:rPr>
          <w:rFonts w:hint="cs"/>
          <w:rtl/>
        </w:rPr>
        <w:t>נוסח ברכת האירוסין.</w:t>
      </w:r>
    </w:p>
  </w:endnote>
  <w:endnote w:id="8">
    <w:p w:rsidR="00A96CA7" w:rsidRDefault="00A96CA7" w:rsidP="00A96CA7">
      <w:pPr>
        <w:pStyle w:val="a4"/>
        <w:rPr>
          <w:rFonts w:hint="cs"/>
          <w:rtl/>
        </w:rPr>
      </w:pPr>
      <w:r>
        <w:rPr>
          <w:rtl/>
        </w:rPr>
        <w:tab/>
      </w:r>
      <w:r w:rsidRPr="00E15672">
        <w:rPr>
          <w:rtl/>
        </w:rPr>
        <w:endnoteRef/>
      </w:r>
      <w:r>
        <w:rPr>
          <w:rtl/>
        </w:rPr>
        <w:t>.</w:t>
      </w:r>
      <w:r>
        <w:rPr>
          <w:rtl/>
        </w:rPr>
        <w:tab/>
      </w:r>
      <w:r>
        <w:rPr>
          <w:rFonts w:hint="cs"/>
          <w:rtl/>
        </w:rPr>
        <w:t>בראשית ד, א.</w:t>
      </w:r>
    </w:p>
  </w:endnote>
  <w:endnote w:id="9">
    <w:p w:rsidR="00A96CA7" w:rsidRDefault="00A96CA7" w:rsidP="00A96CA7">
      <w:pPr>
        <w:pStyle w:val="a4"/>
        <w:rPr>
          <w:rFonts w:hint="cs"/>
        </w:rPr>
      </w:pPr>
      <w:r>
        <w:rPr>
          <w:rtl/>
        </w:rPr>
        <w:tab/>
      </w:r>
      <w:r w:rsidRPr="00E15672">
        <w:rPr>
          <w:rtl/>
        </w:rPr>
        <w:endnoteRef/>
      </w:r>
      <w:r>
        <w:rPr>
          <w:rtl/>
        </w:rPr>
        <w:t>.</w:t>
      </w:r>
      <w:r>
        <w:rPr>
          <w:rtl/>
        </w:rPr>
        <w:tab/>
      </w:r>
      <w:r>
        <w:rPr>
          <w:rFonts w:hint="cs"/>
          <w:rtl/>
        </w:rPr>
        <w:t>מדרש שמואל ה. ראה ברכות לג, א.</w:t>
      </w:r>
    </w:p>
  </w:endnote>
  <w:endnote w:id="10">
    <w:p w:rsidR="00A96CA7" w:rsidRDefault="00A96CA7" w:rsidP="00A96CA7">
      <w:pPr>
        <w:pStyle w:val="a4"/>
        <w:rPr>
          <w:rFonts w:hint="cs"/>
          <w:rtl/>
        </w:rPr>
      </w:pPr>
      <w:r>
        <w:rPr>
          <w:rtl/>
        </w:rPr>
        <w:tab/>
      </w:r>
      <w:r w:rsidRPr="00E15672">
        <w:rPr>
          <w:rtl/>
        </w:rPr>
        <w:endnoteRef/>
      </w:r>
      <w:r>
        <w:rPr>
          <w:rtl/>
        </w:rPr>
        <w:t>.</w:t>
      </w:r>
      <w:r>
        <w:rPr>
          <w:rtl/>
        </w:rPr>
        <w:tab/>
      </w:r>
      <w:r>
        <w:rPr>
          <w:rFonts w:hint="cs"/>
          <w:rtl/>
        </w:rPr>
        <w:t>וראה בשער ד בתורה "עצם מעצמי ובשר מבשרי".</w:t>
      </w:r>
    </w:p>
  </w:endnote>
  <w:endnote w:id="11">
    <w:p w:rsidR="00A96CA7" w:rsidRDefault="00A96CA7" w:rsidP="00A96CA7">
      <w:pPr>
        <w:pStyle w:val="a4"/>
        <w:rPr>
          <w:rFonts w:hint="cs"/>
          <w:rtl/>
        </w:rPr>
      </w:pPr>
      <w:r>
        <w:rPr>
          <w:rtl/>
        </w:rPr>
        <w:tab/>
      </w:r>
      <w:r w:rsidRPr="00E15672">
        <w:rPr>
          <w:rtl/>
        </w:rPr>
        <w:endnoteRef/>
      </w:r>
      <w:r>
        <w:rPr>
          <w:rtl/>
        </w:rPr>
        <w:t>.</w:t>
      </w:r>
      <w:r>
        <w:rPr>
          <w:rtl/>
        </w:rPr>
        <w:tab/>
      </w:r>
      <w:r>
        <w:rPr>
          <w:rFonts w:hint="cs"/>
          <w:rtl/>
        </w:rPr>
        <w:t>פסחים מט, ב.</w:t>
      </w:r>
    </w:p>
  </w:endnote>
  <w:endnote w:id="12">
    <w:p w:rsidR="00A96CA7" w:rsidRDefault="00A96CA7" w:rsidP="00A96CA7">
      <w:pPr>
        <w:pStyle w:val="a4"/>
        <w:rPr>
          <w:rFonts w:hint="cs"/>
          <w:rtl/>
        </w:rPr>
      </w:pPr>
      <w:r>
        <w:rPr>
          <w:rtl/>
        </w:rPr>
        <w:tab/>
      </w:r>
      <w:r w:rsidRPr="00E15672">
        <w:rPr>
          <w:rtl/>
        </w:rPr>
        <w:endnoteRef/>
      </w:r>
      <w:r>
        <w:rPr>
          <w:rtl/>
        </w:rPr>
        <w:t>.</w:t>
      </w:r>
      <w:r>
        <w:rPr>
          <w:rtl/>
        </w:rPr>
        <w:tab/>
      </w:r>
      <w:r>
        <w:rPr>
          <w:rFonts w:hint="cs"/>
          <w:rtl/>
        </w:rPr>
        <w:t xml:space="preserve">וראה לדוגמה רמב"ם הלכות איסורי ביאה </w:t>
      </w:r>
      <w:proofErr w:type="spellStart"/>
      <w:r>
        <w:rPr>
          <w:rFonts w:hint="cs"/>
          <w:rtl/>
        </w:rPr>
        <w:t>פכ"א</w:t>
      </w:r>
      <w:proofErr w:type="spellEnd"/>
      <w:r>
        <w:rPr>
          <w:rFonts w:hint="cs"/>
          <w:rtl/>
        </w:rPr>
        <w:t xml:space="preserve"> </w:t>
      </w:r>
      <w:proofErr w:type="spellStart"/>
      <w:r>
        <w:rPr>
          <w:rFonts w:hint="cs"/>
          <w:rtl/>
        </w:rPr>
        <w:t>הכ"ג</w:t>
      </w:r>
      <w:proofErr w:type="spellEnd"/>
      <w:r>
        <w:rPr>
          <w:rFonts w:hint="cs"/>
          <w:rtl/>
        </w:rPr>
        <w:t xml:space="preserve"> (עפ"י נדה </w:t>
      </w:r>
      <w:proofErr w:type="spellStart"/>
      <w:r>
        <w:rPr>
          <w:rFonts w:hint="cs"/>
          <w:rtl/>
        </w:rPr>
        <w:t>יג</w:t>
      </w:r>
      <w:proofErr w:type="spellEnd"/>
      <w:r>
        <w:rPr>
          <w:rFonts w:hint="cs"/>
          <w:rtl/>
        </w:rPr>
        <w:t>, א).</w:t>
      </w:r>
    </w:p>
  </w:endnote>
  <w:endnote w:id="13">
    <w:p w:rsidR="00A96CA7" w:rsidRDefault="00A96CA7" w:rsidP="00A96CA7">
      <w:pPr>
        <w:pStyle w:val="a4"/>
        <w:rPr>
          <w:rFonts w:hint="cs"/>
          <w:rtl/>
        </w:rPr>
      </w:pPr>
      <w:r>
        <w:rPr>
          <w:rtl/>
        </w:rPr>
        <w:tab/>
      </w:r>
      <w:r w:rsidRPr="00E15672">
        <w:rPr>
          <w:rtl/>
        </w:rPr>
        <w:endnoteRef/>
      </w:r>
      <w:r>
        <w:rPr>
          <w:rtl/>
        </w:rPr>
        <w:t>.</w:t>
      </w:r>
      <w:r>
        <w:rPr>
          <w:rtl/>
        </w:rPr>
        <w:tab/>
      </w:r>
      <w:r>
        <w:rPr>
          <w:rFonts w:hint="cs"/>
          <w:rtl/>
        </w:rPr>
        <w:t xml:space="preserve">דהי"א </w:t>
      </w:r>
      <w:proofErr w:type="spellStart"/>
      <w:r>
        <w:rPr>
          <w:rFonts w:hint="cs"/>
          <w:rtl/>
        </w:rPr>
        <w:t>כט</w:t>
      </w:r>
      <w:proofErr w:type="spellEnd"/>
      <w:r>
        <w:rPr>
          <w:rFonts w:hint="cs"/>
          <w:rtl/>
        </w:rPr>
        <w:t>, כה.</w:t>
      </w:r>
    </w:p>
  </w:endnote>
  <w:endnote w:id="14">
    <w:p w:rsidR="00A96CA7" w:rsidRDefault="00A96CA7" w:rsidP="00A96CA7">
      <w:pPr>
        <w:pStyle w:val="a4"/>
        <w:rPr>
          <w:rFonts w:hint="cs"/>
          <w:rtl/>
        </w:rPr>
      </w:pPr>
      <w:r>
        <w:rPr>
          <w:rtl/>
        </w:rPr>
        <w:tab/>
      </w:r>
      <w:r w:rsidRPr="00E15672">
        <w:rPr>
          <w:rtl/>
        </w:rPr>
        <w:endnoteRef/>
      </w:r>
      <w:r>
        <w:rPr>
          <w:rtl/>
        </w:rPr>
        <w:t>.</w:t>
      </w:r>
      <w:r>
        <w:rPr>
          <w:rtl/>
        </w:rPr>
        <w:tab/>
      </w:r>
      <w:r>
        <w:rPr>
          <w:rFonts w:hint="cs"/>
          <w:rtl/>
        </w:rPr>
        <w:t xml:space="preserve">שמות </w:t>
      </w:r>
      <w:proofErr w:type="spellStart"/>
      <w:r>
        <w:rPr>
          <w:rFonts w:hint="cs"/>
          <w:rtl/>
        </w:rPr>
        <w:t>כא</w:t>
      </w:r>
      <w:proofErr w:type="spellEnd"/>
      <w:r>
        <w:rPr>
          <w:rFonts w:hint="cs"/>
          <w:rtl/>
        </w:rPr>
        <w:t>, ב.</w:t>
      </w:r>
    </w:p>
  </w:endnote>
  <w:endnote w:id="15">
    <w:p w:rsidR="00A96CA7" w:rsidRDefault="00A96CA7" w:rsidP="00A96CA7">
      <w:pPr>
        <w:pStyle w:val="a4"/>
        <w:rPr>
          <w:rFonts w:hint="cs"/>
          <w:rtl/>
        </w:rPr>
      </w:pPr>
      <w:r>
        <w:rPr>
          <w:rtl/>
        </w:rPr>
        <w:tab/>
      </w:r>
      <w:r w:rsidRPr="00E15672">
        <w:rPr>
          <w:rtl/>
        </w:rPr>
        <w:endnoteRef/>
      </w:r>
      <w:r>
        <w:rPr>
          <w:rtl/>
        </w:rPr>
        <w:t>.</w:t>
      </w:r>
      <w:r>
        <w:rPr>
          <w:rtl/>
        </w:rPr>
        <w:tab/>
      </w:r>
      <w:r>
        <w:rPr>
          <w:rFonts w:hint="cs"/>
          <w:rtl/>
        </w:rPr>
        <w:t>קהלת ד, יד.</w:t>
      </w:r>
    </w:p>
  </w:endnote>
  <w:endnote w:id="16">
    <w:p w:rsidR="00A96CA7" w:rsidRDefault="00A96CA7" w:rsidP="00A96CA7">
      <w:pPr>
        <w:pStyle w:val="a4"/>
        <w:rPr>
          <w:rFonts w:hint="cs"/>
          <w:rtl/>
        </w:rPr>
      </w:pPr>
      <w:r>
        <w:rPr>
          <w:rtl/>
        </w:rPr>
        <w:tab/>
      </w:r>
      <w:r w:rsidRPr="00E15672">
        <w:rPr>
          <w:rtl/>
        </w:rPr>
        <w:endnoteRef/>
      </w:r>
      <w:r>
        <w:rPr>
          <w:rtl/>
        </w:rPr>
        <w:t>.</w:t>
      </w:r>
      <w:r>
        <w:rPr>
          <w:rtl/>
        </w:rPr>
        <w:tab/>
      </w:r>
      <w:r>
        <w:rPr>
          <w:rFonts w:hint="cs"/>
          <w:rtl/>
        </w:rPr>
        <w:t xml:space="preserve">ראה פרקי דרבי אליעזר </w:t>
      </w:r>
      <w:proofErr w:type="spellStart"/>
      <w:r>
        <w:rPr>
          <w:rFonts w:hint="cs"/>
          <w:rtl/>
        </w:rPr>
        <w:t>פט"ז</w:t>
      </w:r>
      <w:proofErr w:type="spellEnd"/>
      <w:r>
        <w:rPr>
          <w:rFonts w:hint="cs"/>
          <w:rt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749" w:rsidRDefault="002A1749" w:rsidP="00A96CA7">
      <w:pPr>
        <w:spacing w:after="0" w:line="240" w:lineRule="auto"/>
      </w:pPr>
      <w:r>
        <w:separator/>
      </w:r>
    </w:p>
  </w:footnote>
  <w:footnote w:type="continuationSeparator" w:id="0">
    <w:p w:rsidR="002A1749" w:rsidRDefault="002A1749" w:rsidP="00A96C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E49"/>
    <w:rsid w:val="00061E65"/>
    <w:rsid w:val="002A1749"/>
    <w:rsid w:val="00393E49"/>
    <w:rsid w:val="00A96CA7"/>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A96CA7"/>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A96CA7"/>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A96CA7"/>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A96CA7"/>
    <w:rPr>
      <w:rFonts w:cs="Miriam"/>
      <w:w w:val="100"/>
      <w:sz w:val="21"/>
      <w:szCs w:val="23"/>
    </w:rPr>
  </w:style>
  <w:style w:type="paragraph" w:styleId="a4">
    <w:name w:val="endnote text"/>
    <w:aliases w:val="Endnote Text"/>
    <w:basedOn w:val="a"/>
    <w:link w:val="a5"/>
    <w:autoRedefine/>
    <w:semiHidden/>
    <w:rsid w:val="00A96CA7"/>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A96CA7"/>
    <w:rPr>
      <w:rFonts w:ascii="Times New Roman" w:eastAsia="Times New Roman" w:hAnsi="Times New Roman" w:cs="FrankRuehl"/>
      <w:sz w:val="20"/>
      <w:szCs w:val="23"/>
      <w:lang w:eastAsia="he-IL"/>
    </w:rPr>
  </w:style>
  <w:style w:type="character" w:styleId="a6">
    <w:name w:val="endnote reference"/>
    <w:aliases w:val="Endnote Reference"/>
    <w:basedOn w:val="a7"/>
    <w:semiHidden/>
    <w:rsid w:val="00A96CA7"/>
    <w:rPr>
      <w:noProof/>
      <w:position w:val="-4"/>
      <w:szCs w:val="27"/>
      <w:vertAlign w:val="superscript"/>
    </w:rPr>
  </w:style>
  <w:style w:type="paragraph" w:customStyle="1" w:styleId="a8">
    <w:name w:val="פתיח תו"/>
    <w:basedOn w:val="a"/>
    <w:link w:val="a9"/>
    <w:rsid w:val="00A96CA7"/>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A96CA7"/>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A96CA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A96CA7"/>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A96CA7"/>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A96CA7"/>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A96CA7"/>
    <w:rPr>
      <w:rFonts w:cs="Miriam"/>
      <w:w w:val="100"/>
      <w:sz w:val="21"/>
      <w:szCs w:val="23"/>
    </w:rPr>
  </w:style>
  <w:style w:type="paragraph" w:styleId="a4">
    <w:name w:val="endnote text"/>
    <w:aliases w:val="Endnote Text"/>
    <w:basedOn w:val="a"/>
    <w:link w:val="a5"/>
    <w:autoRedefine/>
    <w:semiHidden/>
    <w:rsid w:val="00A96CA7"/>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A96CA7"/>
    <w:rPr>
      <w:rFonts w:ascii="Times New Roman" w:eastAsia="Times New Roman" w:hAnsi="Times New Roman" w:cs="FrankRuehl"/>
      <w:sz w:val="20"/>
      <w:szCs w:val="23"/>
      <w:lang w:eastAsia="he-IL"/>
    </w:rPr>
  </w:style>
  <w:style w:type="character" w:styleId="a6">
    <w:name w:val="endnote reference"/>
    <w:aliases w:val="Endnote Reference"/>
    <w:basedOn w:val="a7"/>
    <w:semiHidden/>
    <w:rsid w:val="00A96CA7"/>
    <w:rPr>
      <w:noProof/>
      <w:position w:val="-4"/>
      <w:szCs w:val="27"/>
      <w:vertAlign w:val="superscript"/>
    </w:rPr>
  </w:style>
  <w:style w:type="paragraph" w:customStyle="1" w:styleId="a8">
    <w:name w:val="פתיח תו"/>
    <w:basedOn w:val="a"/>
    <w:link w:val="a9"/>
    <w:rsid w:val="00A96CA7"/>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A96CA7"/>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A96C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90;\&#1513;&#1506;&#1512;%20&#1513;&#1513;&#1497;%20&#1493;&#1499;&#1500;%20&#1492;&#1495;&#1497;&#1497;&#1501;%20&#1497;&#1493;&#1491;&#1493;&#1498;%20&#1505;&#1500;&#1492;\&#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413</Words>
  <Characters>2066</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2017-08-14T22:50:00Z</dcterms:created>
  <dcterms:modified xsi:type="dcterms:W3CDTF">2017-08-14T22:50:00Z</dcterms:modified>
</cp:coreProperties>
</file>