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C66" w:rsidRPr="00DE7874" w:rsidRDefault="00A55C66" w:rsidP="00A55C66">
      <w:pPr>
        <w:pStyle w:val="2"/>
        <w:rPr>
          <w:rFonts w:hint="cs"/>
          <w:rtl/>
        </w:rPr>
      </w:pPr>
      <w:bookmarkStart w:id="0" w:name="_Toc145068699"/>
      <w:bookmarkStart w:id="1" w:name="_Ref145069177"/>
      <w:r>
        <w:rPr>
          <w:w w:val="100"/>
          <w:rtl/>
        </w:rPr>
        <w:drawing>
          <wp:anchor distT="0" distB="0" distL="114300" distR="114300" simplePos="0" relativeHeight="251659264" behindDoc="1" locked="0" layoutInCell="1" allowOverlap="1">
            <wp:simplePos x="0" y="0"/>
            <wp:positionH relativeFrom="column">
              <wp:posOffset>2001520</wp:posOffset>
            </wp:positionH>
            <wp:positionV relativeFrom="paragraph">
              <wp:posOffset>685800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7874">
        <w:rPr>
          <w:rFonts w:hint="cs"/>
          <w:rtl/>
        </w:rPr>
        <w:t>"יקם סערה לדממה"</w:t>
      </w:r>
      <w:bookmarkEnd w:id="0"/>
      <w:bookmarkEnd w:id="1"/>
    </w:p>
    <w:p w:rsidR="00A55C66" w:rsidRPr="00115A08" w:rsidRDefault="00A55C66" w:rsidP="00A55C66">
      <w:pPr>
        <w:keepNext/>
        <w:framePr w:dropCap="drop" w:lines="2" w:hSpace="57" w:wrap="around" w:vAnchor="text" w:hAnchor="text" w:xAlign="right"/>
        <w:spacing w:after="0" w:line="760" w:lineRule="exact"/>
        <w:textAlignment w:val="baseline"/>
        <w:rPr>
          <w:rStyle w:val="a9"/>
          <w:rtl/>
        </w:rPr>
      </w:pPr>
      <w:r w:rsidRPr="00115A08">
        <w:rPr>
          <w:rStyle w:val="a9"/>
          <w:rFonts w:hint="cs"/>
          <w:rtl/>
        </w:rPr>
        <w:t>מ</w:t>
      </w:r>
    </w:p>
    <w:p w:rsidR="00A55C66" w:rsidRDefault="00A55C66" w:rsidP="00A55C66">
      <w:pPr>
        <w:rPr>
          <w:rFonts w:hint="cs"/>
          <w:rtl/>
        </w:rPr>
      </w:pPr>
      <w:r>
        <w:rPr>
          <w:rFonts w:hint="cs"/>
          <w:rtl/>
        </w:rPr>
        <w:t>דרגה שלישית של הודיה הנדרשת מבני הזוג, לפי הרמז של "וכל ה</w:t>
      </w:r>
      <w:r w:rsidRPr="003D3B98">
        <w:rPr>
          <w:rFonts w:hint="cs"/>
          <w:b/>
          <w:bCs/>
          <w:sz w:val="28"/>
          <w:szCs w:val="28"/>
          <w:rtl/>
        </w:rPr>
        <w:t>חיים</w:t>
      </w:r>
      <w:r>
        <w:rPr>
          <w:rFonts w:hint="cs"/>
          <w:rtl/>
        </w:rPr>
        <w:t xml:space="preserve"> </w:t>
      </w:r>
      <w:proofErr w:type="spellStart"/>
      <w:r>
        <w:rPr>
          <w:rFonts w:hint="cs"/>
          <w:rtl/>
        </w:rPr>
        <w:t>יודוך</w:t>
      </w:r>
      <w:proofErr w:type="spellEnd"/>
      <w:r>
        <w:rPr>
          <w:rFonts w:hint="cs"/>
          <w:rtl/>
        </w:rPr>
        <w:t xml:space="preserve"> סלה"</w:t>
      </w:r>
      <w:r w:rsidRPr="005316B5">
        <w:rPr>
          <w:rStyle w:val="a6"/>
          <w:rtl/>
        </w:rPr>
        <w:endnoteReference w:id="1"/>
      </w:r>
      <w:r>
        <w:rPr>
          <w:rFonts w:hint="cs"/>
          <w:rtl/>
        </w:rPr>
        <w:t>, היא בהיותם "יורדי ה</w:t>
      </w:r>
      <w:r w:rsidRPr="00567B3E">
        <w:rPr>
          <w:rFonts w:hint="cs"/>
          <w:b/>
          <w:bCs/>
          <w:sz w:val="28"/>
          <w:szCs w:val="28"/>
          <w:rtl/>
        </w:rPr>
        <w:t>י</w:t>
      </w:r>
      <w:r>
        <w:rPr>
          <w:rFonts w:hint="cs"/>
          <w:rtl/>
        </w:rPr>
        <w:t>ם"</w:t>
      </w:r>
      <w:r w:rsidRPr="005316B5">
        <w:rPr>
          <w:rStyle w:val="a6"/>
          <w:rtl/>
        </w:rPr>
        <w:endnoteReference w:id="2"/>
      </w:r>
      <w:r>
        <w:rPr>
          <w:rFonts w:hint="cs"/>
          <w:rtl/>
        </w:rPr>
        <w:t>. בחיי הנפש יורד הים הוא הנתון "בריבוי בלבולים של עניני העולם"</w:t>
      </w:r>
      <w:r w:rsidRPr="005316B5">
        <w:rPr>
          <w:rStyle w:val="a6"/>
          <w:rtl/>
        </w:rPr>
        <w:endnoteReference w:id="3"/>
      </w:r>
      <w:r>
        <w:rPr>
          <w:rFonts w:hint="cs"/>
          <w:rtl/>
        </w:rPr>
        <w:t xml:space="preserve">, כשעיקר סערות הים הטורדות ומבלבלות את הנפש היינו "המים </w:t>
      </w:r>
      <w:proofErr w:type="spellStart"/>
      <w:r>
        <w:rPr>
          <w:rFonts w:hint="cs"/>
          <w:rtl/>
        </w:rPr>
        <w:t>הזידונים</w:t>
      </w:r>
      <w:proofErr w:type="spellEnd"/>
      <w:r>
        <w:rPr>
          <w:rFonts w:hint="cs"/>
          <w:rtl/>
        </w:rPr>
        <w:t>"</w:t>
      </w:r>
      <w:r w:rsidRPr="005316B5">
        <w:rPr>
          <w:rStyle w:val="a6"/>
          <w:rtl/>
        </w:rPr>
        <w:endnoteReference w:id="4"/>
      </w:r>
      <w:r>
        <w:rPr>
          <w:rFonts w:hint="cs"/>
          <w:rtl/>
        </w:rPr>
        <w:t xml:space="preserve"> של טרדות הפרנסה</w:t>
      </w:r>
      <w:r w:rsidRPr="005316B5">
        <w:rPr>
          <w:rStyle w:val="a6"/>
          <w:rtl/>
        </w:rPr>
        <w:endnoteReference w:id="5"/>
      </w:r>
      <w:r>
        <w:rPr>
          <w:rFonts w:hint="cs"/>
          <w:rtl/>
        </w:rPr>
        <w:t xml:space="preserve">, עד שבעטיין עלול האדם להתדרדר מדחי אל דחי </w:t>
      </w:r>
      <w:r>
        <w:rPr>
          <w:rtl/>
        </w:rPr>
        <w:t>–</w:t>
      </w:r>
      <w:r>
        <w:rPr>
          <w:rFonts w:hint="cs"/>
          <w:rtl/>
        </w:rPr>
        <w:t xml:space="preserve"> לחדול מעבודת התפלה ומהקביעות בלמוד התורה, להתקרר ולאבד את חיותו בעבודת ה', ועד שהוא מתרוקן מכל הארת אור </w:t>
      </w:r>
      <w:proofErr w:type="spellStart"/>
      <w:r>
        <w:rPr>
          <w:rFonts w:hint="cs"/>
          <w:rtl/>
        </w:rPr>
        <w:t>אלקי</w:t>
      </w:r>
      <w:proofErr w:type="spellEnd"/>
      <w:r w:rsidRPr="005316B5">
        <w:rPr>
          <w:rStyle w:val="a6"/>
          <w:rtl/>
        </w:rPr>
        <w:endnoteReference w:id="6"/>
      </w:r>
      <w:r>
        <w:rPr>
          <w:rFonts w:hint="cs"/>
          <w:rtl/>
        </w:rPr>
        <w:t xml:space="preserve"> (וכמובן, מתוך כך ובהמשך לכך, טרדות הפרנסה גורמות לאדם לאבד את שלוותו ואת שפיותו, ועד שכל צלם אנוש נעלם ממנו והוא רק עסוק, כחיה, ברדיפת טרף לנפשו).</w:t>
      </w:r>
    </w:p>
    <w:p w:rsidR="00A55C66" w:rsidRDefault="00A55C66" w:rsidP="00A55C66">
      <w:pPr>
        <w:rPr>
          <w:rFonts w:hint="cs"/>
          <w:rtl/>
        </w:rPr>
      </w:pPr>
      <w:r>
        <w:rPr>
          <w:rFonts w:hint="cs"/>
          <w:rtl/>
        </w:rPr>
        <w:t>דווקא בהודיה על הישועה מטרדות הפרנסה מורגשת בכל תוקפה המשמעות הכללית והפשוטה ביותר</w:t>
      </w:r>
      <w:r w:rsidRPr="005316B5">
        <w:rPr>
          <w:rStyle w:val="a6"/>
          <w:rtl/>
        </w:rPr>
        <w:endnoteReference w:id="7"/>
      </w:r>
      <w:r>
        <w:rPr>
          <w:rFonts w:hint="cs"/>
          <w:rtl/>
        </w:rPr>
        <w:t xml:space="preserve"> </w:t>
      </w:r>
      <w:r>
        <w:rPr>
          <w:rtl/>
        </w:rPr>
        <w:t>–</w:t>
      </w:r>
      <w:r>
        <w:rPr>
          <w:rFonts w:hint="cs"/>
          <w:rtl/>
        </w:rPr>
        <w:t xml:space="preserve"> אמירת התודה על מה שזכים לו מן השמים </w:t>
      </w:r>
      <w:r>
        <w:rPr>
          <w:rtl/>
        </w:rPr>
        <w:t>–</w:t>
      </w:r>
      <w:r>
        <w:rPr>
          <w:rFonts w:hint="cs"/>
          <w:rtl/>
        </w:rPr>
        <w:t xml:space="preserve"> משום שהישועה עצמה כרוכה בהודיה כזו. </w:t>
      </w:r>
      <w:proofErr w:type="spellStart"/>
      <w:r>
        <w:rPr>
          <w:rFonts w:hint="cs"/>
          <w:rtl/>
        </w:rPr>
        <w:t>נסיונו</w:t>
      </w:r>
      <w:proofErr w:type="spellEnd"/>
      <w:r>
        <w:rPr>
          <w:rFonts w:hint="cs"/>
          <w:rtl/>
        </w:rPr>
        <w:t xml:space="preserve"> ועבודתו של מי ששקוע בטרדות הפרנסה הם חיזוק מדת </w:t>
      </w:r>
      <w:proofErr w:type="spellStart"/>
      <w:r>
        <w:rPr>
          <w:rFonts w:hint="cs"/>
          <w:rtl/>
        </w:rPr>
        <w:t>הבטחון</w:t>
      </w:r>
      <w:proofErr w:type="spellEnd"/>
      <w:r>
        <w:rPr>
          <w:rFonts w:hint="cs"/>
          <w:rtl/>
        </w:rPr>
        <w:t xml:space="preserve"> שלו (ויש הקוראים לשם כך את פרשת המן מידי יום, כדי לזכור שהפרנסה באה מן השמים </w:t>
      </w:r>
      <w:proofErr w:type="spellStart"/>
      <w:r>
        <w:rPr>
          <w:rFonts w:hint="cs"/>
          <w:rtl/>
        </w:rPr>
        <w:t>והנסיון</w:t>
      </w:r>
      <w:proofErr w:type="spellEnd"/>
      <w:r>
        <w:rPr>
          <w:rFonts w:hint="cs"/>
          <w:rtl/>
        </w:rPr>
        <w:t xml:space="preserve"> של האדם הוא לבטוח בכך ולא לאגור יותר מכדי צורך אותו היום). חיזוק מדת </w:t>
      </w:r>
      <w:proofErr w:type="spellStart"/>
      <w:r>
        <w:rPr>
          <w:rFonts w:hint="cs"/>
          <w:rtl/>
        </w:rPr>
        <w:t>הבטחון</w:t>
      </w:r>
      <w:proofErr w:type="spellEnd"/>
      <w:r>
        <w:rPr>
          <w:rFonts w:hint="cs"/>
          <w:rtl/>
        </w:rPr>
        <w:t xml:space="preserve"> בא עם חיזוק השמחה ("כי בו ישמח לבנו, כי בשם קדשו בטחנו"</w:t>
      </w:r>
      <w:r w:rsidRPr="005316B5">
        <w:rPr>
          <w:rStyle w:val="a6"/>
          <w:rtl/>
        </w:rPr>
        <w:endnoteReference w:id="8"/>
      </w:r>
      <w:r>
        <w:rPr>
          <w:rFonts w:hint="cs"/>
          <w:rtl/>
        </w:rPr>
        <w:t xml:space="preserve">), </w:t>
      </w:r>
      <w:proofErr w:type="spellStart"/>
      <w:r>
        <w:rPr>
          <w:rFonts w:hint="cs"/>
          <w:rtl/>
        </w:rPr>
        <w:t>ובעניני</w:t>
      </w:r>
      <w:proofErr w:type="spellEnd"/>
      <w:r>
        <w:rPr>
          <w:rFonts w:hint="cs"/>
          <w:rtl/>
        </w:rPr>
        <w:t xml:space="preserve"> הפרנסה היינו "איזהו עשיר? השמח בחלקו"</w:t>
      </w:r>
      <w:r w:rsidRPr="005316B5">
        <w:rPr>
          <w:rStyle w:val="a6"/>
          <w:rtl/>
        </w:rPr>
        <w:endnoteReference w:id="9"/>
      </w:r>
      <w:r>
        <w:rPr>
          <w:rFonts w:hint="cs"/>
          <w:rtl/>
        </w:rPr>
        <w:t xml:space="preserve"> אשר מודה לקב"ה "דבר יום ביומו"</w:t>
      </w:r>
      <w:r w:rsidRPr="005316B5">
        <w:rPr>
          <w:rStyle w:val="a6"/>
          <w:rtl/>
        </w:rPr>
        <w:endnoteReference w:id="10"/>
      </w:r>
      <w:r>
        <w:rPr>
          <w:rFonts w:hint="cs"/>
          <w:rtl/>
        </w:rPr>
        <w:t xml:space="preserve"> על כל דבר ודבר (ועד להודאה על כל נשימה ונשימה</w:t>
      </w:r>
      <w:r w:rsidRPr="005316B5">
        <w:rPr>
          <w:rStyle w:val="a6"/>
          <w:rtl/>
        </w:rPr>
        <w:endnoteReference w:id="11"/>
      </w:r>
      <w:r>
        <w:rPr>
          <w:rFonts w:hint="cs"/>
          <w:rtl/>
        </w:rPr>
        <w:t>). על האדם להסיר דאגה מלבו ולבטוח בה', מתוך הכרה שדאגתו היא לקיים תורה ומצוות ולמלא את שליחותו בעולם, ואילו פרנסתו ופרנסת בני ביתו ברווח הם ה'דאגה' של הקב"ה. הכלי לבטוח בה' בלב רגוע ולקבל ממנו את השפע הוא עצם מדת ההודיה לה' על כל דבר קטן, ועם הודיה זו באה הודיה מלאה שמחה על רגיעת גלי הטרדות והדאגות שהסעירו קודם את נפש האדם.</w:t>
      </w:r>
    </w:p>
    <w:p w:rsidR="00A55C66" w:rsidRDefault="00A55C66" w:rsidP="00A55C66">
      <w:pPr>
        <w:rPr>
          <w:rFonts w:hint="cs"/>
          <w:rtl/>
        </w:rPr>
      </w:pPr>
      <w:r>
        <w:rPr>
          <w:rFonts w:hint="cs"/>
          <w:rtl/>
        </w:rPr>
        <w:t xml:space="preserve">לכאורה, בדרך כלל רק אחרי הנישואין עומד האדם מול טרדות הפרנסה, כאשר עליו לכלכל את ביתו ולדאוג לכל צרכיו, ואילו קודם לכך הוא סמוך על שולחן הוריו ושרוי </w:t>
      </w:r>
      <w:proofErr w:type="spellStart"/>
      <w:r>
        <w:rPr>
          <w:rFonts w:hint="cs"/>
          <w:rtl/>
        </w:rPr>
        <w:t>בבטחון</w:t>
      </w:r>
      <w:proofErr w:type="spellEnd"/>
      <w:r>
        <w:rPr>
          <w:rFonts w:hint="cs"/>
          <w:rtl/>
        </w:rPr>
        <w:t xml:space="preserve"> כלכלי נטול טרדות. אכן, אליבא דאמת, לפני הנישואין אין לאדם מושג מהו בטחון </w:t>
      </w:r>
      <w:proofErr w:type="spellStart"/>
      <w:r>
        <w:rPr>
          <w:rFonts w:hint="cs"/>
          <w:rtl/>
        </w:rPr>
        <w:t>אמיתי</w:t>
      </w:r>
      <w:proofErr w:type="spellEnd"/>
      <w:r>
        <w:rPr>
          <w:rFonts w:hint="cs"/>
          <w:rtl/>
        </w:rPr>
        <w:t xml:space="preserve"> בה', והריהו "שרוי בלא חומה"</w:t>
      </w:r>
      <w:r w:rsidRPr="005316B5">
        <w:rPr>
          <w:rStyle w:val="a6"/>
          <w:rtl/>
        </w:rPr>
        <w:endnoteReference w:id="12"/>
      </w:r>
      <w:r>
        <w:rPr>
          <w:rFonts w:hint="cs"/>
          <w:rtl/>
        </w:rPr>
        <w:t xml:space="preserve"> – ללא כל בטחון (ועל בטחונו הכלכלי המדומה נאמר "אל תבטחו בנדיבים בבן אדם לו תשועה"</w:t>
      </w:r>
      <w:r w:rsidRPr="005316B5">
        <w:rPr>
          <w:rStyle w:val="a6"/>
          <w:rtl/>
        </w:rPr>
        <w:endnoteReference w:id="13"/>
      </w:r>
      <w:r>
        <w:rPr>
          <w:rFonts w:hint="cs"/>
          <w:rtl/>
        </w:rPr>
        <w:t xml:space="preserve"> ו"טוב לחסות </w:t>
      </w:r>
      <w:proofErr w:type="spellStart"/>
      <w:r>
        <w:rPr>
          <w:rFonts w:hint="cs"/>
          <w:rtl/>
        </w:rPr>
        <w:t>בהוי</w:t>
      </w:r>
      <w:proofErr w:type="spellEnd"/>
      <w:r>
        <w:rPr>
          <w:rFonts w:hint="cs"/>
          <w:rtl/>
        </w:rPr>
        <w:t>' מבט</w:t>
      </w:r>
      <w:r w:rsidRPr="00910A93">
        <w:rPr>
          <w:rFonts w:hint="cs"/>
          <w:spacing w:val="-10"/>
          <w:rtl/>
        </w:rPr>
        <w:t>ֹ</w:t>
      </w:r>
      <w:r w:rsidRPr="00420EC5">
        <w:rPr>
          <w:rFonts w:hint="cs"/>
          <w:spacing w:val="-6"/>
          <w:rtl/>
        </w:rPr>
        <w:t>ח</w:t>
      </w:r>
      <w:r>
        <w:rPr>
          <w:rFonts w:hint="cs"/>
          <w:rtl/>
        </w:rPr>
        <w:t xml:space="preserve"> באדם. טוב לחסות </w:t>
      </w:r>
      <w:proofErr w:type="spellStart"/>
      <w:r>
        <w:rPr>
          <w:rFonts w:hint="cs"/>
          <w:rtl/>
        </w:rPr>
        <w:t>בהוי</w:t>
      </w:r>
      <w:proofErr w:type="spellEnd"/>
      <w:r>
        <w:rPr>
          <w:rFonts w:hint="cs"/>
          <w:rtl/>
        </w:rPr>
        <w:t>' מבט</w:t>
      </w:r>
      <w:r w:rsidRPr="00B13E7E">
        <w:rPr>
          <w:rFonts w:hint="cs"/>
          <w:spacing w:val="-10"/>
          <w:rtl/>
        </w:rPr>
        <w:t>ֹ</w:t>
      </w:r>
      <w:r w:rsidRPr="00B13E7E">
        <w:rPr>
          <w:rFonts w:hint="cs"/>
          <w:spacing w:val="-6"/>
          <w:rtl/>
        </w:rPr>
        <w:t>ח</w:t>
      </w:r>
      <w:r>
        <w:rPr>
          <w:rFonts w:hint="cs"/>
          <w:rtl/>
        </w:rPr>
        <w:t xml:space="preserve"> בנדיבים"</w:t>
      </w:r>
      <w:r w:rsidRPr="005316B5">
        <w:rPr>
          <w:rStyle w:val="a6"/>
          <w:rtl/>
        </w:rPr>
        <w:endnoteReference w:id="14"/>
      </w:r>
      <w:r>
        <w:rPr>
          <w:rFonts w:hint="cs"/>
          <w:rtl/>
        </w:rPr>
        <w:t xml:space="preserve">). גם אם הרווק או הרווקה חשים תחושת בטחון בה' הרי זה חיצוני לגמרי, משום שאין הם מתנסים בדאגות המחשלות ומעמיקות את </w:t>
      </w:r>
      <w:proofErr w:type="spellStart"/>
      <w:r>
        <w:rPr>
          <w:rFonts w:hint="cs"/>
          <w:rtl/>
        </w:rPr>
        <w:t>הבטחון</w:t>
      </w:r>
      <w:proofErr w:type="spellEnd"/>
      <w:r>
        <w:rPr>
          <w:rFonts w:hint="cs"/>
          <w:rtl/>
        </w:rPr>
        <w:t xml:space="preserve">. עם הנישואין יכול האדם לחוש כי הוטל אל תוך המים, אך רק עם כתיבת הכתובה וההתחייבות לאשתו (וכן מצדה, עם נטילת האחריות על בית משלה) ניתן להבין מה משמעות </w:t>
      </w:r>
      <w:proofErr w:type="spellStart"/>
      <w:r>
        <w:rPr>
          <w:rFonts w:hint="cs"/>
          <w:rtl/>
        </w:rPr>
        <w:t>הבטחון</w:t>
      </w:r>
      <w:proofErr w:type="spellEnd"/>
      <w:r>
        <w:rPr>
          <w:rFonts w:hint="cs"/>
          <w:rtl/>
        </w:rPr>
        <w:t xml:space="preserve"> בה', להודות לה' ולשמוח במתנותיו. </w:t>
      </w:r>
    </w:p>
    <w:p w:rsidR="00A55C66" w:rsidRPr="00F643BE" w:rsidRDefault="00A55C66" w:rsidP="00A55C66">
      <w:pPr>
        <w:rPr>
          <w:rFonts w:hint="cs"/>
          <w:rtl/>
        </w:rPr>
      </w:pPr>
      <w:r w:rsidRPr="00F643BE">
        <w:rPr>
          <w:rFonts w:hint="cs"/>
          <w:rtl/>
        </w:rPr>
        <w:t>לשון אחרת</w:t>
      </w:r>
      <w:r>
        <w:rPr>
          <w:rFonts w:hint="cs"/>
          <w:rtl/>
        </w:rPr>
        <w:t>:</w:t>
      </w:r>
      <w:r w:rsidRPr="00F643BE">
        <w:rPr>
          <w:rFonts w:hint="cs"/>
          <w:rtl/>
        </w:rPr>
        <w:t xml:space="preserve"> ככל שהאדם מתבגר טרדות הפרנסה מאיימות להציף אותו, וגם אם אין עליו עדיין אחריות הוא כבר חש בגלים הסוערים של ים החיים. ההצלה מהמים הסוערים – הצלה לה זקוקים </w:t>
      </w:r>
      <w:r w:rsidRPr="00F643BE">
        <w:rPr>
          <w:rFonts w:hint="cs"/>
          <w:rtl/>
        </w:rPr>
        <w:lastRenderedPageBreak/>
        <w:t>מידית ברגע הנישואין ו'הזריקה למים' – היא באמצעות בטחון ושמחה (ורמז מובהק</w:t>
      </w:r>
      <w:r>
        <w:rPr>
          <w:rFonts w:hint="cs"/>
          <w:rtl/>
        </w:rPr>
        <w:t>:</w:t>
      </w:r>
      <w:r w:rsidRPr="00F643BE">
        <w:rPr>
          <w:rFonts w:hint="cs"/>
          <w:rtl/>
        </w:rPr>
        <w:t xml:space="preserve"> </w:t>
      </w:r>
      <w:r w:rsidRPr="00F643BE">
        <w:rPr>
          <w:rFonts w:hint="cs"/>
          <w:b/>
          <w:bCs/>
          <w:sz w:val="28"/>
          <w:szCs w:val="28"/>
          <w:rtl/>
        </w:rPr>
        <w:t>בטחון</w:t>
      </w:r>
      <w:r w:rsidRPr="00F643BE">
        <w:rPr>
          <w:rFonts w:hint="cs"/>
          <w:rtl/>
        </w:rPr>
        <w:t xml:space="preserve"> </w:t>
      </w:r>
      <w:r w:rsidRPr="00F643BE">
        <w:rPr>
          <w:rFonts w:hint="cs"/>
          <w:b/>
          <w:bCs/>
          <w:sz w:val="28"/>
          <w:szCs w:val="28"/>
          <w:rtl/>
        </w:rPr>
        <w:t>שמחה</w:t>
      </w:r>
      <w:r w:rsidRPr="00F643BE">
        <w:rPr>
          <w:rFonts w:hint="cs"/>
          <w:rtl/>
        </w:rPr>
        <w:t xml:space="preserve"> עולה </w:t>
      </w:r>
      <w:r w:rsidRPr="00F643BE">
        <w:rPr>
          <w:rFonts w:hint="cs"/>
          <w:b/>
          <w:bCs/>
          <w:sz w:val="28"/>
          <w:szCs w:val="28"/>
          <w:rtl/>
        </w:rPr>
        <w:t>חתך</w:t>
      </w:r>
      <w:r w:rsidRPr="00F643BE">
        <w:rPr>
          <w:rFonts w:hint="cs"/>
          <w:rtl/>
        </w:rPr>
        <w:t xml:space="preserve"> </w:t>
      </w:r>
      <w:r w:rsidRPr="00F643BE">
        <w:rPr>
          <w:rFonts w:hint="eastAsia"/>
          <w:rtl/>
        </w:rPr>
        <w:t>–</w:t>
      </w:r>
      <w:r w:rsidRPr="00F643BE">
        <w:rPr>
          <w:rFonts w:hint="cs"/>
          <w:rtl/>
        </w:rPr>
        <w:t xml:space="preserve"> </w:t>
      </w:r>
      <w:r w:rsidRPr="00F643BE">
        <w:rPr>
          <w:rFonts w:hint="eastAsia"/>
          <w:rtl/>
        </w:rPr>
        <w:t>שם הפרנסה</w:t>
      </w:r>
      <w:r w:rsidRPr="005316B5">
        <w:rPr>
          <w:rStyle w:val="a6"/>
          <w:rtl/>
        </w:rPr>
        <w:endnoteReference w:id="15"/>
      </w:r>
      <w:r w:rsidRPr="00F643BE">
        <w:rPr>
          <w:rFonts w:hint="eastAsia"/>
          <w:rtl/>
        </w:rPr>
        <w:t>, העולה מ</w:t>
      </w:r>
      <w:r w:rsidRPr="00F643BE">
        <w:rPr>
          <w:rFonts w:hint="cs"/>
          <w:rtl/>
        </w:rPr>
        <w:t>סופי</w:t>
      </w:r>
      <w:r w:rsidRPr="00F643BE">
        <w:rPr>
          <w:rFonts w:hint="eastAsia"/>
          <w:rtl/>
        </w:rPr>
        <w:t xml:space="preserve"> התיבות של </w:t>
      </w:r>
      <w:r w:rsidRPr="00F643BE">
        <w:rPr>
          <w:rFonts w:hint="cs"/>
          <w:rtl/>
        </w:rPr>
        <w:t>"פות</w:t>
      </w:r>
      <w:r w:rsidRPr="00F643BE">
        <w:rPr>
          <w:rFonts w:hint="cs"/>
          <w:b/>
          <w:bCs/>
          <w:sz w:val="28"/>
          <w:szCs w:val="28"/>
          <w:rtl/>
        </w:rPr>
        <w:t>ח</w:t>
      </w:r>
      <w:r w:rsidRPr="00F643BE">
        <w:rPr>
          <w:rFonts w:hint="cs"/>
          <w:rtl/>
        </w:rPr>
        <w:t xml:space="preserve"> א</w:t>
      </w:r>
      <w:r w:rsidRPr="00F643BE">
        <w:rPr>
          <w:rFonts w:hint="cs"/>
          <w:b/>
          <w:bCs/>
          <w:sz w:val="28"/>
          <w:szCs w:val="28"/>
          <w:rtl/>
        </w:rPr>
        <w:t>ת</w:t>
      </w:r>
      <w:r w:rsidRPr="00F643BE">
        <w:rPr>
          <w:rFonts w:hint="cs"/>
          <w:rtl/>
        </w:rPr>
        <w:t xml:space="preserve"> יד</w:t>
      </w:r>
      <w:r w:rsidRPr="00F643BE">
        <w:rPr>
          <w:rFonts w:hint="cs"/>
          <w:b/>
          <w:bCs/>
          <w:sz w:val="28"/>
          <w:szCs w:val="28"/>
          <w:rtl/>
        </w:rPr>
        <w:t>ך</w:t>
      </w:r>
      <w:r w:rsidRPr="00F643BE">
        <w:rPr>
          <w:rFonts w:hint="cs"/>
          <w:rtl/>
        </w:rPr>
        <w:t>"</w:t>
      </w:r>
      <w:r w:rsidRPr="005316B5">
        <w:rPr>
          <w:rStyle w:val="a6"/>
          <w:rtl/>
        </w:rPr>
        <w:endnoteReference w:id="16"/>
      </w:r>
      <w:r w:rsidRPr="00F643BE">
        <w:rPr>
          <w:rFonts w:hint="cs"/>
          <w:rtl/>
        </w:rPr>
        <w:t>, בו חייבים לכוון</w:t>
      </w:r>
      <w:r w:rsidRPr="005316B5">
        <w:rPr>
          <w:rStyle w:val="a6"/>
          <w:rtl/>
        </w:rPr>
        <w:endnoteReference w:id="17"/>
      </w:r>
      <w:r w:rsidRPr="00F643BE">
        <w:rPr>
          <w:rFonts w:hint="cs"/>
          <w:rtl/>
        </w:rPr>
        <w:t xml:space="preserve"> ולזכור כי ה' הוא המספק את כל צרכינו וחותך חיים לכל חי). ואכן, </w:t>
      </w:r>
      <w:proofErr w:type="spellStart"/>
      <w:r w:rsidRPr="00F643BE">
        <w:rPr>
          <w:rFonts w:hint="cs"/>
          <w:rtl/>
        </w:rPr>
        <w:t>הבטחון</w:t>
      </w:r>
      <w:proofErr w:type="spellEnd"/>
      <w:r w:rsidRPr="00F643BE">
        <w:rPr>
          <w:rFonts w:hint="cs"/>
          <w:rtl/>
        </w:rPr>
        <w:t xml:space="preserve"> והשמחה האמתיים באים דווקא עם הנישואין, כאשר ביטוים בחיי היום-יום הוא ההודיה הפשוטה והמלאה לה' על כל פרט. בחסידות</w:t>
      </w:r>
      <w:r w:rsidRPr="005316B5">
        <w:rPr>
          <w:rStyle w:val="a6"/>
          <w:rtl/>
        </w:rPr>
        <w:endnoteReference w:id="18"/>
      </w:r>
      <w:r w:rsidRPr="00F643BE">
        <w:rPr>
          <w:rFonts w:hint="cs"/>
          <w:rtl/>
        </w:rPr>
        <w:t xml:space="preserve"> מבואר כי </w:t>
      </w:r>
      <w:r w:rsidRPr="00E84990">
        <w:rPr>
          <w:rStyle w:val="a3"/>
          <w:rFonts w:hint="cs"/>
          <w:rtl/>
        </w:rPr>
        <w:t>בטחון</w:t>
      </w:r>
      <w:r w:rsidRPr="00F643BE">
        <w:rPr>
          <w:rFonts w:hint="cs"/>
          <w:rtl/>
        </w:rPr>
        <w:t xml:space="preserve"> הוא גם מלשון "ו</w:t>
      </w:r>
      <w:r w:rsidRPr="00E84990">
        <w:rPr>
          <w:rStyle w:val="a3"/>
          <w:rFonts w:hint="cs"/>
          <w:rtl/>
        </w:rPr>
        <w:t>טח</w:t>
      </w:r>
      <w:r w:rsidRPr="00F643BE">
        <w:rPr>
          <w:rFonts w:hint="cs"/>
          <w:rtl/>
        </w:rPr>
        <w:t xml:space="preserve"> את ה</w:t>
      </w:r>
      <w:r w:rsidRPr="00E84990">
        <w:rPr>
          <w:rStyle w:val="a3"/>
          <w:rFonts w:hint="cs"/>
          <w:rtl/>
        </w:rPr>
        <w:t>ב</w:t>
      </w:r>
      <w:r w:rsidRPr="00F643BE">
        <w:rPr>
          <w:rFonts w:hint="cs"/>
          <w:rtl/>
        </w:rPr>
        <w:t>ית"</w:t>
      </w:r>
      <w:r w:rsidRPr="005316B5">
        <w:rPr>
          <w:rStyle w:val="a6"/>
          <w:rtl/>
        </w:rPr>
        <w:endnoteReference w:id="19"/>
      </w:r>
      <w:r w:rsidRPr="00F643BE">
        <w:rPr>
          <w:rFonts w:hint="cs"/>
          <w:rtl/>
        </w:rPr>
        <w:t xml:space="preserve"> </w:t>
      </w:r>
      <w:r w:rsidRPr="00F643BE">
        <w:rPr>
          <w:rtl/>
        </w:rPr>
        <w:t>–</w:t>
      </w:r>
      <w:r w:rsidRPr="00F643BE">
        <w:rPr>
          <w:rFonts w:hint="cs"/>
          <w:rtl/>
        </w:rPr>
        <w:t xml:space="preserve"> לשון דבקות </w:t>
      </w:r>
      <w:r w:rsidRPr="00F643BE">
        <w:rPr>
          <w:rtl/>
        </w:rPr>
        <w:t>–</w:t>
      </w:r>
      <w:r w:rsidRPr="00F643BE">
        <w:rPr>
          <w:rFonts w:hint="cs"/>
          <w:rtl/>
        </w:rPr>
        <w:t xml:space="preserve"> וראשית </w:t>
      </w:r>
      <w:proofErr w:type="spellStart"/>
      <w:r w:rsidRPr="00F643BE">
        <w:rPr>
          <w:rFonts w:hint="cs"/>
          <w:rtl/>
        </w:rPr>
        <w:t>הבטחון</w:t>
      </w:r>
      <w:proofErr w:type="spellEnd"/>
      <w:r w:rsidRPr="00F643BE">
        <w:rPr>
          <w:rFonts w:hint="cs"/>
          <w:rtl/>
        </w:rPr>
        <w:t xml:space="preserve"> היא כאשר זוכה האדם ל"[על כן </w:t>
      </w:r>
      <w:proofErr w:type="spellStart"/>
      <w:r w:rsidRPr="00F643BE">
        <w:rPr>
          <w:rFonts w:hint="cs"/>
          <w:rtl/>
        </w:rPr>
        <w:t>יעזב</w:t>
      </w:r>
      <w:proofErr w:type="spellEnd"/>
      <w:r w:rsidRPr="00F643BE">
        <w:rPr>
          <w:rFonts w:hint="cs"/>
          <w:rtl/>
        </w:rPr>
        <w:t xml:space="preserve"> איש את אביו ואת אמו] ודבק באשתו"</w:t>
      </w:r>
      <w:r w:rsidRPr="005316B5">
        <w:rPr>
          <w:rStyle w:val="a6"/>
          <w:rtl/>
        </w:rPr>
        <w:endnoteReference w:id="20"/>
      </w:r>
      <w:r w:rsidRPr="00F643BE">
        <w:rPr>
          <w:rFonts w:hint="cs"/>
          <w:rtl/>
        </w:rPr>
        <w:t xml:space="preserve"> (האדם </w:t>
      </w:r>
      <w:r w:rsidRPr="00E84990">
        <w:rPr>
          <w:rStyle w:val="a3"/>
          <w:rFonts w:hint="cs"/>
          <w:rtl/>
        </w:rPr>
        <w:t>עוזב</w:t>
      </w:r>
      <w:r w:rsidRPr="00F643BE">
        <w:rPr>
          <w:rFonts w:hint="cs"/>
          <w:rtl/>
        </w:rPr>
        <w:t xml:space="preserve"> את אביו ואמו מתוך תחושה </w:t>
      </w:r>
      <w:proofErr w:type="spellStart"/>
      <w:r w:rsidRPr="00F643BE">
        <w:rPr>
          <w:rFonts w:hint="cs"/>
          <w:rtl/>
        </w:rPr>
        <w:t>שהבטחון</w:t>
      </w:r>
      <w:proofErr w:type="spellEnd"/>
      <w:r w:rsidRPr="00F643BE">
        <w:rPr>
          <w:rFonts w:hint="cs"/>
          <w:rtl/>
        </w:rPr>
        <w:t xml:space="preserve"> בהם הוא רעוע וזמני, והגלגל עתיד להתהפך כאשר הוא </w:t>
      </w:r>
      <w:proofErr w:type="spellStart"/>
      <w:r w:rsidRPr="00F643BE">
        <w:rPr>
          <w:rFonts w:hint="cs"/>
          <w:rtl/>
        </w:rPr>
        <w:t>ידרש</w:t>
      </w:r>
      <w:proofErr w:type="spellEnd"/>
      <w:r w:rsidRPr="00F643BE">
        <w:rPr>
          <w:rFonts w:hint="cs"/>
          <w:rtl/>
        </w:rPr>
        <w:t xml:space="preserve"> לעזור להוריו הזקנים ו</w:t>
      </w:r>
      <w:r w:rsidRPr="00E84990">
        <w:rPr>
          <w:rStyle w:val="a3"/>
          <w:rFonts w:hint="cs"/>
          <w:rtl/>
        </w:rPr>
        <w:t>לעזוב</w:t>
      </w:r>
      <w:r w:rsidRPr="00F643BE">
        <w:rPr>
          <w:rFonts w:hint="cs"/>
          <w:rtl/>
        </w:rPr>
        <w:t xml:space="preserve"> עמם</w:t>
      </w:r>
      <w:r w:rsidRPr="005316B5">
        <w:rPr>
          <w:rStyle w:val="a6"/>
          <w:rtl/>
        </w:rPr>
        <w:endnoteReference w:id="21"/>
      </w:r>
      <w:r w:rsidRPr="00F643BE">
        <w:rPr>
          <w:rFonts w:hint="cs"/>
          <w:rtl/>
        </w:rPr>
        <w:t xml:space="preserve">, ואילו בבת זוגו הוא בוטח שיוכלו לצלוח יחד את מסע החיים). הדבקות מלאת </w:t>
      </w:r>
      <w:proofErr w:type="spellStart"/>
      <w:r w:rsidRPr="00F643BE">
        <w:rPr>
          <w:rFonts w:hint="cs"/>
          <w:rtl/>
        </w:rPr>
        <w:t>הבטחון</w:t>
      </w:r>
      <w:proofErr w:type="spellEnd"/>
      <w:r w:rsidRPr="00F643BE">
        <w:rPr>
          <w:rFonts w:hint="cs"/>
          <w:rtl/>
        </w:rPr>
        <w:t xml:space="preserve"> בבן הזוג, כאשר האיש בוטח באשתו והיא בוטחת בו, נוטעת באדם תחושות חדשות ומאפשרת לו גם להדבק בה' ולבטוח בו בלב שלם כי יספק לו ברווח את כל צרכיו </w:t>
      </w:r>
      <w:r w:rsidRPr="00F643BE">
        <w:rPr>
          <w:rtl/>
        </w:rPr>
        <w:t>–</w:t>
      </w:r>
      <w:r w:rsidRPr="00F643BE">
        <w:rPr>
          <w:rFonts w:hint="cs"/>
          <w:rtl/>
        </w:rPr>
        <w:t xml:space="preserve"> "בטח בה לב בעלה [ועל ידי כך] ושלל לא יחסר"</w:t>
      </w:r>
      <w:r w:rsidRPr="005316B5">
        <w:rPr>
          <w:rStyle w:val="a6"/>
          <w:rtl/>
        </w:rPr>
        <w:endnoteReference w:id="22"/>
      </w:r>
      <w:r w:rsidRPr="00F643BE">
        <w:rPr>
          <w:rFonts w:hint="cs"/>
          <w:rtl/>
        </w:rPr>
        <w:t>.</w:t>
      </w:r>
    </w:p>
    <w:p w:rsidR="005F4A47" w:rsidRDefault="00062C79">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C79" w:rsidRDefault="00062C79" w:rsidP="00A55C66">
      <w:pPr>
        <w:spacing w:after="0" w:line="240" w:lineRule="auto"/>
      </w:pPr>
      <w:r>
        <w:separator/>
      </w:r>
    </w:p>
  </w:endnote>
  <w:endnote w:type="continuationSeparator" w:id="0">
    <w:p w:rsidR="00062C79" w:rsidRDefault="00062C79" w:rsidP="00A55C66">
      <w:pPr>
        <w:spacing w:after="0" w:line="240" w:lineRule="auto"/>
      </w:pPr>
      <w:r>
        <w:continuationSeparator/>
      </w:r>
    </w:p>
  </w:endnote>
  <w:endnote w:id="1">
    <w:p w:rsidR="00A55C66" w:rsidRDefault="00A55C66" w:rsidP="00A55C66">
      <w:pPr>
        <w:pStyle w:val="a4"/>
        <w:rPr>
          <w:rFonts w:hint="cs"/>
          <w:rtl/>
        </w:rPr>
      </w:pPr>
      <w:r>
        <w:rPr>
          <w:rtl/>
        </w:rPr>
        <w:tab/>
      </w:r>
      <w:r w:rsidRPr="00E15672">
        <w:rPr>
          <w:rtl/>
        </w:rPr>
        <w:endnoteRef/>
      </w:r>
      <w:r>
        <w:rPr>
          <w:rtl/>
        </w:rPr>
        <w:t>.</w:t>
      </w:r>
      <w:r>
        <w:rPr>
          <w:rtl/>
        </w:rPr>
        <w:tab/>
      </w:r>
      <w:r>
        <w:rPr>
          <w:rFonts w:hint="cs"/>
          <w:rtl/>
        </w:rPr>
        <w:t xml:space="preserve">הנ"ל בתורה "וכל החיים </w:t>
      </w:r>
      <w:proofErr w:type="spellStart"/>
      <w:r>
        <w:rPr>
          <w:rFonts w:hint="cs"/>
          <w:rtl/>
        </w:rPr>
        <w:t>יודוך</w:t>
      </w:r>
      <w:proofErr w:type="spellEnd"/>
      <w:r>
        <w:rPr>
          <w:rFonts w:hint="cs"/>
          <w:rtl/>
        </w:rPr>
        <w:t xml:space="preserve"> סלה".</w:t>
      </w:r>
    </w:p>
  </w:endnote>
  <w:endnote w:id="2">
    <w:p w:rsidR="00A55C66" w:rsidRDefault="00A55C66" w:rsidP="00A55C66">
      <w:pPr>
        <w:pStyle w:val="a4"/>
        <w:rPr>
          <w:rFonts w:hint="cs"/>
          <w:rtl/>
        </w:rPr>
      </w:pPr>
      <w:r>
        <w:rPr>
          <w:rtl/>
        </w:rPr>
        <w:tab/>
      </w:r>
      <w:r w:rsidRPr="00E15672">
        <w:rPr>
          <w:rtl/>
        </w:rPr>
        <w:endnoteRef/>
      </w:r>
      <w:r>
        <w:rPr>
          <w:rtl/>
        </w:rPr>
        <w:t>.</w:t>
      </w:r>
      <w:r>
        <w:rPr>
          <w:rtl/>
        </w:rPr>
        <w:tab/>
      </w:r>
      <w:r>
        <w:rPr>
          <w:rFonts w:hint="cs"/>
          <w:rtl/>
        </w:rPr>
        <w:t>ברכות נד, ב.</w:t>
      </w:r>
    </w:p>
  </w:endnote>
  <w:endnote w:id="3">
    <w:p w:rsidR="00A55C66" w:rsidRDefault="00A55C66" w:rsidP="00A55C66">
      <w:pPr>
        <w:pStyle w:val="a4"/>
        <w:rPr>
          <w:rFonts w:hint="cs"/>
          <w:rtl/>
        </w:rPr>
      </w:pPr>
      <w:r>
        <w:rPr>
          <w:rtl/>
        </w:rPr>
        <w:tab/>
      </w:r>
      <w:r w:rsidRPr="00E15672">
        <w:rPr>
          <w:rtl/>
        </w:rPr>
        <w:endnoteRef/>
      </w:r>
      <w:r>
        <w:rPr>
          <w:rtl/>
        </w:rPr>
        <w:t>.</w:t>
      </w:r>
      <w:r>
        <w:rPr>
          <w:rtl/>
        </w:rPr>
        <w:tab/>
      </w:r>
      <w:proofErr w:type="spellStart"/>
      <w:r>
        <w:rPr>
          <w:rFonts w:hint="cs"/>
          <w:rtl/>
        </w:rPr>
        <w:t>סה"מ</w:t>
      </w:r>
      <w:proofErr w:type="spellEnd"/>
      <w:r>
        <w:rPr>
          <w:rFonts w:hint="cs"/>
          <w:rtl/>
        </w:rPr>
        <w:t xml:space="preserve"> קונטרסים (לכ"ק אדמו"ר </w:t>
      </w:r>
      <w:proofErr w:type="spellStart"/>
      <w:r>
        <w:rPr>
          <w:rFonts w:hint="cs"/>
          <w:rtl/>
        </w:rPr>
        <w:t>הריי"צ</w:t>
      </w:r>
      <w:proofErr w:type="spellEnd"/>
      <w:r>
        <w:rPr>
          <w:rFonts w:hint="cs"/>
          <w:rtl/>
        </w:rPr>
        <w:t xml:space="preserve">) עמ' </w:t>
      </w:r>
      <w:proofErr w:type="spellStart"/>
      <w:r>
        <w:rPr>
          <w:rFonts w:hint="cs"/>
          <w:rtl/>
        </w:rPr>
        <w:t>קפז</w:t>
      </w:r>
      <w:proofErr w:type="spellEnd"/>
      <w:r>
        <w:rPr>
          <w:rFonts w:hint="cs"/>
          <w:rtl/>
        </w:rPr>
        <w:t>, ב.</w:t>
      </w:r>
    </w:p>
  </w:endnote>
  <w:endnote w:id="4">
    <w:p w:rsidR="00A55C66" w:rsidRDefault="00A55C66" w:rsidP="00A55C66">
      <w:pPr>
        <w:pStyle w:val="a4"/>
        <w:rPr>
          <w:rFonts w:hint="cs"/>
          <w:rtl/>
        </w:rPr>
      </w:pPr>
      <w:r>
        <w:rPr>
          <w:rtl/>
        </w:rPr>
        <w:tab/>
      </w:r>
      <w:r w:rsidRPr="00E15672">
        <w:rPr>
          <w:rtl/>
        </w:rPr>
        <w:endnoteRef/>
      </w:r>
      <w:r>
        <w:rPr>
          <w:rtl/>
        </w:rPr>
        <w:t>.</w:t>
      </w:r>
      <w:r>
        <w:rPr>
          <w:rtl/>
        </w:rPr>
        <w:tab/>
      </w:r>
      <w:r>
        <w:rPr>
          <w:rFonts w:hint="cs"/>
          <w:rtl/>
        </w:rPr>
        <w:t xml:space="preserve">תהלים </w:t>
      </w:r>
      <w:proofErr w:type="spellStart"/>
      <w:r>
        <w:rPr>
          <w:rFonts w:hint="cs"/>
          <w:rtl/>
        </w:rPr>
        <w:t>קכד</w:t>
      </w:r>
      <w:proofErr w:type="spellEnd"/>
      <w:r>
        <w:rPr>
          <w:rFonts w:hint="cs"/>
          <w:rtl/>
        </w:rPr>
        <w:t>, ה.</w:t>
      </w:r>
    </w:p>
  </w:endnote>
  <w:endnote w:id="5">
    <w:p w:rsidR="00A55C66" w:rsidRDefault="00A55C66" w:rsidP="00A55C66">
      <w:pPr>
        <w:pStyle w:val="a4"/>
        <w:rPr>
          <w:rFonts w:hint="cs"/>
          <w:rtl/>
        </w:rPr>
      </w:pPr>
      <w:r>
        <w:rPr>
          <w:rtl/>
        </w:rPr>
        <w:tab/>
      </w:r>
      <w:r w:rsidRPr="00E15672">
        <w:rPr>
          <w:rtl/>
        </w:rPr>
        <w:endnoteRef/>
      </w:r>
      <w:r>
        <w:rPr>
          <w:rtl/>
        </w:rPr>
        <w:t>.</w:t>
      </w:r>
      <w:r>
        <w:rPr>
          <w:rtl/>
        </w:rPr>
        <w:tab/>
      </w:r>
      <w:r>
        <w:rPr>
          <w:rFonts w:hint="cs"/>
          <w:rtl/>
        </w:rPr>
        <w:t xml:space="preserve">ראה תורה אור (ח, ג) ד"ה "מים רבים" ובפירוט רב </w:t>
      </w:r>
      <w:proofErr w:type="spellStart"/>
      <w:r>
        <w:rPr>
          <w:rFonts w:hint="cs"/>
          <w:rtl/>
        </w:rPr>
        <w:t>בתחלת</w:t>
      </w:r>
      <w:proofErr w:type="spellEnd"/>
      <w:r>
        <w:rPr>
          <w:rFonts w:hint="cs"/>
          <w:rtl/>
        </w:rPr>
        <w:t xml:space="preserve"> המשך "מים רבים" תרל"ו.</w:t>
      </w:r>
    </w:p>
  </w:endnote>
  <w:endnote w:id="6">
    <w:p w:rsidR="00A55C66" w:rsidRDefault="00A55C66" w:rsidP="00A55C66">
      <w:pPr>
        <w:pStyle w:val="a4"/>
        <w:rPr>
          <w:rFonts w:hint="cs"/>
          <w:rtl/>
        </w:rPr>
      </w:pPr>
      <w:r>
        <w:rPr>
          <w:rtl/>
        </w:rPr>
        <w:tab/>
      </w:r>
      <w:r w:rsidRPr="00E15672">
        <w:rPr>
          <w:rtl/>
        </w:rPr>
        <w:endnoteRef/>
      </w:r>
      <w:r>
        <w:rPr>
          <w:rtl/>
        </w:rPr>
        <w:t>.</w:t>
      </w:r>
      <w:r>
        <w:rPr>
          <w:rtl/>
        </w:rPr>
        <w:tab/>
      </w:r>
      <w:r>
        <w:rPr>
          <w:rFonts w:hint="cs"/>
          <w:rtl/>
        </w:rPr>
        <w:t>וראה בחריפות בריש הקדמת קונטרס ההתפעלות.</w:t>
      </w:r>
    </w:p>
  </w:endnote>
  <w:endnote w:id="7">
    <w:p w:rsidR="00A55C66" w:rsidRDefault="00A55C66" w:rsidP="00A55C66">
      <w:pPr>
        <w:pStyle w:val="a4"/>
        <w:rPr>
          <w:rFonts w:hint="cs"/>
          <w:rtl/>
        </w:rPr>
      </w:pPr>
      <w:r>
        <w:rPr>
          <w:rtl/>
        </w:rPr>
        <w:tab/>
      </w:r>
      <w:r w:rsidRPr="00E15672">
        <w:rPr>
          <w:rtl/>
        </w:rPr>
        <w:endnoteRef/>
      </w:r>
      <w:r>
        <w:rPr>
          <w:rtl/>
        </w:rPr>
        <w:t>.</w:t>
      </w:r>
      <w:r>
        <w:rPr>
          <w:rtl/>
        </w:rPr>
        <w:tab/>
      </w:r>
      <w:r>
        <w:rPr>
          <w:rFonts w:hint="cs"/>
          <w:rtl/>
        </w:rPr>
        <w:t xml:space="preserve">וזאת גם משום שטרדות הפרנסה הם המשבר הכולל ביותר, וכפי שמקדים אדמו"ר </w:t>
      </w:r>
      <w:proofErr w:type="spellStart"/>
      <w:r>
        <w:rPr>
          <w:rFonts w:hint="cs"/>
          <w:rtl/>
        </w:rPr>
        <w:t>הריי"צ</w:t>
      </w:r>
      <w:proofErr w:type="spellEnd"/>
      <w:r>
        <w:rPr>
          <w:rFonts w:hint="cs"/>
          <w:rtl/>
        </w:rPr>
        <w:t xml:space="preserve"> לביאור המדרגות החלוקות של ה"ארבעה </w:t>
      </w:r>
      <w:proofErr w:type="spellStart"/>
      <w:r>
        <w:rPr>
          <w:rFonts w:hint="cs"/>
          <w:rtl/>
        </w:rPr>
        <w:t>צריכין</w:t>
      </w:r>
      <w:proofErr w:type="spellEnd"/>
      <w:r>
        <w:rPr>
          <w:rFonts w:hint="cs"/>
          <w:rtl/>
        </w:rPr>
        <w:t xml:space="preserve"> להודות" ברוחניות – "אמנם הסיבה לזה [שאין נמשכים אחרי התורה והמצוות בכלות הנפש] היא טרדות הפרנסה בצוק העתים, שהם </w:t>
      </w:r>
      <w:proofErr w:type="spellStart"/>
      <w:r>
        <w:rPr>
          <w:rFonts w:hint="cs"/>
          <w:rtl/>
        </w:rPr>
        <w:t>במדריגות</w:t>
      </w:r>
      <w:proofErr w:type="spellEnd"/>
      <w:r>
        <w:rPr>
          <w:rFonts w:hint="cs"/>
          <w:rtl/>
        </w:rPr>
        <w:t xml:space="preserve"> חלוקות…" (</w:t>
      </w:r>
      <w:proofErr w:type="spellStart"/>
      <w:r>
        <w:rPr>
          <w:rFonts w:hint="cs"/>
          <w:rtl/>
        </w:rPr>
        <w:t>סה"מ</w:t>
      </w:r>
      <w:proofErr w:type="spellEnd"/>
      <w:r>
        <w:rPr>
          <w:rFonts w:hint="cs"/>
          <w:rtl/>
        </w:rPr>
        <w:t xml:space="preserve"> קונטרסים ח"א עמ' </w:t>
      </w:r>
      <w:proofErr w:type="spellStart"/>
      <w:r>
        <w:rPr>
          <w:rFonts w:hint="cs"/>
          <w:rtl/>
        </w:rPr>
        <w:t>קפז</w:t>
      </w:r>
      <w:proofErr w:type="spellEnd"/>
      <w:r>
        <w:rPr>
          <w:rFonts w:hint="cs"/>
          <w:rtl/>
        </w:rPr>
        <w:t>, ב).</w:t>
      </w:r>
    </w:p>
  </w:endnote>
  <w:endnote w:id="8">
    <w:p w:rsidR="00A55C66" w:rsidRDefault="00A55C66" w:rsidP="00A55C66">
      <w:pPr>
        <w:pStyle w:val="a4"/>
        <w:rPr>
          <w:rFonts w:hint="cs"/>
          <w:rtl/>
        </w:rPr>
      </w:pPr>
      <w:r>
        <w:rPr>
          <w:rtl/>
        </w:rPr>
        <w:tab/>
      </w:r>
      <w:r w:rsidRPr="00E15672">
        <w:rPr>
          <w:rtl/>
        </w:rPr>
        <w:endnoteRef/>
      </w:r>
      <w:r>
        <w:rPr>
          <w:rtl/>
        </w:rPr>
        <w:t>.</w:t>
      </w:r>
      <w:r>
        <w:rPr>
          <w:rtl/>
        </w:rPr>
        <w:tab/>
      </w:r>
      <w:r>
        <w:rPr>
          <w:rFonts w:hint="cs"/>
          <w:rtl/>
        </w:rPr>
        <w:t xml:space="preserve">תהלים לג, </w:t>
      </w:r>
      <w:proofErr w:type="spellStart"/>
      <w:r>
        <w:rPr>
          <w:rFonts w:hint="cs"/>
          <w:rtl/>
        </w:rPr>
        <w:t>כא</w:t>
      </w:r>
      <w:proofErr w:type="spellEnd"/>
      <w:r>
        <w:rPr>
          <w:rFonts w:hint="cs"/>
          <w:rtl/>
        </w:rPr>
        <w:t>.</w:t>
      </w:r>
    </w:p>
  </w:endnote>
  <w:endnote w:id="9">
    <w:p w:rsidR="00A55C66" w:rsidRDefault="00A55C66" w:rsidP="00A55C66">
      <w:pPr>
        <w:pStyle w:val="a4"/>
        <w:rPr>
          <w:rFonts w:hint="cs"/>
          <w:rtl/>
        </w:rPr>
      </w:pPr>
      <w:r>
        <w:rPr>
          <w:rtl/>
        </w:rPr>
        <w:tab/>
      </w:r>
      <w:r w:rsidRPr="00E15672">
        <w:rPr>
          <w:rtl/>
        </w:rPr>
        <w:endnoteRef/>
      </w:r>
      <w:r>
        <w:rPr>
          <w:rtl/>
        </w:rPr>
        <w:t>.</w:t>
      </w:r>
      <w:r>
        <w:rPr>
          <w:rtl/>
        </w:rPr>
        <w:tab/>
      </w:r>
      <w:r>
        <w:rPr>
          <w:rFonts w:hint="cs"/>
          <w:rtl/>
        </w:rPr>
        <w:t>אבות פ"ד מ"א.</w:t>
      </w:r>
    </w:p>
  </w:endnote>
  <w:endnote w:id="10">
    <w:p w:rsidR="00A55C66" w:rsidRDefault="00A55C66" w:rsidP="00A55C66">
      <w:pPr>
        <w:pStyle w:val="a4"/>
        <w:rPr>
          <w:rFonts w:hint="cs"/>
        </w:rPr>
      </w:pPr>
      <w:r>
        <w:rPr>
          <w:rtl/>
        </w:rPr>
        <w:tab/>
      </w:r>
      <w:r w:rsidRPr="00E15672">
        <w:rPr>
          <w:rtl/>
        </w:rPr>
        <w:endnoteRef/>
      </w:r>
      <w:r>
        <w:rPr>
          <w:rtl/>
        </w:rPr>
        <w:t>.</w:t>
      </w:r>
      <w:r>
        <w:rPr>
          <w:rtl/>
        </w:rPr>
        <w:tab/>
      </w:r>
      <w:r>
        <w:rPr>
          <w:rFonts w:hint="cs"/>
          <w:rtl/>
        </w:rPr>
        <w:t xml:space="preserve">שמות </w:t>
      </w:r>
      <w:proofErr w:type="spellStart"/>
      <w:r>
        <w:rPr>
          <w:rFonts w:hint="cs"/>
          <w:rtl/>
        </w:rPr>
        <w:t>טז</w:t>
      </w:r>
      <w:proofErr w:type="spellEnd"/>
      <w:r>
        <w:rPr>
          <w:rFonts w:hint="cs"/>
          <w:rtl/>
        </w:rPr>
        <w:t xml:space="preserve">, ד (והוא פסוק </w:t>
      </w:r>
      <w:proofErr w:type="spellStart"/>
      <w:r>
        <w:rPr>
          <w:rFonts w:hint="cs"/>
          <w:rtl/>
        </w:rPr>
        <w:t>הנסיון</w:t>
      </w:r>
      <w:proofErr w:type="spellEnd"/>
      <w:r>
        <w:rPr>
          <w:rFonts w:hint="cs"/>
          <w:rtl/>
        </w:rPr>
        <w:t xml:space="preserve"> האמור במן).</w:t>
      </w:r>
    </w:p>
  </w:endnote>
  <w:endnote w:id="11">
    <w:p w:rsidR="00A55C66" w:rsidRDefault="00A55C66" w:rsidP="00A55C66">
      <w:pPr>
        <w:pStyle w:val="a4"/>
        <w:rPr>
          <w:rFonts w:hint="cs"/>
          <w:rtl/>
        </w:rPr>
      </w:pPr>
      <w:r>
        <w:rPr>
          <w:rtl/>
        </w:rPr>
        <w:tab/>
      </w:r>
      <w:r w:rsidRPr="00E15672">
        <w:rPr>
          <w:rtl/>
        </w:rPr>
        <w:endnoteRef/>
      </w:r>
      <w:r>
        <w:rPr>
          <w:rtl/>
        </w:rPr>
        <w:t>.</w:t>
      </w:r>
      <w:r>
        <w:rPr>
          <w:rtl/>
        </w:rPr>
        <w:tab/>
      </w:r>
      <w:r>
        <w:rPr>
          <w:rFonts w:hint="cs"/>
          <w:rtl/>
        </w:rPr>
        <w:t>בראשית רבה יד, ט.</w:t>
      </w:r>
    </w:p>
  </w:endnote>
  <w:endnote w:id="12">
    <w:p w:rsidR="00A55C66" w:rsidRDefault="00A55C66" w:rsidP="00A55C66">
      <w:pPr>
        <w:pStyle w:val="a4"/>
        <w:rPr>
          <w:rFonts w:hint="cs"/>
          <w:rtl/>
        </w:rPr>
      </w:pPr>
      <w:r>
        <w:rPr>
          <w:rtl/>
        </w:rPr>
        <w:tab/>
      </w:r>
      <w:r w:rsidRPr="00E15672">
        <w:rPr>
          <w:rtl/>
        </w:rPr>
        <w:endnoteRef/>
      </w:r>
      <w:r>
        <w:rPr>
          <w:rtl/>
        </w:rPr>
        <w:t>.</w:t>
      </w:r>
      <w:r>
        <w:rPr>
          <w:rtl/>
        </w:rPr>
        <w:tab/>
      </w:r>
      <w:r>
        <w:rPr>
          <w:rFonts w:hint="cs"/>
          <w:rtl/>
        </w:rPr>
        <w:t>יבמות סב, ב.</w:t>
      </w:r>
    </w:p>
  </w:endnote>
  <w:endnote w:id="13">
    <w:p w:rsidR="00A55C66" w:rsidRDefault="00A55C66" w:rsidP="00A55C66">
      <w:pPr>
        <w:pStyle w:val="a4"/>
      </w:pPr>
      <w:r>
        <w:rPr>
          <w:rtl/>
        </w:rPr>
        <w:tab/>
      </w:r>
      <w:r w:rsidRPr="00E15672">
        <w:rPr>
          <w:rtl/>
        </w:rPr>
        <w:endnoteRef/>
      </w:r>
      <w:r>
        <w:rPr>
          <w:rtl/>
        </w:rPr>
        <w:t>.</w:t>
      </w:r>
      <w:r>
        <w:rPr>
          <w:rtl/>
        </w:rPr>
        <w:tab/>
      </w:r>
      <w:r>
        <w:rPr>
          <w:rFonts w:hint="cs"/>
          <w:rtl/>
        </w:rPr>
        <w:t>תהלים קמו, ג.</w:t>
      </w:r>
    </w:p>
  </w:endnote>
  <w:endnote w:id="14">
    <w:p w:rsidR="00A55C66" w:rsidRDefault="00A55C66" w:rsidP="00A55C66">
      <w:pPr>
        <w:pStyle w:val="a4"/>
        <w:rPr>
          <w:rFonts w:hint="cs"/>
        </w:rPr>
      </w:pPr>
      <w:r>
        <w:rPr>
          <w:rtl/>
        </w:rPr>
        <w:tab/>
      </w:r>
      <w:r w:rsidRPr="00E15672">
        <w:rPr>
          <w:rtl/>
        </w:rPr>
        <w:endnoteRef/>
      </w:r>
      <w:r>
        <w:rPr>
          <w:rtl/>
        </w:rPr>
        <w:t>.</w:t>
      </w:r>
      <w:r>
        <w:rPr>
          <w:rtl/>
        </w:rPr>
        <w:tab/>
      </w:r>
      <w:r>
        <w:rPr>
          <w:rFonts w:hint="cs"/>
          <w:rtl/>
        </w:rPr>
        <w:t xml:space="preserve">שם </w:t>
      </w:r>
      <w:proofErr w:type="spellStart"/>
      <w:r>
        <w:rPr>
          <w:rFonts w:hint="cs"/>
          <w:rtl/>
        </w:rPr>
        <w:t>קיח</w:t>
      </w:r>
      <w:proofErr w:type="spellEnd"/>
      <w:r>
        <w:rPr>
          <w:rFonts w:hint="cs"/>
          <w:rtl/>
        </w:rPr>
        <w:t>, ח-ט.</w:t>
      </w:r>
    </w:p>
  </w:endnote>
  <w:endnote w:id="15">
    <w:p w:rsidR="00A55C66" w:rsidRDefault="00A55C66" w:rsidP="00A55C66">
      <w:pPr>
        <w:pStyle w:val="a4"/>
        <w:rPr>
          <w:rFonts w:hint="cs"/>
        </w:rPr>
      </w:pPr>
      <w:r>
        <w:rPr>
          <w:rtl/>
        </w:rPr>
        <w:tab/>
      </w:r>
      <w:r w:rsidRPr="00E15672">
        <w:rPr>
          <w:rtl/>
        </w:rPr>
        <w:endnoteRef/>
      </w:r>
      <w:r>
        <w:rPr>
          <w:rtl/>
        </w:rPr>
        <w:t>.</w:t>
      </w:r>
      <w:r>
        <w:rPr>
          <w:rtl/>
        </w:rPr>
        <w:tab/>
      </w:r>
      <w:r>
        <w:rPr>
          <w:rFonts w:hint="cs"/>
          <w:rtl/>
        </w:rPr>
        <w:t>ראה שער הכוונות דרושי תפלת השחר א (וראה גם תענית ב, ב).</w:t>
      </w:r>
    </w:p>
  </w:endnote>
  <w:endnote w:id="16">
    <w:p w:rsidR="00A55C66" w:rsidRDefault="00A55C66" w:rsidP="00A55C66">
      <w:pPr>
        <w:pStyle w:val="a4"/>
        <w:rPr>
          <w:rFonts w:hint="cs"/>
          <w:rtl/>
        </w:rPr>
      </w:pPr>
      <w:r>
        <w:rPr>
          <w:rtl/>
        </w:rPr>
        <w:tab/>
      </w:r>
      <w:r w:rsidRPr="00E15672">
        <w:rPr>
          <w:rtl/>
        </w:rPr>
        <w:endnoteRef/>
      </w:r>
      <w:r>
        <w:rPr>
          <w:rtl/>
        </w:rPr>
        <w:t>.</w:t>
      </w:r>
      <w:r>
        <w:rPr>
          <w:rtl/>
        </w:rPr>
        <w:tab/>
      </w:r>
      <w:r>
        <w:rPr>
          <w:rFonts w:hint="cs"/>
          <w:rtl/>
        </w:rPr>
        <w:t xml:space="preserve">תהלים קמה, </w:t>
      </w:r>
      <w:proofErr w:type="spellStart"/>
      <w:r>
        <w:rPr>
          <w:rFonts w:hint="cs"/>
          <w:rtl/>
        </w:rPr>
        <w:t>טז</w:t>
      </w:r>
      <w:proofErr w:type="spellEnd"/>
      <w:r>
        <w:rPr>
          <w:rFonts w:hint="cs"/>
          <w:rtl/>
        </w:rPr>
        <w:t>.</w:t>
      </w:r>
    </w:p>
  </w:endnote>
  <w:endnote w:id="17">
    <w:p w:rsidR="00A55C66" w:rsidRDefault="00A55C66" w:rsidP="00A55C66">
      <w:pPr>
        <w:pStyle w:val="a4"/>
        <w:rPr>
          <w:rFonts w:hint="cs"/>
          <w:rtl/>
        </w:rPr>
      </w:pPr>
      <w:r>
        <w:rPr>
          <w:rtl/>
        </w:rPr>
        <w:tab/>
      </w:r>
      <w:r w:rsidRPr="00E15672">
        <w:rPr>
          <w:rtl/>
        </w:rPr>
        <w:endnoteRef/>
      </w:r>
      <w:r>
        <w:rPr>
          <w:rtl/>
        </w:rPr>
        <w:t>.</w:t>
      </w:r>
      <w:r>
        <w:rPr>
          <w:rtl/>
        </w:rPr>
        <w:tab/>
      </w:r>
      <w:proofErr w:type="spellStart"/>
      <w:r>
        <w:rPr>
          <w:rFonts w:hint="cs"/>
          <w:rtl/>
        </w:rPr>
        <w:t>שו"ע</w:t>
      </w:r>
      <w:proofErr w:type="spellEnd"/>
      <w:r>
        <w:rPr>
          <w:rFonts w:hint="cs"/>
          <w:rtl/>
        </w:rPr>
        <w:t xml:space="preserve"> </w:t>
      </w:r>
      <w:proofErr w:type="spellStart"/>
      <w:r>
        <w:rPr>
          <w:rFonts w:hint="cs"/>
          <w:rtl/>
        </w:rPr>
        <w:t>או"ח</w:t>
      </w:r>
      <w:proofErr w:type="spellEnd"/>
      <w:r>
        <w:rPr>
          <w:rFonts w:hint="cs"/>
          <w:rtl/>
        </w:rPr>
        <w:t xml:space="preserve"> סעיף נא סימן ז (וראה שער הכוונות דרושי תפלת השחר, דרוש א).</w:t>
      </w:r>
    </w:p>
  </w:endnote>
  <w:endnote w:id="18">
    <w:p w:rsidR="00A55C66" w:rsidRDefault="00A55C66" w:rsidP="00A55C66">
      <w:pPr>
        <w:pStyle w:val="a4"/>
        <w:rPr>
          <w:rFonts w:hint="cs"/>
        </w:rPr>
      </w:pPr>
      <w:r>
        <w:rPr>
          <w:rtl/>
        </w:rPr>
        <w:tab/>
      </w:r>
      <w:r w:rsidRPr="00E15672">
        <w:rPr>
          <w:rtl/>
        </w:rPr>
        <w:endnoteRef/>
      </w:r>
      <w:r>
        <w:rPr>
          <w:rtl/>
        </w:rPr>
        <w:t>.</w:t>
      </w:r>
      <w:r>
        <w:rPr>
          <w:rtl/>
        </w:rPr>
        <w:tab/>
      </w:r>
      <w:r>
        <w:rPr>
          <w:rFonts w:hint="cs"/>
          <w:rtl/>
        </w:rPr>
        <w:t>ראה בספר לב לדעת במאמר "אמונה ובטחון" ע' נו והלאה.</w:t>
      </w:r>
    </w:p>
  </w:endnote>
  <w:endnote w:id="19">
    <w:p w:rsidR="00A55C66" w:rsidRDefault="00A55C66" w:rsidP="00A55C66">
      <w:pPr>
        <w:pStyle w:val="a4"/>
        <w:rPr>
          <w:rFonts w:hint="cs"/>
          <w:rtl/>
        </w:rPr>
      </w:pPr>
      <w:r>
        <w:rPr>
          <w:rtl/>
        </w:rPr>
        <w:tab/>
      </w:r>
      <w:r w:rsidRPr="00E15672">
        <w:rPr>
          <w:rtl/>
        </w:rPr>
        <w:endnoteRef/>
      </w:r>
      <w:r>
        <w:rPr>
          <w:rtl/>
        </w:rPr>
        <w:t>.</w:t>
      </w:r>
      <w:r>
        <w:rPr>
          <w:rtl/>
        </w:rPr>
        <w:tab/>
      </w:r>
      <w:r>
        <w:rPr>
          <w:rFonts w:hint="cs"/>
          <w:rtl/>
        </w:rPr>
        <w:t xml:space="preserve">ויקרא יד, </w:t>
      </w:r>
      <w:proofErr w:type="spellStart"/>
      <w:r>
        <w:rPr>
          <w:rFonts w:hint="cs"/>
          <w:rtl/>
        </w:rPr>
        <w:t>מב</w:t>
      </w:r>
      <w:proofErr w:type="spellEnd"/>
      <w:r>
        <w:rPr>
          <w:rFonts w:hint="cs"/>
          <w:rtl/>
        </w:rPr>
        <w:t>.</w:t>
      </w:r>
    </w:p>
  </w:endnote>
  <w:endnote w:id="20">
    <w:p w:rsidR="00A55C66" w:rsidRDefault="00A55C66" w:rsidP="00A55C66">
      <w:pPr>
        <w:pStyle w:val="a4"/>
        <w:rPr>
          <w:rFonts w:hint="cs"/>
          <w:rtl/>
        </w:rPr>
      </w:pPr>
      <w:r>
        <w:rPr>
          <w:rtl/>
        </w:rPr>
        <w:tab/>
      </w:r>
      <w:r w:rsidRPr="00E15672">
        <w:rPr>
          <w:rtl/>
        </w:rPr>
        <w:endnoteRef/>
      </w:r>
      <w:r>
        <w:rPr>
          <w:rtl/>
        </w:rPr>
        <w:t>.</w:t>
      </w:r>
      <w:r>
        <w:rPr>
          <w:rtl/>
        </w:rPr>
        <w:tab/>
      </w:r>
      <w:r>
        <w:rPr>
          <w:rFonts w:hint="cs"/>
          <w:rtl/>
        </w:rPr>
        <w:t>בראשית ב, כד.</w:t>
      </w:r>
    </w:p>
  </w:endnote>
  <w:endnote w:id="21">
    <w:p w:rsidR="00A55C66" w:rsidRDefault="00A55C66" w:rsidP="00A55C66">
      <w:pPr>
        <w:pStyle w:val="a4"/>
        <w:rPr>
          <w:rFonts w:hint="cs"/>
          <w:rtl/>
        </w:rPr>
      </w:pPr>
      <w:r>
        <w:rPr>
          <w:rtl/>
        </w:rPr>
        <w:tab/>
      </w:r>
      <w:r w:rsidRPr="00E15672">
        <w:rPr>
          <w:rtl/>
        </w:rPr>
        <w:endnoteRef/>
      </w:r>
      <w:r>
        <w:rPr>
          <w:rtl/>
        </w:rPr>
        <w:t>.</w:t>
      </w:r>
      <w:r>
        <w:rPr>
          <w:rtl/>
        </w:rPr>
        <w:tab/>
      </w:r>
      <w:r>
        <w:rPr>
          <w:rFonts w:hint="cs"/>
          <w:rtl/>
        </w:rPr>
        <w:t>על פי לשון הכתוב (שמות ג, ה): "עז</w:t>
      </w:r>
      <w:r w:rsidRPr="00B13E7E">
        <w:rPr>
          <w:rFonts w:hint="cs"/>
          <w:spacing w:val="-10"/>
          <w:rtl/>
        </w:rPr>
        <w:t>ֹ</w:t>
      </w:r>
      <w:r w:rsidRPr="00B13E7E">
        <w:rPr>
          <w:rFonts w:hint="cs"/>
          <w:spacing w:val="-6"/>
          <w:rtl/>
        </w:rPr>
        <w:t>ב</w:t>
      </w:r>
      <w:r>
        <w:rPr>
          <w:rFonts w:hint="cs"/>
          <w:rtl/>
        </w:rPr>
        <w:t xml:space="preserve"> </w:t>
      </w:r>
      <w:proofErr w:type="spellStart"/>
      <w:r>
        <w:rPr>
          <w:rFonts w:hint="cs"/>
          <w:rtl/>
        </w:rPr>
        <w:t>תעז</w:t>
      </w:r>
      <w:r w:rsidRPr="00B13E7E">
        <w:rPr>
          <w:rFonts w:hint="cs"/>
          <w:spacing w:val="-10"/>
          <w:rtl/>
        </w:rPr>
        <w:t>ֹ</w:t>
      </w:r>
      <w:r w:rsidRPr="00B13E7E">
        <w:rPr>
          <w:rFonts w:hint="cs"/>
          <w:spacing w:val="-6"/>
          <w:rtl/>
        </w:rPr>
        <w:t>ב</w:t>
      </w:r>
      <w:proofErr w:type="spellEnd"/>
      <w:r>
        <w:rPr>
          <w:rFonts w:hint="cs"/>
          <w:rtl/>
        </w:rPr>
        <w:t xml:space="preserve"> עמו".</w:t>
      </w:r>
    </w:p>
  </w:endnote>
  <w:endnote w:id="22">
    <w:p w:rsidR="00A55C66" w:rsidRDefault="00A55C66" w:rsidP="00A55C66">
      <w:pPr>
        <w:pStyle w:val="a4"/>
        <w:rPr>
          <w:rFonts w:hint="cs"/>
          <w:rtl/>
        </w:rPr>
      </w:pPr>
      <w:r>
        <w:rPr>
          <w:rtl/>
        </w:rPr>
        <w:tab/>
      </w:r>
      <w:r w:rsidRPr="00E15672">
        <w:rPr>
          <w:rtl/>
        </w:rPr>
        <w:endnoteRef/>
      </w:r>
      <w:r>
        <w:rPr>
          <w:rtl/>
        </w:rPr>
        <w:t>.</w:t>
      </w:r>
      <w:r>
        <w:rPr>
          <w:rtl/>
        </w:rPr>
        <w:tab/>
      </w:r>
      <w:r>
        <w:rPr>
          <w:rFonts w:hint="cs"/>
          <w:rtl/>
        </w:rPr>
        <w:t>משלי לא, יא.</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C79" w:rsidRDefault="00062C79" w:rsidP="00A55C66">
      <w:pPr>
        <w:spacing w:after="0" w:line="240" w:lineRule="auto"/>
      </w:pPr>
      <w:r>
        <w:separator/>
      </w:r>
    </w:p>
  </w:footnote>
  <w:footnote w:type="continuationSeparator" w:id="0">
    <w:p w:rsidR="00062C79" w:rsidRDefault="00062C79" w:rsidP="00A55C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872"/>
    <w:rsid w:val="00061E65"/>
    <w:rsid w:val="00062C79"/>
    <w:rsid w:val="00814872"/>
    <w:rsid w:val="00A55C66"/>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A55C66"/>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A55C66"/>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A55C66"/>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A55C66"/>
    <w:rPr>
      <w:rFonts w:cs="Miriam"/>
      <w:w w:val="100"/>
      <w:sz w:val="21"/>
      <w:szCs w:val="23"/>
    </w:rPr>
  </w:style>
  <w:style w:type="paragraph" w:styleId="a4">
    <w:name w:val="endnote text"/>
    <w:aliases w:val="Endnote Text"/>
    <w:basedOn w:val="a"/>
    <w:link w:val="a5"/>
    <w:autoRedefine/>
    <w:semiHidden/>
    <w:rsid w:val="00A55C66"/>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A55C66"/>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A55C66"/>
    <w:rPr>
      <w:noProof/>
      <w:position w:val="-4"/>
      <w:szCs w:val="27"/>
      <w:vertAlign w:val="superscript"/>
    </w:rPr>
  </w:style>
  <w:style w:type="paragraph" w:customStyle="1" w:styleId="a8">
    <w:name w:val="פתיח תו"/>
    <w:basedOn w:val="a"/>
    <w:link w:val="a9"/>
    <w:rsid w:val="00A55C66"/>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A55C66"/>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A55C6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A55C66"/>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A55C66"/>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A55C66"/>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A55C66"/>
    <w:rPr>
      <w:rFonts w:cs="Miriam"/>
      <w:w w:val="100"/>
      <w:sz w:val="21"/>
      <w:szCs w:val="23"/>
    </w:rPr>
  </w:style>
  <w:style w:type="paragraph" w:styleId="a4">
    <w:name w:val="endnote text"/>
    <w:aliases w:val="Endnote Text"/>
    <w:basedOn w:val="a"/>
    <w:link w:val="a5"/>
    <w:autoRedefine/>
    <w:semiHidden/>
    <w:rsid w:val="00A55C66"/>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A55C66"/>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A55C66"/>
    <w:rPr>
      <w:noProof/>
      <w:position w:val="-4"/>
      <w:szCs w:val="27"/>
      <w:vertAlign w:val="superscript"/>
    </w:rPr>
  </w:style>
  <w:style w:type="paragraph" w:customStyle="1" w:styleId="a8">
    <w:name w:val="פתיח תו"/>
    <w:basedOn w:val="a"/>
    <w:link w:val="a9"/>
    <w:rsid w:val="00A55C66"/>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A55C66"/>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A55C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90;\&#1513;&#1506;&#1512;%20&#1513;&#1513;&#1497;%20&#1493;&#1499;&#1500;%20&#1492;&#1495;&#1497;&#1497;&#1501;%20&#1497;&#1493;&#1491;&#1493;&#1498;%20&#1505;&#1500;&#1492;\&#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2684</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2017-08-14T22:51:00Z</dcterms:created>
  <dcterms:modified xsi:type="dcterms:W3CDTF">2017-08-14T22:51:00Z</dcterms:modified>
</cp:coreProperties>
</file>