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F3" w:rsidRPr="00BE6044" w:rsidRDefault="006C0FF3" w:rsidP="006C0FF3">
      <w:pPr>
        <w:pStyle w:val="2"/>
        <w:rPr>
          <w:rFonts w:hint="cs"/>
          <w:spacing w:val="0"/>
          <w:rtl/>
        </w:rPr>
      </w:pPr>
      <w:bookmarkStart w:id="0" w:name="_Toc188281750"/>
      <w:bookmarkStart w:id="1" w:name="_Ref188282088"/>
      <w:r w:rsidRPr="00BE6044">
        <w:rPr>
          <w:rFonts w:hint="cs"/>
          <w:spacing w:val="0"/>
          <w:rtl/>
        </w:rPr>
        <w:t>פנים ואחור במחזור</w:t>
      </w:r>
      <w:r w:rsidRPr="00BE6044">
        <w:rPr>
          <w:rFonts w:hint="eastAsia"/>
          <w:spacing w:val="0"/>
          <w:rtl/>
        </w:rPr>
        <w:t> </w:t>
      </w:r>
      <w:r w:rsidRPr="00BE6044">
        <w:rPr>
          <w:rFonts w:hint="cs"/>
          <w:spacing w:val="0"/>
          <w:rtl/>
        </w:rPr>
        <w:t>חיי</w:t>
      </w:r>
      <w:r w:rsidRPr="00BE6044">
        <w:rPr>
          <w:rFonts w:hint="eastAsia"/>
          <w:spacing w:val="0"/>
          <w:rtl/>
        </w:rPr>
        <w:t> </w:t>
      </w:r>
      <w:r w:rsidRPr="00BE6044">
        <w:rPr>
          <w:rFonts w:hint="cs"/>
          <w:spacing w:val="0"/>
          <w:rtl/>
        </w:rPr>
        <w:t>הנישואין</w:t>
      </w:r>
      <w:bookmarkEnd w:id="0"/>
      <w:bookmarkEnd w:id="1"/>
    </w:p>
    <w:p w:rsidR="006C0FF3" w:rsidRPr="00EC3D1D" w:rsidRDefault="006C0FF3" w:rsidP="006C0FF3">
      <w:pPr>
        <w:keepNext/>
        <w:framePr w:dropCap="drop" w:lines="2" w:hSpace="57" w:wrap="around" w:vAnchor="text" w:hAnchor="text" w:xAlign="right"/>
        <w:spacing w:after="0" w:line="760" w:lineRule="exact"/>
        <w:textAlignment w:val="baseline"/>
        <w:rPr>
          <w:rStyle w:val="a8"/>
          <w:rtl/>
        </w:rPr>
      </w:pPr>
      <w:r w:rsidRPr="00EC3D1D">
        <w:rPr>
          <w:rStyle w:val="a8"/>
          <w:rFonts w:hint="cs"/>
          <w:rtl/>
        </w:rPr>
        <w:t>ה</w:t>
      </w:r>
    </w:p>
    <w:p w:rsidR="006C0FF3" w:rsidRPr="00B46B4B" w:rsidRDefault="006C0FF3" w:rsidP="006C0FF3">
      <w:pPr>
        <w:rPr>
          <w:rFonts w:hint="cs"/>
          <w:rtl/>
        </w:rPr>
      </w:pPr>
      <w:r w:rsidRPr="00B46B4B">
        <w:rPr>
          <w:rFonts w:hint="cs"/>
          <w:rtl/>
        </w:rPr>
        <w:t>פסוק "עת לחבוק ועת לרחוק מחבק"</w:t>
      </w:r>
      <w:r w:rsidRPr="00C37DFC">
        <w:rPr>
          <w:rStyle w:val="a5"/>
          <w:rtl/>
        </w:rPr>
        <w:endnoteReference w:id="1"/>
      </w:r>
      <w:r w:rsidRPr="00B46B4B">
        <w:rPr>
          <w:rFonts w:hint="cs"/>
          <w:rtl/>
        </w:rPr>
        <w:t xml:space="preserve"> מהוה דוגמה וסמל לכל שינויי העתים</w:t>
      </w:r>
      <w:bookmarkStart w:id="2" w:name="_Ref186351279"/>
      <w:r w:rsidRPr="00C37DFC">
        <w:rPr>
          <w:rStyle w:val="a5"/>
          <w:rtl/>
        </w:rPr>
        <w:endnoteReference w:id="2"/>
      </w:r>
      <w:bookmarkEnd w:id="2"/>
      <w:r w:rsidRPr="00B46B4B">
        <w:rPr>
          <w:rFonts w:hint="cs"/>
          <w:rtl/>
        </w:rPr>
        <w:t>, ומתאר בפרט את היחס בין עתות הטהרה והקרבה לבין עתות הנדה והריחוק הפיזי בחיי הנישואין</w:t>
      </w:r>
      <w:r w:rsidRPr="00C37DFC">
        <w:rPr>
          <w:rStyle w:val="a5"/>
          <w:rtl/>
        </w:rPr>
        <w:endnoteReference w:id="3"/>
      </w:r>
      <w:r>
        <w:rPr>
          <w:rFonts w:hint="cs"/>
          <w:rtl/>
        </w:rPr>
        <w:t xml:space="preserve">. </w:t>
      </w:r>
      <w:r w:rsidRPr="00B46B4B">
        <w:rPr>
          <w:rFonts w:hint="cs"/>
          <w:rtl/>
        </w:rPr>
        <w:t>בדרושי החסידות</w:t>
      </w:r>
      <w:r w:rsidRPr="00B46B4B">
        <w:rPr>
          <w:rStyle w:val="a5"/>
          <w:rtl/>
        </w:rPr>
        <w:fldChar w:fldCharType="begin"/>
      </w:r>
      <w:r w:rsidRPr="00B46B4B">
        <w:rPr>
          <w:rStyle w:val="a5"/>
          <w:rtl/>
        </w:rPr>
        <w:instrText xml:space="preserve"> </w:instrText>
      </w:r>
      <w:r w:rsidRPr="00B46B4B">
        <w:rPr>
          <w:rStyle w:val="a5"/>
          <w:rFonts w:hint="cs"/>
        </w:rPr>
        <w:instrText>NOTEREF</w:instrText>
      </w:r>
      <w:r w:rsidRPr="00B46B4B">
        <w:rPr>
          <w:rStyle w:val="a5"/>
          <w:rFonts w:hint="cs"/>
          <w:rtl/>
        </w:rPr>
        <w:instrText xml:space="preserve"> _</w:instrText>
      </w:r>
      <w:r w:rsidRPr="00B46B4B">
        <w:rPr>
          <w:rStyle w:val="a5"/>
          <w:rFonts w:hint="cs"/>
        </w:rPr>
        <w:instrText>Ref186351279 \h</w:instrText>
      </w:r>
      <w:r w:rsidRPr="00B46B4B">
        <w:rPr>
          <w:rStyle w:val="a5"/>
          <w:rtl/>
        </w:rPr>
        <w:instrText xml:space="preserve"> </w:instrText>
      </w:r>
      <w:r w:rsidRPr="00B46B4B">
        <w:rPr>
          <w:rStyle w:val="a5"/>
        </w:rPr>
      </w:r>
      <w:r w:rsidRPr="00B46B4B">
        <w:rPr>
          <w:rStyle w:val="a5"/>
          <w:rtl/>
        </w:rPr>
        <w:instrText xml:space="preserve"> \* </w:instrText>
      </w:r>
      <w:r w:rsidRPr="00B46B4B">
        <w:rPr>
          <w:rStyle w:val="a5"/>
        </w:rPr>
        <w:instrText>MERGEFORMAT</w:instrText>
      </w:r>
      <w:r w:rsidRPr="00B46B4B">
        <w:rPr>
          <w:rStyle w:val="a5"/>
          <w:rtl/>
        </w:rPr>
        <w:instrText xml:space="preserve"> </w:instrText>
      </w:r>
      <w:r w:rsidRPr="00B46B4B">
        <w:rPr>
          <w:rStyle w:val="a5"/>
          <w:rtl/>
        </w:rPr>
        <w:fldChar w:fldCharType="separate"/>
      </w:r>
      <w:r>
        <w:rPr>
          <w:rStyle w:val="a5"/>
          <w:rtl/>
        </w:rPr>
        <w:t>ב</w:t>
      </w:r>
      <w:r w:rsidRPr="00B46B4B">
        <w:rPr>
          <w:rStyle w:val="a5"/>
          <w:rtl/>
        </w:rPr>
        <w:fldChar w:fldCharType="end"/>
      </w:r>
      <w:r w:rsidRPr="00B46B4B">
        <w:rPr>
          <w:rFonts w:hint="cs"/>
          <w:rtl/>
        </w:rPr>
        <w:t xml:space="preserve"> מבואר על</w:t>
      </w:r>
      <w:r>
        <w:rPr>
          <w:rFonts w:hint="cs"/>
          <w:rtl/>
        </w:rPr>
        <w:t xml:space="preserve"> פסוק זה</w:t>
      </w:r>
      <w:r w:rsidRPr="00B46B4B">
        <w:rPr>
          <w:rFonts w:hint="cs"/>
          <w:rtl/>
        </w:rPr>
        <w:t xml:space="preserve"> כי "עת לחבוק" הוא זמן בו זוכים ליחס של "פנים בפנים" ואילו "עת לרחוק מחבק" הוא זמן בו היחסים הם "אחור באחור"</w:t>
      </w:r>
      <w:r w:rsidRPr="00C37DFC">
        <w:rPr>
          <w:rStyle w:val="a5"/>
          <w:rtl/>
        </w:rPr>
        <w:endnoteReference w:id="4"/>
      </w:r>
      <w:r w:rsidRPr="00B46B4B">
        <w:rPr>
          <w:rFonts w:hint="cs"/>
          <w:rtl/>
        </w:rPr>
        <w:t xml:space="preserve">. </w:t>
      </w:r>
    </w:p>
    <w:p w:rsidR="006C0FF3" w:rsidRPr="00B46B4B" w:rsidRDefault="006C0FF3" w:rsidP="006C0FF3">
      <w:pPr>
        <w:rPr>
          <w:rFonts w:hint="cs"/>
          <w:rtl/>
        </w:rPr>
      </w:pPr>
      <w:r w:rsidRPr="00B46B4B">
        <w:rPr>
          <w:rFonts w:hint="cs"/>
          <w:rtl/>
        </w:rPr>
        <w:t xml:space="preserve">בעבודת ה', עמידה "פנים בפנים" היא כאשר האדם ממוקד כולו, בחשק וברצון, </w:t>
      </w:r>
      <w:proofErr w:type="spellStart"/>
      <w:r w:rsidRPr="00B46B4B">
        <w:rPr>
          <w:rFonts w:hint="cs"/>
          <w:rtl/>
        </w:rPr>
        <w:t>באלקות</w:t>
      </w:r>
      <w:proofErr w:type="spellEnd"/>
      <w:r w:rsidRPr="00B46B4B">
        <w:rPr>
          <w:rFonts w:hint="cs"/>
          <w:rtl/>
        </w:rPr>
        <w:t xml:space="preserve"> </w:t>
      </w:r>
      <w:r w:rsidRPr="00B46B4B">
        <w:rPr>
          <w:rtl/>
        </w:rPr>
        <w:t>–</w:t>
      </w:r>
      <w:r w:rsidRPr="00B46B4B">
        <w:rPr>
          <w:rFonts w:hint="cs"/>
          <w:rtl/>
        </w:rPr>
        <w:t xml:space="preserve"> מצב בו תענוגו הפנימי של האדם מופנה אל ה', וכל מעיניו רק בעבודתו יתברך. לעומת זאת, עמידה "אחור באחור" היא כאשר האדם שומר על יחס עם ה' ומקיים את מצוותיו, אך </w:t>
      </w:r>
      <w:proofErr w:type="spellStart"/>
      <w:r w:rsidRPr="00B46B4B">
        <w:rPr>
          <w:rFonts w:hint="cs"/>
          <w:rtl/>
        </w:rPr>
        <w:t>הכל</w:t>
      </w:r>
      <w:proofErr w:type="spellEnd"/>
      <w:r w:rsidRPr="00B46B4B">
        <w:rPr>
          <w:rFonts w:hint="cs"/>
          <w:rtl/>
        </w:rPr>
        <w:t xml:space="preserve"> מתוך רצון כפוי, בעוד שפניו-פנימיותו מופנים לדברים אחרים, משום שהתענוג הטבעי שלו אינו בעבודת ה' אלא </w:t>
      </w:r>
      <w:proofErr w:type="spellStart"/>
      <w:r w:rsidRPr="00B46B4B">
        <w:rPr>
          <w:rFonts w:hint="cs"/>
          <w:rtl/>
        </w:rPr>
        <w:t>בעניני</w:t>
      </w:r>
      <w:proofErr w:type="spellEnd"/>
      <w:r w:rsidRPr="00B46B4B">
        <w:rPr>
          <w:rFonts w:hint="cs"/>
          <w:rtl/>
        </w:rPr>
        <w:t xml:space="preserve"> העולם (ובלשון החסידות: "שאין דביקות הנפש </w:t>
      </w:r>
      <w:proofErr w:type="spellStart"/>
      <w:r w:rsidRPr="00B46B4B">
        <w:rPr>
          <w:rFonts w:hint="cs"/>
          <w:rtl/>
        </w:rPr>
        <w:t>באלקים</w:t>
      </w:r>
      <w:proofErr w:type="spellEnd"/>
      <w:r w:rsidRPr="00B46B4B">
        <w:rPr>
          <w:rFonts w:hint="cs"/>
          <w:rtl/>
        </w:rPr>
        <w:t xml:space="preserve"> חיים בבחינת פנים ממש, על דרך 'כלה שארי ולבבי </w:t>
      </w:r>
      <w:proofErr w:type="spellStart"/>
      <w:r w:rsidRPr="00B46B4B">
        <w:rPr>
          <w:rFonts w:hint="cs"/>
          <w:rtl/>
        </w:rPr>
        <w:t>כו</w:t>
      </w:r>
      <w:proofErr w:type="spellEnd"/>
      <w:r w:rsidRPr="00B46B4B">
        <w:rPr>
          <w:rFonts w:hint="cs"/>
          <w:rtl/>
        </w:rPr>
        <w:t xml:space="preserve">'', ויש לו תענוג במילי </w:t>
      </w:r>
      <w:proofErr w:type="spellStart"/>
      <w:r w:rsidRPr="00B46B4B">
        <w:rPr>
          <w:rFonts w:hint="cs"/>
          <w:rtl/>
        </w:rPr>
        <w:t>דעלמא</w:t>
      </w:r>
      <w:proofErr w:type="spellEnd"/>
      <w:r w:rsidRPr="00B46B4B">
        <w:rPr>
          <w:rFonts w:hint="cs"/>
          <w:rtl/>
        </w:rPr>
        <w:t>"</w:t>
      </w:r>
      <w:r w:rsidRPr="00B46B4B">
        <w:rPr>
          <w:rStyle w:val="a5"/>
          <w:rtl/>
        </w:rPr>
        <w:fldChar w:fldCharType="begin"/>
      </w:r>
      <w:r w:rsidRPr="00B46B4B">
        <w:rPr>
          <w:rStyle w:val="a5"/>
          <w:rtl/>
        </w:rPr>
        <w:instrText xml:space="preserve"> </w:instrText>
      </w:r>
      <w:r w:rsidRPr="00B46B4B">
        <w:rPr>
          <w:rStyle w:val="a5"/>
          <w:rFonts w:hint="cs"/>
        </w:rPr>
        <w:instrText>NOTEREF</w:instrText>
      </w:r>
      <w:r w:rsidRPr="00B46B4B">
        <w:rPr>
          <w:rStyle w:val="a5"/>
          <w:rFonts w:hint="cs"/>
          <w:rtl/>
        </w:rPr>
        <w:instrText xml:space="preserve"> _</w:instrText>
      </w:r>
      <w:r w:rsidRPr="00B46B4B">
        <w:rPr>
          <w:rStyle w:val="a5"/>
          <w:rFonts w:hint="cs"/>
        </w:rPr>
        <w:instrText>Ref186351279 \h</w:instrText>
      </w:r>
      <w:r w:rsidRPr="00B46B4B">
        <w:rPr>
          <w:rStyle w:val="a5"/>
          <w:rtl/>
        </w:rPr>
        <w:instrText xml:space="preserve"> </w:instrText>
      </w:r>
      <w:r w:rsidRPr="00B46B4B">
        <w:rPr>
          <w:rStyle w:val="a5"/>
        </w:rPr>
      </w:r>
      <w:r w:rsidRPr="00B46B4B">
        <w:rPr>
          <w:rStyle w:val="a5"/>
          <w:rtl/>
        </w:rPr>
        <w:instrText xml:space="preserve"> \* </w:instrText>
      </w:r>
      <w:r w:rsidRPr="00B46B4B">
        <w:rPr>
          <w:rStyle w:val="a5"/>
        </w:rPr>
        <w:instrText>MERGEFORMAT</w:instrText>
      </w:r>
      <w:r w:rsidRPr="00B46B4B">
        <w:rPr>
          <w:rStyle w:val="a5"/>
          <w:rtl/>
        </w:rPr>
        <w:instrText xml:space="preserve"> </w:instrText>
      </w:r>
      <w:r w:rsidRPr="00B46B4B">
        <w:rPr>
          <w:rStyle w:val="a5"/>
          <w:rtl/>
        </w:rPr>
        <w:fldChar w:fldCharType="separate"/>
      </w:r>
      <w:r>
        <w:rPr>
          <w:rStyle w:val="a5"/>
          <w:rtl/>
        </w:rPr>
        <w:t>ב</w:t>
      </w:r>
      <w:r w:rsidRPr="00B46B4B">
        <w:rPr>
          <w:rStyle w:val="a5"/>
          <w:rtl/>
        </w:rPr>
        <w:fldChar w:fldCharType="end"/>
      </w:r>
      <w:r w:rsidRPr="00B46B4B">
        <w:rPr>
          <w:rFonts w:hint="cs"/>
          <w:rtl/>
        </w:rPr>
        <w:t xml:space="preserve">). </w:t>
      </w:r>
    </w:p>
    <w:p w:rsidR="006C0FF3" w:rsidRPr="00B46B4B" w:rsidRDefault="006C0FF3" w:rsidP="006C0FF3">
      <w:pPr>
        <w:rPr>
          <w:rFonts w:hint="cs"/>
          <w:rtl/>
        </w:rPr>
      </w:pPr>
      <w:r w:rsidRPr="00B46B4B">
        <w:rPr>
          <w:rFonts w:hint="cs"/>
          <w:rtl/>
        </w:rPr>
        <w:t xml:space="preserve">בחיי הנישואין, עמידה פנים בפנים היא מצב בו כל תשומת הלב הפנימית </w:t>
      </w:r>
      <w:proofErr w:type="spellStart"/>
      <w:r w:rsidRPr="00B46B4B">
        <w:rPr>
          <w:rFonts w:hint="cs"/>
          <w:rtl/>
        </w:rPr>
        <w:t>והאמיתית</w:t>
      </w:r>
      <w:proofErr w:type="spellEnd"/>
      <w:r w:rsidRPr="00B46B4B">
        <w:rPr>
          <w:rFonts w:hint="cs"/>
          <w:rtl/>
        </w:rPr>
        <w:t xml:space="preserve"> מוקדשת בשמחה וברצון לבן הזוג, כאשר התענוג הטבעי של האדם הוא בהתייחסות ההדדית ובהתמקדות בזולת. אז החיבוק עצמו שומר על עמידה זו פנים אל פנים, שטרדות החיים לא יסיחו את הדעת </w:t>
      </w:r>
      <w:proofErr w:type="spellStart"/>
      <w:r w:rsidRPr="00B46B4B">
        <w:rPr>
          <w:rFonts w:hint="cs"/>
          <w:rtl/>
        </w:rPr>
        <w:t>מהחויה</w:t>
      </w:r>
      <w:proofErr w:type="spellEnd"/>
      <w:r w:rsidRPr="00B46B4B">
        <w:rPr>
          <w:rFonts w:hint="cs"/>
          <w:rtl/>
        </w:rPr>
        <w:t xml:space="preserve"> הפנימית והעיקרית של תענוג הקשר, "כאדם החובק את </w:t>
      </w:r>
      <w:proofErr w:type="spellStart"/>
      <w:r w:rsidRPr="00B46B4B">
        <w:rPr>
          <w:rFonts w:hint="cs"/>
          <w:rtl/>
        </w:rPr>
        <w:t>חבירו</w:t>
      </w:r>
      <w:proofErr w:type="spellEnd"/>
      <w:r w:rsidRPr="00B46B4B">
        <w:rPr>
          <w:rFonts w:hint="cs"/>
          <w:rtl/>
        </w:rPr>
        <w:t xml:space="preserve"> מאחוריו שלא ילך מפניו"</w:t>
      </w:r>
      <w:r w:rsidRPr="00B46B4B">
        <w:rPr>
          <w:rStyle w:val="a5"/>
          <w:rtl/>
        </w:rPr>
        <w:fldChar w:fldCharType="begin"/>
      </w:r>
      <w:r w:rsidRPr="00B46B4B">
        <w:rPr>
          <w:rStyle w:val="a5"/>
          <w:rtl/>
        </w:rPr>
        <w:instrText xml:space="preserve"> </w:instrText>
      </w:r>
      <w:r w:rsidRPr="00B46B4B">
        <w:rPr>
          <w:rStyle w:val="a5"/>
          <w:rFonts w:hint="cs"/>
        </w:rPr>
        <w:instrText>NOTEREF</w:instrText>
      </w:r>
      <w:r w:rsidRPr="00B46B4B">
        <w:rPr>
          <w:rStyle w:val="a5"/>
          <w:rFonts w:hint="cs"/>
          <w:rtl/>
        </w:rPr>
        <w:instrText xml:space="preserve"> _</w:instrText>
      </w:r>
      <w:r w:rsidRPr="00B46B4B">
        <w:rPr>
          <w:rStyle w:val="a5"/>
          <w:rFonts w:hint="cs"/>
        </w:rPr>
        <w:instrText>Ref186351279 \h</w:instrText>
      </w:r>
      <w:r w:rsidRPr="00B46B4B">
        <w:rPr>
          <w:rStyle w:val="a5"/>
          <w:rtl/>
        </w:rPr>
        <w:instrText xml:space="preserve"> </w:instrText>
      </w:r>
      <w:r w:rsidRPr="00B46B4B">
        <w:rPr>
          <w:rStyle w:val="a5"/>
        </w:rPr>
      </w:r>
      <w:r w:rsidRPr="00B46B4B">
        <w:rPr>
          <w:rStyle w:val="a5"/>
          <w:rtl/>
        </w:rPr>
        <w:instrText xml:space="preserve"> \* </w:instrText>
      </w:r>
      <w:r w:rsidRPr="00B46B4B">
        <w:rPr>
          <w:rStyle w:val="a5"/>
        </w:rPr>
        <w:instrText>MERGEFORMAT</w:instrText>
      </w:r>
      <w:r w:rsidRPr="00B46B4B">
        <w:rPr>
          <w:rStyle w:val="a5"/>
          <w:rtl/>
        </w:rPr>
        <w:instrText xml:space="preserve"> </w:instrText>
      </w:r>
      <w:r w:rsidRPr="00B46B4B">
        <w:rPr>
          <w:rStyle w:val="a5"/>
          <w:rtl/>
        </w:rPr>
        <w:fldChar w:fldCharType="separate"/>
      </w:r>
      <w:r>
        <w:rPr>
          <w:rStyle w:val="a5"/>
          <w:rtl/>
        </w:rPr>
        <w:t>ב</w:t>
      </w:r>
      <w:r w:rsidRPr="00B46B4B">
        <w:rPr>
          <w:rStyle w:val="a5"/>
          <w:rtl/>
        </w:rPr>
        <w:fldChar w:fldCharType="end"/>
      </w:r>
      <w:r w:rsidRPr="00B46B4B">
        <w:rPr>
          <w:rFonts w:hint="cs"/>
          <w:rtl/>
        </w:rPr>
        <w:t>. לעומת זאת, עמידה אחור באחור היא זמנים בהם התענוג הטבעי של כל אחד מבני הזוג מופנה לצד</w:t>
      </w:r>
      <w:r>
        <w:rPr>
          <w:rFonts w:hint="cs"/>
          <w:rtl/>
        </w:rPr>
        <w:t>דים אחרים, בעיקר לאינטרסים האישיים של כל אחד מהם. אז רק</w:t>
      </w:r>
      <w:r w:rsidRPr="00B46B4B">
        <w:rPr>
          <w:rFonts w:hint="cs"/>
          <w:rtl/>
        </w:rPr>
        <w:t xml:space="preserve"> המחויבות שלהם לברית הנישואין גורמת להם להמשיך לשמור, גם אם בצורה מעושה, </w:t>
      </w:r>
      <w:proofErr w:type="spellStart"/>
      <w:r w:rsidRPr="00B46B4B">
        <w:rPr>
          <w:rFonts w:hint="cs"/>
          <w:rtl/>
        </w:rPr>
        <w:t>בכח</w:t>
      </w:r>
      <w:proofErr w:type="spellEnd"/>
      <w:r w:rsidRPr="00B46B4B">
        <w:rPr>
          <w:rFonts w:hint="cs"/>
          <w:rtl/>
        </w:rPr>
        <w:t xml:space="preserve"> רצונם בלבד, על קשר האהבה והיחסים הטובים שלהם.</w:t>
      </w:r>
    </w:p>
    <w:p w:rsidR="006C0FF3" w:rsidRPr="00B46B4B" w:rsidRDefault="006C0FF3" w:rsidP="006C0FF3">
      <w:pPr>
        <w:rPr>
          <w:rFonts w:hint="cs"/>
          <w:rtl/>
        </w:rPr>
      </w:pPr>
      <w:r w:rsidRPr="00B46B4B">
        <w:rPr>
          <w:rFonts w:hint="cs"/>
          <w:rtl/>
        </w:rPr>
        <w:t>כפי שהדבר מתבטא, באופן גופני, במחזור טהרת המשפחה, ימי הטהרה הם ימים בהם מורגש התענוג בין בני הזוג, והם מפנים את פניהם זה אל זו, ואילו ימי הטומאה הם ימים בהם התענוג המשותף נעלם</w:t>
      </w:r>
      <w:r>
        <w:rPr>
          <w:rFonts w:hint="cs"/>
          <w:rtl/>
        </w:rPr>
        <w:t>, וכל אחד מרוכז יותר בעצמו ו</w:t>
      </w:r>
      <w:r w:rsidRPr="00B46B4B">
        <w:rPr>
          <w:rFonts w:hint="cs"/>
          <w:rtl/>
        </w:rPr>
        <w:t>חש את התענוג שלו באופן עצמאי ונפרד</w:t>
      </w:r>
      <w:r w:rsidRPr="00C37DFC">
        <w:rPr>
          <w:rStyle w:val="a5"/>
          <w:rtl/>
        </w:rPr>
        <w:endnoteReference w:id="5"/>
      </w:r>
      <w:r w:rsidRPr="00B46B4B">
        <w:rPr>
          <w:rFonts w:hint="cs"/>
          <w:rtl/>
        </w:rPr>
        <w:t xml:space="preserve"> (וכלשון המדרש ביחס לזמן הטומאה "זה הופך פניו לכאן וזו הופכת פניה לכאן"</w:t>
      </w:r>
      <w:r w:rsidRPr="00C37DFC">
        <w:rPr>
          <w:rStyle w:val="a5"/>
          <w:rtl/>
        </w:rPr>
        <w:endnoteReference w:id="6"/>
      </w:r>
      <w:r>
        <w:rPr>
          <w:rFonts w:hint="cs"/>
          <w:rtl/>
        </w:rPr>
        <w:t xml:space="preserve">). בימים בהם </w:t>
      </w:r>
      <w:r w:rsidRPr="00B46B4B">
        <w:rPr>
          <w:rFonts w:hint="cs"/>
          <w:rtl/>
        </w:rPr>
        <w:t>מורגש תענוג ביחס המשותף, תענוג קדוש זה משתקף גם ביחסי האיש</w:t>
      </w:r>
      <w:r>
        <w:rPr>
          <w:rFonts w:hint="cs"/>
          <w:rtl/>
        </w:rPr>
        <w:t>ות, ולכן הם מותרים ויש בהם מצוה.</w:t>
      </w:r>
      <w:r w:rsidRPr="00B46B4B">
        <w:rPr>
          <w:rFonts w:hint="cs"/>
          <w:rtl/>
        </w:rPr>
        <w:t xml:space="preserve"> אך בימים שכל אחד שקוע בתענוג אישי נפרד גם התענוג של יחסי האישות נעשה מנוכר וזנותי, </w:t>
      </w:r>
      <w:proofErr w:type="spellStart"/>
      <w:r w:rsidRPr="00B46B4B">
        <w:rPr>
          <w:rFonts w:hint="cs"/>
          <w:rtl/>
        </w:rPr>
        <w:t>ה"י</w:t>
      </w:r>
      <w:proofErr w:type="spellEnd"/>
      <w:r w:rsidRPr="00B46B4B">
        <w:rPr>
          <w:rFonts w:hint="cs"/>
          <w:rtl/>
        </w:rPr>
        <w:t xml:space="preserve">, ועל כן הוא אסור. </w:t>
      </w:r>
    </w:p>
    <w:p w:rsidR="006C0FF3" w:rsidRDefault="006C0FF3" w:rsidP="006C0FF3">
      <w:pPr>
        <w:rPr>
          <w:rFonts w:hint="cs"/>
          <w:rtl/>
        </w:rPr>
      </w:pPr>
      <w:r w:rsidRPr="00B46B4B">
        <w:rPr>
          <w:rFonts w:hint="cs"/>
          <w:rtl/>
        </w:rPr>
        <w:t xml:space="preserve">על יחס כגון דא בימי הטהרה, אם בני הזוג נותרים שקועים בעצמם כבימי הנדה, דרש הרבי </w:t>
      </w:r>
      <w:proofErr w:type="spellStart"/>
      <w:r w:rsidRPr="00B46B4B">
        <w:rPr>
          <w:rFonts w:hint="cs"/>
          <w:rtl/>
        </w:rPr>
        <w:t>מקוצק</w:t>
      </w:r>
      <w:proofErr w:type="spellEnd"/>
      <w:r w:rsidRPr="00C37DFC">
        <w:rPr>
          <w:rStyle w:val="a5"/>
          <w:rtl/>
        </w:rPr>
        <w:endnoteReference w:id="7"/>
      </w:r>
      <w:r w:rsidRPr="00B46B4B">
        <w:rPr>
          <w:rFonts w:hint="cs"/>
          <w:rtl/>
        </w:rPr>
        <w:t xml:space="preserve"> ש"אין ניאוף אלא באשת איש"</w:t>
      </w:r>
      <w:r w:rsidRPr="00C37DFC">
        <w:rPr>
          <w:rStyle w:val="a5"/>
          <w:rtl/>
        </w:rPr>
        <w:endnoteReference w:id="8"/>
      </w:r>
      <w:r w:rsidRPr="00B46B4B">
        <w:rPr>
          <w:rFonts w:hint="cs"/>
          <w:rtl/>
        </w:rPr>
        <w:t xml:space="preserve"> יכ</w:t>
      </w:r>
      <w:r>
        <w:rPr>
          <w:rFonts w:hint="cs"/>
          <w:rtl/>
        </w:rPr>
        <w:t xml:space="preserve">ול להיות גם באשתו של האדם עצמו. במצב זה האדם </w:t>
      </w:r>
      <w:r w:rsidRPr="00B46B4B">
        <w:rPr>
          <w:rFonts w:hint="cs"/>
          <w:rtl/>
        </w:rPr>
        <w:t>בגדר "נ</w:t>
      </w:r>
      <w:r w:rsidRPr="009E0F14">
        <w:rPr>
          <w:rFonts w:hint="cs"/>
          <w:spacing w:val="-14"/>
          <w:rtl/>
        </w:rPr>
        <w:t>ֹ</w:t>
      </w:r>
      <w:r w:rsidRPr="001C22C5">
        <w:rPr>
          <w:rFonts w:hint="cs"/>
          <w:spacing w:val="-6"/>
          <w:rtl/>
        </w:rPr>
        <w:t>א</w:t>
      </w:r>
      <w:r w:rsidRPr="00B46B4B">
        <w:rPr>
          <w:rFonts w:hint="cs"/>
          <w:rtl/>
        </w:rPr>
        <w:t xml:space="preserve">ף </w:t>
      </w:r>
      <w:proofErr w:type="spellStart"/>
      <w:r w:rsidRPr="00B46B4B">
        <w:rPr>
          <w:rFonts w:hint="cs"/>
          <w:rtl/>
        </w:rPr>
        <w:t>אשה</w:t>
      </w:r>
      <w:proofErr w:type="spellEnd"/>
      <w:r w:rsidRPr="00B46B4B">
        <w:rPr>
          <w:rFonts w:hint="cs"/>
          <w:rtl/>
        </w:rPr>
        <w:t xml:space="preserve"> [אשת איש, בניגוד לבתולה</w:t>
      </w:r>
      <w:r w:rsidRPr="00C37DFC">
        <w:rPr>
          <w:rStyle w:val="a5"/>
          <w:rtl/>
        </w:rPr>
        <w:endnoteReference w:id="9"/>
      </w:r>
      <w:r w:rsidRPr="00B46B4B">
        <w:rPr>
          <w:rFonts w:hint="cs"/>
          <w:rtl/>
        </w:rPr>
        <w:t>] חסר לב"</w:t>
      </w:r>
      <w:r w:rsidRPr="00C37DFC">
        <w:rPr>
          <w:rStyle w:val="a5"/>
          <w:rtl/>
        </w:rPr>
        <w:endnoteReference w:id="10"/>
      </w:r>
      <w:r w:rsidRPr="00B46B4B">
        <w:rPr>
          <w:rFonts w:hint="cs"/>
          <w:rtl/>
        </w:rPr>
        <w:t xml:space="preserve">, </w:t>
      </w:r>
      <w:r>
        <w:rPr>
          <w:rFonts w:hint="cs"/>
          <w:rtl/>
        </w:rPr>
        <w:t>בחסרון</w:t>
      </w:r>
      <w:r w:rsidRPr="00B46B4B">
        <w:rPr>
          <w:rFonts w:hint="cs"/>
          <w:rtl/>
        </w:rPr>
        <w:t xml:space="preserve"> היחס הלבבי-פנימי אליו מסוגלים </w:t>
      </w:r>
      <w:r>
        <w:rPr>
          <w:rFonts w:hint="cs"/>
          <w:rtl/>
        </w:rPr>
        <w:t xml:space="preserve">בני הזוג </w:t>
      </w:r>
      <w:r w:rsidRPr="00B46B4B">
        <w:rPr>
          <w:rFonts w:hint="cs"/>
          <w:rtl/>
        </w:rPr>
        <w:t xml:space="preserve">להגיע בקשר ביניהם. </w:t>
      </w:r>
    </w:p>
    <w:p w:rsidR="006C0FF3" w:rsidRPr="00B46B4B" w:rsidRDefault="006C0FF3" w:rsidP="006C0FF3">
      <w:pPr>
        <w:rPr>
          <w:rFonts w:hint="cs"/>
          <w:rtl/>
        </w:rPr>
      </w:pPr>
      <w:r w:rsidRPr="00B46B4B">
        <w:rPr>
          <w:rFonts w:hint="cs"/>
          <w:rtl/>
        </w:rPr>
        <w:lastRenderedPageBreak/>
        <w:t>אמנם, דווקא לכך נועד מחזור הטהרה, כששני בני הזוג מודעים לתוכן הפנימי שלו ועוקבים אחריו</w:t>
      </w:r>
      <w:r w:rsidRPr="00C37DFC">
        <w:rPr>
          <w:rStyle w:val="a5"/>
          <w:rtl/>
        </w:rPr>
        <w:endnoteReference w:id="11"/>
      </w:r>
      <w:r w:rsidRPr="00B46B4B">
        <w:rPr>
          <w:rFonts w:hint="cs"/>
          <w:rtl/>
        </w:rPr>
        <w:t xml:space="preserve">: </w:t>
      </w:r>
      <w:r>
        <w:rPr>
          <w:rFonts w:hint="cs"/>
          <w:rtl/>
        </w:rPr>
        <w:t xml:space="preserve">בימי ראית הדם על בני הזוג להיות </w:t>
      </w:r>
      <w:r w:rsidRPr="00B46B4B">
        <w:rPr>
          <w:rFonts w:hint="cs"/>
          <w:rtl/>
        </w:rPr>
        <w:t xml:space="preserve">מודעים </w:t>
      </w:r>
      <w:proofErr w:type="spellStart"/>
      <w:r>
        <w:rPr>
          <w:rFonts w:hint="cs"/>
          <w:rtl/>
        </w:rPr>
        <w:t>לחויה</w:t>
      </w:r>
      <w:proofErr w:type="spellEnd"/>
      <w:r>
        <w:rPr>
          <w:rFonts w:hint="cs"/>
          <w:rtl/>
        </w:rPr>
        <w:t xml:space="preserve"> האנוכית והמנוכרת הזו ולחוש בעקבות כך שפלות ו</w:t>
      </w:r>
      <w:r w:rsidRPr="00B46B4B">
        <w:rPr>
          <w:rFonts w:hint="cs"/>
          <w:rtl/>
        </w:rPr>
        <w:t>הכנעה</w:t>
      </w:r>
      <w:r>
        <w:rPr>
          <w:rFonts w:hint="cs"/>
          <w:rtl/>
        </w:rPr>
        <w:t xml:space="preserve">. מתוך כך עמלים להתנקות מאנוכיות זאת בימי </w:t>
      </w:r>
      <w:r w:rsidRPr="00B46B4B">
        <w:rPr>
          <w:rFonts w:hint="cs"/>
          <w:rtl/>
        </w:rPr>
        <w:t>ההבדלה והתיקון של שבעת הנקיים, ששיאם בטב</w:t>
      </w:r>
      <w:r>
        <w:rPr>
          <w:rFonts w:hint="cs"/>
          <w:rtl/>
        </w:rPr>
        <w:t>ילת הטהרה מכל שמץ של יחס שלילי. א</w:t>
      </w:r>
      <w:r w:rsidRPr="00B46B4B">
        <w:rPr>
          <w:rFonts w:hint="cs"/>
          <w:rtl/>
        </w:rPr>
        <w:t>ו</w:t>
      </w:r>
      <w:r>
        <w:rPr>
          <w:rFonts w:hint="cs"/>
          <w:rtl/>
        </w:rPr>
        <w:t xml:space="preserve"> </w:t>
      </w:r>
      <w:r w:rsidRPr="00B46B4B">
        <w:rPr>
          <w:rFonts w:hint="cs"/>
          <w:rtl/>
        </w:rPr>
        <w:t>אז ניתן להגיע להמתקה שלמה, כאשר זוכים להנאה משותפת שמתמקדת בזולת ובטובתו, פנים אל פנים, בימי הטהרה.</w:t>
      </w:r>
    </w:p>
    <w:p w:rsidR="005F4A47" w:rsidRDefault="00084E28">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E28" w:rsidRDefault="00084E28" w:rsidP="006C0FF3">
      <w:pPr>
        <w:spacing w:after="0" w:line="240" w:lineRule="auto"/>
      </w:pPr>
      <w:r>
        <w:separator/>
      </w:r>
    </w:p>
  </w:endnote>
  <w:endnote w:type="continuationSeparator" w:id="0">
    <w:p w:rsidR="00084E28" w:rsidRDefault="00084E28" w:rsidP="006C0FF3">
      <w:pPr>
        <w:spacing w:after="0" w:line="240" w:lineRule="auto"/>
      </w:pPr>
      <w:r>
        <w:continuationSeparator/>
      </w:r>
    </w:p>
  </w:endnote>
  <w:endnote w:id="1">
    <w:p w:rsidR="006C0FF3" w:rsidRDefault="006C0FF3" w:rsidP="006C0FF3">
      <w:pPr>
        <w:pStyle w:val="a3"/>
        <w:rPr>
          <w:rFonts w:hint="cs"/>
          <w:rtl/>
        </w:rPr>
      </w:pPr>
      <w:r>
        <w:rPr>
          <w:rtl/>
        </w:rPr>
        <w:tab/>
      </w:r>
      <w:r w:rsidRPr="004377AB">
        <w:rPr>
          <w:rtl/>
        </w:rPr>
        <w:endnoteRef/>
      </w:r>
      <w:r>
        <w:rPr>
          <w:rtl/>
        </w:rPr>
        <w:t>.</w:t>
      </w:r>
      <w:r>
        <w:rPr>
          <w:rtl/>
        </w:rPr>
        <w:tab/>
      </w:r>
      <w:r>
        <w:rPr>
          <w:rFonts w:hint="cs"/>
          <w:rtl/>
        </w:rPr>
        <w:t>קהלת ג, ה.</w:t>
      </w:r>
    </w:p>
  </w:endnote>
  <w:endnote w:id="2">
    <w:p w:rsidR="006C0FF3" w:rsidRDefault="006C0FF3" w:rsidP="006C0FF3">
      <w:pPr>
        <w:pStyle w:val="a3"/>
        <w:rPr>
          <w:rFonts w:hint="cs"/>
        </w:rPr>
      </w:pPr>
      <w:r>
        <w:rPr>
          <w:rtl/>
        </w:rPr>
        <w:tab/>
      </w:r>
      <w:r w:rsidRPr="004377AB">
        <w:rPr>
          <w:rtl/>
        </w:rPr>
        <w:endnoteRef/>
      </w:r>
      <w:r>
        <w:rPr>
          <w:rtl/>
        </w:rPr>
        <w:t>.</w:t>
      </w:r>
      <w:r>
        <w:rPr>
          <w:rtl/>
        </w:rPr>
        <w:tab/>
      </w:r>
      <w:proofErr w:type="spellStart"/>
      <w:r>
        <w:rPr>
          <w:rFonts w:hint="cs"/>
          <w:rtl/>
        </w:rPr>
        <w:t>לקוטי</w:t>
      </w:r>
      <w:proofErr w:type="spellEnd"/>
      <w:r>
        <w:rPr>
          <w:rFonts w:hint="cs"/>
          <w:rtl/>
        </w:rPr>
        <w:t xml:space="preserve"> תורה פרשת במדבר ד"ה "ואהיה אצלו אמון" סעיף ד (</w:t>
      </w:r>
      <w:proofErr w:type="spellStart"/>
      <w:r>
        <w:rPr>
          <w:rFonts w:hint="cs"/>
          <w:rtl/>
        </w:rPr>
        <w:t>יח</w:t>
      </w:r>
      <w:proofErr w:type="spellEnd"/>
      <w:r>
        <w:rPr>
          <w:rFonts w:hint="cs"/>
          <w:rtl/>
        </w:rPr>
        <w:t>, ג ואילך).</w:t>
      </w:r>
    </w:p>
  </w:endnote>
  <w:endnote w:id="3">
    <w:p w:rsidR="006C0FF3" w:rsidRDefault="006C0FF3" w:rsidP="006C0FF3">
      <w:pPr>
        <w:pStyle w:val="a3"/>
        <w:rPr>
          <w:rFonts w:hint="cs"/>
        </w:rPr>
      </w:pPr>
      <w:r>
        <w:rPr>
          <w:rtl/>
        </w:rPr>
        <w:tab/>
      </w:r>
      <w:r w:rsidRPr="004377AB">
        <w:rPr>
          <w:rtl/>
        </w:rPr>
        <w:endnoteRef/>
      </w:r>
      <w:r>
        <w:rPr>
          <w:rtl/>
        </w:rPr>
        <w:t>.</w:t>
      </w:r>
      <w:r>
        <w:rPr>
          <w:rtl/>
        </w:rPr>
        <w:tab/>
      </w:r>
      <w:r>
        <w:rPr>
          <w:rFonts w:hint="cs"/>
          <w:rtl/>
        </w:rPr>
        <w:t>וכנ"ל באריכות בתורה הקודמת.</w:t>
      </w:r>
    </w:p>
  </w:endnote>
  <w:endnote w:id="4">
    <w:p w:rsidR="006C0FF3" w:rsidRDefault="006C0FF3" w:rsidP="006C0FF3">
      <w:pPr>
        <w:pStyle w:val="a3"/>
        <w:rPr>
          <w:rFonts w:hint="cs"/>
          <w:rtl/>
        </w:rPr>
      </w:pPr>
      <w:r>
        <w:rPr>
          <w:rtl/>
        </w:rPr>
        <w:tab/>
      </w:r>
      <w:r w:rsidRPr="004377AB">
        <w:rPr>
          <w:rtl/>
        </w:rPr>
        <w:endnoteRef/>
      </w:r>
      <w:r>
        <w:rPr>
          <w:rtl/>
        </w:rPr>
        <w:t>.</w:t>
      </w:r>
      <w:r>
        <w:rPr>
          <w:rtl/>
        </w:rPr>
        <w:tab/>
      </w:r>
      <w:r>
        <w:rPr>
          <w:rFonts w:hint="cs"/>
          <w:rtl/>
        </w:rPr>
        <w:t xml:space="preserve">עוד על סוגי יחס אלו ראה יין משמח ח"א שער ב בתורות "מיחסי אחור באחור ליחסי פנים בפנים" </w:t>
      </w:r>
      <w:proofErr w:type="spellStart"/>
      <w:r>
        <w:rPr>
          <w:rFonts w:hint="cs"/>
          <w:rtl/>
        </w:rPr>
        <w:t>ו"גורעין</w:t>
      </w:r>
      <w:proofErr w:type="spellEnd"/>
      <w:r>
        <w:rPr>
          <w:rFonts w:hint="cs"/>
          <w:rtl/>
        </w:rPr>
        <w:t xml:space="preserve"> </w:t>
      </w:r>
      <w:proofErr w:type="spellStart"/>
      <w:r>
        <w:rPr>
          <w:rFonts w:hint="cs"/>
          <w:rtl/>
        </w:rPr>
        <w:t>ומוסיפין</w:t>
      </w:r>
      <w:proofErr w:type="spellEnd"/>
      <w:r>
        <w:rPr>
          <w:rFonts w:hint="cs"/>
          <w:rtl/>
        </w:rPr>
        <w:t xml:space="preserve"> </w:t>
      </w:r>
      <w:proofErr w:type="spellStart"/>
      <w:r>
        <w:rPr>
          <w:rFonts w:hint="cs"/>
          <w:rtl/>
        </w:rPr>
        <w:t>ודורשין</w:t>
      </w:r>
      <w:proofErr w:type="spellEnd"/>
      <w:r>
        <w:rPr>
          <w:rFonts w:hint="cs"/>
          <w:rtl/>
        </w:rPr>
        <w:t>".</w:t>
      </w:r>
    </w:p>
  </w:endnote>
  <w:endnote w:id="5">
    <w:p w:rsidR="006C0FF3" w:rsidRDefault="006C0FF3" w:rsidP="006C0FF3">
      <w:pPr>
        <w:pStyle w:val="a3"/>
        <w:rPr>
          <w:rFonts w:hint="cs"/>
          <w:rtl/>
        </w:rPr>
      </w:pPr>
      <w:r>
        <w:rPr>
          <w:rtl/>
        </w:rPr>
        <w:tab/>
      </w:r>
      <w:r w:rsidRPr="004377AB">
        <w:rPr>
          <w:rtl/>
        </w:rPr>
        <w:endnoteRef/>
      </w:r>
      <w:r>
        <w:rPr>
          <w:rtl/>
        </w:rPr>
        <w:t>.</w:t>
      </w:r>
      <w:r>
        <w:rPr>
          <w:rtl/>
        </w:rPr>
        <w:tab/>
      </w:r>
      <w:r>
        <w:rPr>
          <w:rFonts w:hint="cs"/>
          <w:rtl/>
        </w:rPr>
        <w:t>אך ראה לקמן בתורה "משחקת לפניו בכל עת".</w:t>
      </w:r>
    </w:p>
  </w:endnote>
  <w:endnote w:id="6">
    <w:p w:rsidR="006C0FF3" w:rsidRDefault="006C0FF3" w:rsidP="006C0FF3">
      <w:pPr>
        <w:pStyle w:val="a3"/>
        <w:rPr>
          <w:rFonts w:hint="cs"/>
          <w:rtl/>
        </w:rPr>
      </w:pPr>
      <w:r>
        <w:rPr>
          <w:rtl/>
        </w:rPr>
        <w:tab/>
      </w:r>
      <w:r w:rsidRPr="004377AB">
        <w:rPr>
          <w:rtl/>
        </w:rPr>
        <w:endnoteRef/>
      </w:r>
      <w:r>
        <w:rPr>
          <w:rtl/>
        </w:rPr>
        <w:t>.</w:t>
      </w:r>
      <w:r>
        <w:rPr>
          <w:rtl/>
        </w:rPr>
        <w:tab/>
      </w:r>
      <w:proofErr w:type="spellStart"/>
      <w:r>
        <w:rPr>
          <w:rFonts w:hint="cs"/>
          <w:rtl/>
        </w:rPr>
        <w:t>תנחומא</w:t>
      </w:r>
      <w:proofErr w:type="spellEnd"/>
      <w:r>
        <w:rPr>
          <w:rFonts w:hint="cs"/>
          <w:rtl/>
        </w:rPr>
        <w:t xml:space="preserve"> כי </w:t>
      </w:r>
      <w:proofErr w:type="spellStart"/>
      <w:r>
        <w:rPr>
          <w:rFonts w:hint="cs"/>
          <w:rtl/>
        </w:rPr>
        <w:t>תשא</w:t>
      </w:r>
      <w:proofErr w:type="spellEnd"/>
      <w:r>
        <w:rPr>
          <w:rFonts w:hint="cs"/>
          <w:rtl/>
        </w:rPr>
        <w:t xml:space="preserve"> ב (מובא לקמן שער ו בתורה "כשושנה אדומה ראיתי").</w:t>
      </w:r>
    </w:p>
  </w:endnote>
  <w:endnote w:id="7">
    <w:p w:rsidR="006C0FF3" w:rsidRDefault="006C0FF3" w:rsidP="006C0FF3">
      <w:pPr>
        <w:pStyle w:val="a3"/>
        <w:rPr>
          <w:rFonts w:hint="cs"/>
        </w:rPr>
      </w:pPr>
      <w:r>
        <w:rPr>
          <w:rtl/>
        </w:rPr>
        <w:tab/>
      </w:r>
      <w:r w:rsidRPr="004377AB">
        <w:rPr>
          <w:rtl/>
        </w:rPr>
        <w:endnoteRef/>
      </w:r>
      <w:r>
        <w:rPr>
          <w:rtl/>
        </w:rPr>
        <w:t>.</w:t>
      </w:r>
      <w:r>
        <w:rPr>
          <w:rtl/>
        </w:rPr>
        <w:tab/>
      </w:r>
      <w:r>
        <w:rPr>
          <w:rFonts w:hint="cs"/>
          <w:rtl/>
        </w:rPr>
        <w:t>אמת ואמונה אות תריב (ושם הלשון אף חריפה יותר, ומשמע שניאוף הוא דווקא באשתו שלו). ראה גם באר מים חיים בראשית ב.</w:t>
      </w:r>
    </w:p>
  </w:endnote>
  <w:endnote w:id="8">
    <w:p w:rsidR="006C0FF3" w:rsidRDefault="006C0FF3" w:rsidP="006C0FF3">
      <w:pPr>
        <w:pStyle w:val="a3"/>
        <w:rPr>
          <w:rFonts w:hint="cs"/>
        </w:rPr>
      </w:pPr>
      <w:r>
        <w:rPr>
          <w:rtl/>
        </w:rPr>
        <w:tab/>
      </w:r>
      <w:r w:rsidRPr="004377AB">
        <w:rPr>
          <w:rtl/>
        </w:rPr>
        <w:endnoteRef/>
      </w:r>
      <w:r>
        <w:rPr>
          <w:rtl/>
        </w:rPr>
        <w:t>.</w:t>
      </w:r>
      <w:r>
        <w:rPr>
          <w:rtl/>
        </w:rPr>
        <w:tab/>
      </w:r>
      <w:r>
        <w:rPr>
          <w:rFonts w:hint="cs"/>
          <w:rtl/>
        </w:rPr>
        <w:t xml:space="preserve">רש"י לשמות כ, </w:t>
      </w:r>
      <w:proofErr w:type="spellStart"/>
      <w:r>
        <w:rPr>
          <w:rFonts w:hint="cs"/>
          <w:rtl/>
        </w:rPr>
        <w:t>יג</w:t>
      </w:r>
      <w:proofErr w:type="spellEnd"/>
      <w:r>
        <w:rPr>
          <w:rFonts w:hint="cs"/>
          <w:rtl/>
        </w:rPr>
        <w:t>.</w:t>
      </w:r>
    </w:p>
  </w:endnote>
  <w:endnote w:id="9">
    <w:p w:rsidR="006C0FF3" w:rsidRDefault="006C0FF3" w:rsidP="006C0FF3">
      <w:pPr>
        <w:pStyle w:val="a3"/>
        <w:rPr>
          <w:rFonts w:hint="cs"/>
        </w:rPr>
      </w:pPr>
      <w:r>
        <w:rPr>
          <w:rtl/>
        </w:rPr>
        <w:tab/>
      </w:r>
      <w:r w:rsidRPr="004377AB">
        <w:rPr>
          <w:rtl/>
        </w:rPr>
        <w:endnoteRef/>
      </w:r>
      <w:r>
        <w:rPr>
          <w:rtl/>
        </w:rPr>
        <w:t>.</w:t>
      </w:r>
      <w:r>
        <w:rPr>
          <w:rtl/>
        </w:rPr>
        <w:tab/>
      </w:r>
      <w:r>
        <w:rPr>
          <w:rFonts w:hint="cs"/>
          <w:rtl/>
        </w:rPr>
        <w:t>כעולה שם מכל הקשר הפסוקים.</w:t>
      </w:r>
    </w:p>
  </w:endnote>
  <w:endnote w:id="10">
    <w:p w:rsidR="006C0FF3" w:rsidRDefault="006C0FF3" w:rsidP="006C0FF3">
      <w:pPr>
        <w:pStyle w:val="a3"/>
        <w:rPr>
          <w:rFonts w:hint="cs"/>
        </w:rPr>
      </w:pPr>
      <w:r>
        <w:rPr>
          <w:rtl/>
        </w:rPr>
        <w:tab/>
      </w:r>
      <w:r w:rsidRPr="004377AB">
        <w:rPr>
          <w:rtl/>
        </w:rPr>
        <w:endnoteRef/>
      </w:r>
      <w:r>
        <w:rPr>
          <w:rtl/>
        </w:rPr>
        <w:t>.</w:t>
      </w:r>
      <w:r>
        <w:rPr>
          <w:rtl/>
        </w:rPr>
        <w:tab/>
      </w:r>
      <w:r>
        <w:rPr>
          <w:rFonts w:hint="cs"/>
          <w:rtl/>
        </w:rPr>
        <w:t>משלי ו, לב.</w:t>
      </w:r>
    </w:p>
  </w:endnote>
  <w:endnote w:id="11">
    <w:p w:rsidR="006C0FF3" w:rsidRDefault="006C0FF3" w:rsidP="006C0FF3">
      <w:pPr>
        <w:pStyle w:val="a3"/>
        <w:rPr>
          <w:rFonts w:hint="cs"/>
          <w:rtl/>
        </w:rPr>
      </w:pPr>
      <w:r>
        <w:rPr>
          <w:rtl/>
        </w:rPr>
        <w:tab/>
      </w:r>
      <w:r w:rsidRPr="004377AB">
        <w:rPr>
          <w:rtl/>
        </w:rPr>
        <w:endnoteRef/>
      </w:r>
      <w:r>
        <w:rPr>
          <w:rtl/>
        </w:rPr>
        <w:t>.</w:t>
      </w:r>
      <w:r>
        <w:rPr>
          <w:rtl/>
        </w:rPr>
        <w:tab/>
      </w:r>
      <w:r>
        <w:rPr>
          <w:rFonts w:hint="cs"/>
          <w:rtl/>
        </w:rPr>
        <w:t>וראה בכל זה, באריכות, במאמר "טהרת המשפחה" בספר ברית הנישואין.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E28" w:rsidRDefault="00084E28" w:rsidP="006C0FF3">
      <w:pPr>
        <w:spacing w:after="0" w:line="240" w:lineRule="auto"/>
      </w:pPr>
      <w:r>
        <w:separator/>
      </w:r>
    </w:p>
  </w:footnote>
  <w:footnote w:type="continuationSeparator" w:id="0">
    <w:p w:rsidR="00084E28" w:rsidRDefault="00084E28" w:rsidP="006C0F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68"/>
    <w:rsid w:val="00061E65"/>
    <w:rsid w:val="00084E28"/>
    <w:rsid w:val="00686968"/>
    <w:rsid w:val="006C0FF3"/>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C0FF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6C0FF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C0FF3"/>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semiHidden/>
    <w:rsid w:val="006C0FF3"/>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6C0FF3"/>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6C0FF3"/>
    <w:rPr>
      <w:noProof/>
      <w:position w:val="-4"/>
      <w:szCs w:val="27"/>
      <w:vertAlign w:val="superscript"/>
    </w:rPr>
  </w:style>
  <w:style w:type="paragraph" w:customStyle="1" w:styleId="a7">
    <w:name w:val="פתיח תו"/>
    <w:basedOn w:val="a"/>
    <w:link w:val="a8"/>
    <w:rsid w:val="006C0FF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6C0FF3"/>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6C0F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C0FF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6C0FF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C0FF3"/>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semiHidden/>
    <w:rsid w:val="006C0FF3"/>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6C0FF3"/>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6C0FF3"/>
    <w:rPr>
      <w:noProof/>
      <w:position w:val="-4"/>
      <w:szCs w:val="27"/>
      <w:vertAlign w:val="superscript"/>
    </w:rPr>
  </w:style>
  <w:style w:type="paragraph" w:customStyle="1" w:styleId="a7">
    <w:name w:val="פתיח תו"/>
    <w:basedOn w:val="a"/>
    <w:link w:val="a8"/>
    <w:rsid w:val="006C0FF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6C0FF3"/>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6C0F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2275</Characters>
  <Application>Microsoft Office Word</Application>
  <DocSecurity>0</DocSecurity>
  <Lines>18</Lines>
  <Paragraphs>5</Paragraphs>
  <ScaleCrop>false</ScaleCrop>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2017-08-15T07:25:00Z</dcterms:created>
  <dcterms:modified xsi:type="dcterms:W3CDTF">2017-08-15T07:25:00Z</dcterms:modified>
</cp:coreProperties>
</file>