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D16" w:rsidRPr="00B46B4B" w:rsidRDefault="00ED0D16" w:rsidP="00ED0D16">
      <w:pPr>
        <w:pStyle w:val="2"/>
        <w:rPr>
          <w:rFonts w:hint="cs"/>
          <w:rtl/>
        </w:rPr>
      </w:pPr>
      <w:bookmarkStart w:id="0" w:name="_Toc188281751"/>
      <w:bookmarkStart w:id="1" w:name="_Ref188282092"/>
      <w:r w:rsidRPr="00B46B4B">
        <w:rPr>
          <w:rFonts w:hint="cs"/>
          <w:rtl/>
        </w:rPr>
        <w:t>"משחקת לפניו בכל עת"</w:t>
      </w:r>
      <w:bookmarkEnd w:id="0"/>
      <w:bookmarkEnd w:id="1"/>
    </w:p>
    <w:p w:rsidR="00ED0D16" w:rsidRPr="00EC3D1D" w:rsidRDefault="00ED0D16" w:rsidP="00ED0D16">
      <w:pPr>
        <w:keepNext/>
        <w:framePr w:dropCap="drop" w:lines="2" w:hSpace="57" w:wrap="around" w:vAnchor="text" w:hAnchor="text" w:xAlign="right"/>
        <w:spacing w:after="0" w:line="760" w:lineRule="exact"/>
        <w:textAlignment w:val="baseline"/>
        <w:rPr>
          <w:rStyle w:val="a9"/>
          <w:rtl/>
        </w:rPr>
      </w:pPr>
      <w:r w:rsidRPr="00EC3D1D">
        <w:rPr>
          <w:rStyle w:val="a9"/>
          <w:rFonts w:hint="cs"/>
          <w:rtl/>
        </w:rPr>
        <w:t>ע</w:t>
      </w:r>
    </w:p>
    <w:p w:rsidR="00ED0D16" w:rsidRPr="00B46B4B" w:rsidRDefault="00ED0D16" w:rsidP="00ED0D16">
      <w:pPr>
        <w:rPr>
          <w:rFonts w:hint="cs"/>
          <w:rtl/>
        </w:rPr>
      </w:pPr>
      <w:r w:rsidRPr="00B46B4B">
        <w:rPr>
          <w:rFonts w:hint="cs"/>
          <w:rtl/>
        </w:rPr>
        <w:t xml:space="preserve">ל הפסוק "משחקת לפניו </w:t>
      </w:r>
      <w:r w:rsidRPr="00B04702">
        <w:rPr>
          <w:rStyle w:val="a3"/>
          <w:rFonts w:hint="cs"/>
          <w:rtl/>
        </w:rPr>
        <w:t>בכל עת</w:t>
      </w:r>
      <w:r w:rsidRPr="00B46B4B">
        <w:rPr>
          <w:rFonts w:hint="cs"/>
          <w:rtl/>
        </w:rPr>
        <w:t>"</w:t>
      </w:r>
      <w:r w:rsidRPr="00C37DFC">
        <w:rPr>
          <w:rStyle w:val="a6"/>
          <w:rtl/>
        </w:rPr>
        <w:endnoteReference w:id="1"/>
      </w:r>
      <w:r w:rsidRPr="00B46B4B">
        <w:rPr>
          <w:rFonts w:hint="cs"/>
          <w:rtl/>
        </w:rPr>
        <w:t xml:space="preserve"> מבואר בדרושי החסידות</w:t>
      </w:r>
      <w:r w:rsidRPr="00C37DFC">
        <w:rPr>
          <w:rStyle w:val="a6"/>
          <w:rtl/>
        </w:rPr>
        <w:endnoteReference w:id="2"/>
      </w:r>
      <w:r w:rsidRPr="00B46B4B">
        <w:rPr>
          <w:rFonts w:hint="cs"/>
          <w:rtl/>
        </w:rPr>
        <w:t xml:space="preserve"> כי בכל </w:t>
      </w:r>
      <w:proofErr w:type="spellStart"/>
      <w:r w:rsidRPr="00B46B4B">
        <w:rPr>
          <w:rFonts w:hint="cs"/>
          <w:b/>
          <w:bCs/>
          <w:sz w:val="28"/>
          <w:szCs w:val="28"/>
          <w:rtl/>
        </w:rPr>
        <w:t>כח</w:t>
      </w:r>
      <w:proofErr w:type="spellEnd"/>
      <w:r w:rsidRPr="00B46B4B">
        <w:rPr>
          <w:rFonts w:hint="cs"/>
          <w:rtl/>
        </w:rPr>
        <w:t xml:space="preserve"> העתים שבספר קהלת</w:t>
      </w:r>
      <w:r w:rsidRPr="00C37DFC">
        <w:rPr>
          <w:rStyle w:val="a6"/>
          <w:rtl/>
        </w:rPr>
        <w:endnoteReference w:id="3"/>
      </w:r>
      <w:r w:rsidRPr="00B46B4B">
        <w:rPr>
          <w:rFonts w:hint="cs"/>
          <w:rtl/>
        </w:rPr>
        <w:t xml:space="preserve">, </w:t>
      </w:r>
      <w:r w:rsidRPr="00B46B4B">
        <w:rPr>
          <w:rFonts w:hint="cs"/>
          <w:b/>
          <w:bCs/>
          <w:sz w:val="28"/>
          <w:szCs w:val="28"/>
          <w:rtl/>
        </w:rPr>
        <w:t>יד</w:t>
      </w:r>
      <w:r w:rsidRPr="00B46B4B">
        <w:rPr>
          <w:rFonts w:hint="cs"/>
          <w:rtl/>
        </w:rPr>
        <w:t xml:space="preserve"> עתים לטובה ו-</w:t>
      </w:r>
      <w:r w:rsidRPr="00B46B4B">
        <w:rPr>
          <w:rFonts w:hint="cs"/>
          <w:b/>
          <w:bCs/>
          <w:sz w:val="28"/>
          <w:szCs w:val="28"/>
          <w:rtl/>
        </w:rPr>
        <w:t>יד</w:t>
      </w:r>
      <w:r w:rsidRPr="00B46B4B">
        <w:rPr>
          <w:rFonts w:hint="cs"/>
          <w:rtl/>
        </w:rPr>
        <w:t xml:space="preserve"> עתים לרעה</w:t>
      </w:r>
      <w:r>
        <w:rPr>
          <w:rFonts w:hint="cs"/>
          <w:rtl/>
        </w:rPr>
        <w:t>,</w:t>
      </w:r>
      <w:r w:rsidRPr="00B46B4B">
        <w:rPr>
          <w:rFonts w:hint="cs"/>
          <w:rtl/>
        </w:rPr>
        <w:t xml:space="preserve"> יש ממד של שחוק ושעשוע. </w:t>
      </w:r>
      <w:r>
        <w:rPr>
          <w:rFonts w:hint="cs"/>
          <w:rtl/>
        </w:rPr>
        <w:t xml:space="preserve">בחיי הנישואין </w:t>
      </w:r>
      <w:proofErr w:type="spellStart"/>
      <w:r w:rsidRPr="00B457A1">
        <w:rPr>
          <w:rFonts w:hint="cs"/>
          <w:b/>
          <w:bCs/>
          <w:sz w:val="28"/>
          <w:szCs w:val="28"/>
          <w:rtl/>
        </w:rPr>
        <w:t>כח</w:t>
      </w:r>
      <w:proofErr w:type="spellEnd"/>
      <w:r>
        <w:rPr>
          <w:rFonts w:hint="cs"/>
          <w:rtl/>
        </w:rPr>
        <w:t xml:space="preserve"> העתים מכוונים כנגד </w:t>
      </w:r>
      <w:proofErr w:type="spellStart"/>
      <w:r w:rsidRPr="00B46B4B">
        <w:rPr>
          <w:rFonts w:hint="cs"/>
          <w:b/>
          <w:bCs/>
          <w:sz w:val="28"/>
          <w:szCs w:val="28"/>
          <w:rtl/>
        </w:rPr>
        <w:t>כח</w:t>
      </w:r>
      <w:proofErr w:type="spellEnd"/>
      <w:r w:rsidRPr="00B46B4B">
        <w:rPr>
          <w:rFonts w:hint="cs"/>
          <w:rtl/>
        </w:rPr>
        <w:t xml:space="preserve"> ימי מחזור </w:t>
      </w:r>
      <w:proofErr w:type="spellStart"/>
      <w:r w:rsidRPr="00B46B4B">
        <w:rPr>
          <w:rFonts w:hint="cs"/>
          <w:rtl/>
        </w:rPr>
        <w:t>האשה</w:t>
      </w:r>
      <w:proofErr w:type="spellEnd"/>
      <w:r>
        <w:rPr>
          <w:rFonts w:hint="cs"/>
          <w:rtl/>
        </w:rPr>
        <w:t>, עתים לקירוב ועתים לריחוק, זמני טהרה וזמני טומאה</w:t>
      </w:r>
      <w:r w:rsidRPr="00C37DFC">
        <w:rPr>
          <w:rStyle w:val="a6"/>
          <w:rtl/>
        </w:rPr>
        <w:endnoteReference w:id="4"/>
      </w:r>
      <w:r>
        <w:rPr>
          <w:rFonts w:hint="cs"/>
          <w:rtl/>
        </w:rPr>
        <w:t xml:space="preserve">. הדוגמה העיקרית לשינויים הללו של "בכל עת" </w:t>
      </w:r>
      <w:r w:rsidRPr="00B46B4B">
        <w:rPr>
          <w:rFonts w:hint="cs"/>
          <w:rtl/>
        </w:rPr>
        <w:t>היא "עת לחבוק ועת לרחוק מחבק"</w:t>
      </w:r>
      <w:r w:rsidRPr="00C37DFC">
        <w:rPr>
          <w:rStyle w:val="a6"/>
          <w:rtl/>
        </w:rPr>
        <w:endnoteReference w:id="5"/>
      </w:r>
      <w:r>
        <w:rPr>
          <w:rFonts w:hint="cs"/>
          <w:rtl/>
        </w:rPr>
        <w:t xml:space="preserve"> </w:t>
      </w:r>
      <w:r>
        <w:rPr>
          <w:rtl/>
        </w:rPr>
        <w:t>–</w:t>
      </w:r>
      <w:r w:rsidRPr="00B46B4B">
        <w:rPr>
          <w:rFonts w:hint="cs"/>
          <w:rtl/>
        </w:rPr>
        <w:t xml:space="preserve"> המעבר הקבוע מעמידה פנים בפנים לעמידה אחור באחור</w:t>
      </w:r>
      <w:r w:rsidRPr="00C37DFC">
        <w:rPr>
          <w:rStyle w:val="a6"/>
          <w:rtl/>
        </w:rPr>
        <w:endnoteReference w:id="6"/>
      </w:r>
      <w:r>
        <w:rPr>
          <w:rFonts w:hint="cs"/>
          <w:rtl/>
        </w:rPr>
        <w:t>.</w:t>
      </w:r>
      <w:r w:rsidRPr="00B46B4B">
        <w:rPr>
          <w:rFonts w:hint="cs"/>
          <w:rtl/>
        </w:rPr>
        <w:t xml:space="preserve"> יש להתבונן כיצד תהליך זה, שעל פניו מבטא שינויים של קירוב וריחוק, יכול להיות רווי כולו רק קירוב, שחוק ושעשוע.</w:t>
      </w:r>
    </w:p>
    <w:p w:rsidR="00ED0D16" w:rsidRPr="00B46B4B" w:rsidRDefault="00ED0D16" w:rsidP="00ED0D16">
      <w:pPr>
        <w:rPr>
          <w:rFonts w:hint="cs"/>
          <w:rtl/>
        </w:rPr>
      </w:pPr>
      <w:r w:rsidRPr="00B46B4B">
        <w:rPr>
          <w:rFonts w:hint="cs"/>
          <w:rtl/>
        </w:rPr>
        <w:t>על הפסוק "אתהלך לפני הוי' בארצות החיים"</w:t>
      </w:r>
      <w:r w:rsidRPr="00C37DFC">
        <w:rPr>
          <w:rStyle w:val="a6"/>
          <w:rtl/>
        </w:rPr>
        <w:endnoteReference w:id="7"/>
      </w:r>
      <w:r w:rsidRPr="00B46B4B">
        <w:rPr>
          <w:rFonts w:hint="cs"/>
          <w:rtl/>
        </w:rPr>
        <w:t xml:space="preserve"> מבואר</w:t>
      </w:r>
      <w:r w:rsidRPr="00C37DFC">
        <w:rPr>
          <w:rStyle w:val="a6"/>
          <w:rtl/>
        </w:rPr>
        <w:endnoteReference w:id="8"/>
      </w:r>
      <w:r w:rsidRPr="00B46B4B">
        <w:rPr>
          <w:rFonts w:hint="cs"/>
          <w:rtl/>
        </w:rPr>
        <w:t xml:space="preserve"> כי התהלכות היינו תהליך קבוע של התקדמות ונסיגה, של "רצוא ושוב"</w:t>
      </w:r>
      <w:r w:rsidRPr="00C37DFC">
        <w:rPr>
          <w:rStyle w:val="a6"/>
          <w:rtl/>
        </w:rPr>
        <w:endnoteReference w:id="9"/>
      </w:r>
      <w:r w:rsidRPr="00B46B4B">
        <w:rPr>
          <w:rFonts w:hint="cs"/>
          <w:rtl/>
        </w:rPr>
        <w:t xml:space="preserve"> (</w:t>
      </w:r>
      <w:r>
        <w:rPr>
          <w:rFonts w:hint="cs"/>
          <w:rtl/>
        </w:rPr>
        <w:t xml:space="preserve">זאת </w:t>
      </w:r>
      <w:r w:rsidRPr="00B46B4B">
        <w:rPr>
          <w:rFonts w:hint="cs"/>
          <w:rtl/>
        </w:rPr>
        <w:t xml:space="preserve">בשונה מהליכה סתם, שהיא התקדמות ישירה בלבד). כך היא </w:t>
      </w:r>
      <w:proofErr w:type="spellStart"/>
      <w:r w:rsidRPr="00B46B4B">
        <w:rPr>
          <w:rFonts w:hint="cs"/>
          <w:rtl/>
        </w:rPr>
        <w:t>המדה</w:t>
      </w:r>
      <w:proofErr w:type="spellEnd"/>
      <w:r w:rsidRPr="00B46B4B">
        <w:rPr>
          <w:rFonts w:hint="cs"/>
          <w:rtl/>
        </w:rPr>
        <w:t xml:space="preserve"> </w:t>
      </w:r>
      <w:r w:rsidRPr="00B46B4B">
        <w:rPr>
          <w:rtl/>
        </w:rPr>
        <w:t>–</w:t>
      </w:r>
      <w:r w:rsidRPr="00B46B4B">
        <w:rPr>
          <w:rFonts w:hint="cs"/>
          <w:rtl/>
        </w:rPr>
        <w:t xml:space="preserve"> ביחסים עם ה', בדומה לכל מערכת יחסים, נע האדם תמיד בין תחושת התקרבות לתחושת התרחקות, וחוזר חלילה. אמנם, הצדיק זוכה לחוש כי </w:t>
      </w:r>
      <w:r>
        <w:rPr>
          <w:rFonts w:hint="cs"/>
          <w:rtl/>
        </w:rPr>
        <w:t>בין כך ובין כך הוא "לפני הוי'", ש</w:t>
      </w:r>
      <w:r w:rsidRPr="00B46B4B">
        <w:rPr>
          <w:rFonts w:hint="cs"/>
          <w:rtl/>
        </w:rPr>
        <w:t>גם הת</w:t>
      </w:r>
      <w:r>
        <w:rPr>
          <w:rFonts w:hint="cs"/>
          <w:rtl/>
        </w:rPr>
        <w:t xml:space="preserve">רחקותו היא לפני ה' ומכוונת ממנו. </w:t>
      </w:r>
      <w:r w:rsidRPr="00B46B4B">
        <w:rPr>
          <w:rFonts w:hint="eastAsia"/>
          <w:rtl/>
        </w:rPr>
        <w:t xml:space="preserve">אזי הוא זוכה להיות תמיד </w:t>
      </w:r>
      <w:r>
        <w:rPr>
          <w:rFonts w:hint="cs"/>
          <w:rtl/>
        </w:rPr>
        <w:t xml:space="preserve">"בארצות החיים", </w:t>
      </w:r>
      <w:r w:rsidRPr="00B46B4B">
        <w:rPr>
          <w:rFonts w:hint="cs"/>
          <w:rtl/>
        </w:rPr>
        <w:t xml:space="preserve">ולא לנוע בין ארץ חיים לארץ </w:t>
      </w:r>
      <w:r>
        <w:rPr>
          <w:rFonts w:hint="cs"/>
          <w:rtl/>
        </w:rPr>
        <w:t>צלמות ותלאובות</w:t>
      </w:r>
      <w:r w:rsidRPr="00B46B4B">
        <w:rPr>
          <w:rFonts w:hint="cs"/>
          <w:rtl/>
        </w:rPr>
        <w:t>. ואדרבה, בעת הריחוק מתגברת ההכרה כי דווקא "מרחוק הוי' נראה לי"</w:t>
      </w:r>
      <w:bookmarkStart w:id="2" w:name="_Ref188039026"/>
      <w:r w:rsidRPr="00C37DFC">
        <w:rPr>
          <w:rStyle w:val="a6"/>
          <w:rtl/>
        </w:rPr>
        <w:endnoteReference w:id="10"/>
      </w:r>
      <w:bookmarkEnd w:id="2"/>
      <w:r w:rsidRPr="00B46B4B">
        <w:rPr>
          <w:rFonts w:hint="cs"/>
          <w:rtl/>
        </w:rPr>
        <w:t>.</w:t>
      </w:r>
    </w:p>
    <w:p w:rsidR="00ED0D16" w:rsidRDefault="00ED0D16" w:rsidP="00ED0D16">
      <w:pPr>
        <w:rPr>
          <w:rFonts w:hint="cs"/>
          <w:rtl/>
        </w:rPr>
      </w:pPr>
      <w:r w:rsidRPr="00B46B4B">
        <w:rPr>
          <w:rFonts w:hint="cs"/>
          <w:rtl/>
        </w:rPr>
        <w:t xml:space="preserve">תודעה זו היא יסוד </w:t>
      </w:r>
      <w:proofErr w:type="spellStart"/>
      <w:r w:rsidRPr="00B46B4B">
        <w:rPr>
          <w:rFonts w:hint="cs"/>
          <w:rtl/>
        </w:rPr>
        <w:t>חוית</w:t>
      </w:r>
      <w:proofErr w:type="spellEnd"/>
      <w:r w:rsidRPr="00B46B4B">
        <w:rPr>
          <w:rFonts w:hint="cs"/>
          <w:rtl/>
        </w:rPr>
        <w:t xml:space="preserve"> השחוק והשעש</w:t>
      </w:r>
      <w:r>
        <w:rPr>
          <w:rFonts w:hint="cs"/>
          <w:rtl/>
        </w:rPr>
        <w:t>וע "בכל עת", גם בזמנים של ריחוק,</w:t>
      </w:r>
      <w:r w:rsidRPr="00B46B4B">
        <w:rPr>
          <w:rFonts w:hint="cs"/>
          <w:rtl/>
        </w:rPr>
        <w:t xml:space="preserve"> תוך הכרה שגם הריחוק הוא חלק מהשעשוע המשותף, ואף יש בו קרבה פנימית עמוקה שאינה קיימת בקירוב הגלוי. אצל איש ואשה הרואים כך את פני הדברים מורגש חיבור ממשי בכל עתות החיים, כל פעם ברמה אחרת ובאופן אחר. אז אין כל חלישות דעת בתקופת המחזור, והתגובה הספונטאנית לכך </w:t>
      </w:r>
      <w:proofErr w:type="spellStart"/>
      <w:r w:rsidRPr="00B46B4B">
        <w:rPr>
          <w:rFonts w:hint="cs"/>
          <w:rtl/>
        </w:rPr>
        <w:t>שהאשה</w:t>
      </w:r>
      <w:proofErr w:type="spellEnd"/>
      <w:r w:rsidRPr="00B46B4B">
        <w:rPr>
          <w:rFonts w:hint="cs"/>
          <w:rtl/>
        </w:rPr>
        <w:t xml:space="preserve"> מספרת "ראיתי דם" היא בבחינת "גילו ברעדה"</w:t>
      </w:r>
      <w:r w:rsidRPr="00C37DFC">
        <w:rPr>
          <w:rStyle w:val="a6"/>
          <w:rtl/>
        </w:rPr>
        <w:endnoteReference w:id="11"/>
      </w:r>
      <w:r>
        <w:rPr>
          <w:rFonts w:hint="cs"/>
          <w:rtl/>
        </w:rPr>
        <w:t xml:space="preserve">. זו </w:t>
      </w:r>
      <w:r w:rsidRPr="00B46B4B">
        <w:rPr>
          <w:rFonts w:hint="cs"/>
          <w:rtl/>
        </w:rPr>
        <w:t>שמחה על גיוון הקשר</w:t>
      </w:r>
      <w:r>
        <w:rPr>
          <w:rFonts w:hint="cs"/>
          <w:rtl/>
        </w:rPr>
        <w:t>,</w:t>
      </w:r>
      <w:r w:rsidRPr="00B46B4B">
        <w:rPr>
          <w:rFonts w:hint="cs"/>
          <w:rtl/>
        </w:rPr>
        <w:t xml:space="preserve"> תוך </w:t>
      </w:r>
      <w:r>
        <w:rPr>
          <w:rFonts w:hint="cs"/>
          <w:rtl/>
        </w:rPr>
        <w:t xml:space="preserve">זהירות והקפדה על כל פרטי ההלכות, אך </w:t>
      </w:r>
      <w:r w:rsidRPr="00B46B4B">
        <w:rPr>
          <w:rFonts w:hint="cs"/>
          <w:rtl/>
        </w:rPr>
        <w:t>ללא כל עצבות (הנובעת מפולחן עצמי</w:t>
      </w:r>
      <w:r w:rsidRPr="00C37DFC">
        <w:rPr>
          <w:rStyle w:val="a6"/>
          <w:rtl/>
        </w:rPr>
        <w:endnoteReference w:id="12"/>
      </w:r>
      <w:r w:rsidRPr="00B46B4B">
        <w:rPr>
          <w:rFonts w:hint="cs"/>
          <w:rtl/>
        </w:rPr>
        <w:t xml:space="preserve">, הדורש תמיד את הבלטת האדם ואת תחושת היותו קרוב ורצוי). </w:t>
      </w:r>
    </w:p>
    <w:p w:rsidR="00ED0D16" w:rsidRPr="00B46B4B" w:rsidRDefault="00ED0D16" w:rsidP="00ED0D16">
      <w:pPr>
        <w:rPr>
          <w:rFonts w:hint="cs"/>
          <w:rtl/>
        </w:rPr>
      </w:pPr>
      <w:r w:rsidRPr="00B46B4B">
        <w:rPr>
          <w:rFonts w:hint="cs"/>
          <w:rtl/>
        </w:rPr>
        <w:t xml:space="preserve">ורמז: </w:t>
      </w:r>
      <w:r w:rsidRPr="00B46B4B">
        <w:rPr>
          <w:rFonts w:hint="cs"/>
          <w:b/>
          <w:bCs/>
          <w:sz w:val="28"/>
          <w:szCs w:val="28"/>
          <w:rtl/>
        </w:rPr>
        <w:t>ראיתי</w:t>
      </w:r>
      <w:r w:rsidRPr="00B46B4B">
        <w:rPr>
          <w:rFonts w:hint="cs"/>
          <w:rtl/>
        </w:rPr>
        <w:t xml:space="preserve"> </w:t>
      </w:r>
      <w:r w:rsidRPr="00B46B4B">
        <w:rPr>
          <w:rFonts w:hint="cs"/>
          <w:b/>
          <w:bCs/>
          <w:sz w:val="28"/>
          <w:szCs w:val="28"/>
          <w:rtl/>
        </w:rPr>
        <w:t>דם</w:t>
      </w:r>
      <w:r w:rsidRPr="00B46B4B">
        <w:rPr>
          <w:rFonts w:hint="cs"/>
          <w:rtl/>
        </w:rPr>
        <w:t xml:space="preserve"> עולה "</w:t>
      </w:r>
      <w:r w:rsidRPr="00B46B4B">
        <w:rPr>
          <w:rFonts w:hint="cs"/>
          <w:b/>
          <w:bCs/>
          <w:sz w:val="28"/>
          <w:szCs w:val="28"/>
          <w:rtl/>
        </w:rPr>
        <w:t>הצנע</w:t>
      </w:r>
      <w:r w:rsidRPr="00B46B4B">
        <w:rPr>
          <w:rFonts w:hint="cs"/>
          <w:rtl/>
        </w:rPr>
        <w:t xml:space="preserve"> </w:t>
      </w:r>
      <w:r w:rsidRPr="00B46B4B">
        <w:rPr>
          <w:rFonts w:hint="cs"/>
          <w:b/>
          <w:bCs/>
          <w:sz w:val="28"/>
          <w:szCs w:val="28"/>
          <w:rtl/>
        </w:rPr>
        <w:t>לכת</w:t>
      </w:r>
      <w:r w:rsidRPr="00B46B4B">
        <w:rPr>
          <w:rFonts w:hint="cs"/>
          <w:rtl/>
        </w:rPr>
        <w:t>"</w:t>
      </w:r>
      <w:r w:rsidRPr="00C37DFC">
        <w:rPr>
          <w:rStyle w:val="a6"/>
          <w:rtl/>
        </w:rPr>
        <w:endnoteReference w:id="13"/>
      </w:r>
      <w:r>
        <w:rPr>
          <w:rFonts w:hint="cs"/>
          <w:rtl/>
        </w:rPr>
        <w:t>.</w:t>
      </w:r>
      <w:r w:rsidRPr="00B46B4B">
        <w:rPr>
          <w:rFonts w:hint="cs"/>
          <w:rtl/>
        </w:rPr>
        <w:t xml:space="preserve"> גם </w:t>
      </w:r>
      <w:r>
        <w:rPr>
          <w:rFonts w:hint="cs"/>
          <w:rtl/>
        </w:rPr>
        <w:t xml:space="preserve">ראית הדם היא </w:t>
      </w:r>
      <w:r w:rsidRPr="00B46B4B">
        <w:rPr>
          <w:rFonts w:hint="cs"/>
          <w:rtl/>
        </w:rPr>
        <w:t>חלק מתנועת ההליכה המשותפת של בני הזוג</w:t>
      </w:r>
      <w:r>
        <w:rPr>
          <w:rFonts w:hint="cs"/>
          <w:rtl/>
        </w:rPr>
        <w:t xml:space="preserve">, "אתהלך לפני הוי' בארצות החיים". </w:t>
      </w:r>
      <w:r w:rsidRPr="00B46B4B">
        <w:rPr>
          <w:rFonts w:hint="cs"/>
          <w:rtl/>
        </w:rPr>
        <w:t>"</w:t>
      </w:r>
      <w:r w:rsidRPr="00B46B4B">
        <w:rPr>
          <w:rFonts w:hint="cs"/>
          <w:b/>
          <w:bCs/>
          <w:sz w:val="28"/>
          <w:szCs w:val="28"/>
          <w:rtl/>
        </w:rPr>
        <w:t>הצנע</w:t>
      </w:r>
      <w:r w:rsidRPr="00B46B4B">
        <w:rPr>
          <w:rFonts w:hint="cs"/>
          <w:rtl/>
        </w:rPr>
        <w:t xml:space="preserve">" רומז לתנועת הצדיק הצנועה, </w:t>
      </w:r>
      <w:r w:rsidRPr="00B46B4B">
        <w:rPr>
          <w:rFonts w:hint="cs"/>
          <w:b/>
          <w:bCs/>
          <w:sz w:val="28"/>
          <w:szCs w:val="28"/>
          <w:rtl/>
        </w:rPr>
        <w:t>ה</w:t>
      </w:r>
      <w:r w:rsidRPr="00B46B4B">
        <w:rPr>
          <w:rFonts w:hint="cs"/>
          <w:rtl/>
        </w:rPr>
        <w:t>-</w:t>
      </w:r>
      <w:r w:rsidRPr="00B46B4B">
        <w:rPr>
          <w:rFonts w:hint="cs"/>
          <w:b/>
          <w:bCs/>
          <w:sz w:val="28"/>
          <w:szCs w:val="28"/>
          <w:rtl/>
        </w:rPr>
        <w:t>צ</w:t>
      </w:r>
      <w:r w:rsidRPr="00B46B4B">
        <w:rPr>
          <w:rFonts w:hint="cs"/>
          <w:rtl/>
        </w:rPr>
        <w:t xml:space="preserve">דיק </w:t>
      </w:r>
      <w:r w:rsidRPr="00B46B4B">
        <w:rPr>
          <w:rFonts w:hint="cs"/>
          <w:b/>
          <w:bCs/>
          <w:sz w:val="28"/>
          <w:szCs w:val="28"/>
          <w:rtl/>
        </w:rPr>
        <w:t>נע</w:t>
      </w:r>
      <w:r w:rsidRPr="00C37DFC">
        <w:rPr>
          <w:rStyle w:val="a6"/>
          <w:rtl/>
        </w:rPr>
        <w:endnoteReference w:id="14"/>
      </w:r>
      <w:r w:rsidRPr="00B46B4B">
        <w:rPr>
          <w:rFonts w:hint="cs"/>
          <w:rtl/>
        </w:rPr>
        <w:t xml:space="preserve">, </w:t>
      </w:r>
      <w:r>
        <w:rPr>
          <w:rFonts w:hint="cs"/>
          <w:rtl/>
        </w:rPr>
        <w:t xml:space="preserve">ובהליכה המשותפת של בני הזוג זהו זמן </w:t>
      </w:r>
      <w:r w:rsidRPr="00B46B4B">
        <w:rPr>
          <w:rFonts w:hint="cs"/>
          <w:rtl/>
        </w:rPr>
        <w:t>בו הקשר נעשה צנוע ונסתר יותר, ועם זאת גם עמוק ועצמי יותר.</w:t>
      </w:r>
    </w:p>
    <w:p w:rsidR="00ED0D16" w:rsidRPr="00B46B4B" w:rsidRDefault="00ED0D16" w:rsidP="00ED0D16">
      <w:pPr>
        <w:rPr>
          <w:rFonts w:hint="cs"/>
          <w:rtl/>
        </w:rPr>
      </w:pPr>
      <w:r w:rsidRPr="00B46B4B">
        <w:rPr>
          <w:rFonts w:hint="cs"/>
          <w:rtl/>
        </w:rPr>
        <w:t>בכלל, "שמחה של מצ</w:t>
      </w:r>
      <w:r>
        <w:rPr>
          <w:rFonts w:hint="cs"/>
          <w:rtl/>
        </w:rPr>
        <w:t>וה" צריכה להיות בכל מחזור החיים.</w:t>
      </w:r>
      <w:r w:rsidRPr="00B46B4B">
        <w:rPr>
          <w:rFonts w:hint="cs"/>
          <w:rtl/>
        </w:rPr>
        <w:t xml:space="preserve"> בזמני קרבה </w:t>
      </w:r>
      <w:r>
        <w:rPr>
          <w:rFonts w:hint="cs"/>
          <w:rtl/>
        </w:rPr>
        <w:t>יש</w:t>
      </w:r>
      <w:r w:rsidRPr="00B46B4B">
        <w:rPr>
          <w:rFonts w:hint="cs"/>
          <w:rtl/>
        </w:rPr>
        <w:t xml:space="preserve"> שמחה של מצוה על </w:t>
      </w:r>
      <w:r>
        <w:rPr>
          <w:rFonts w:hint="cs"/>
          <w:rtl/>
        </w:rPr>
        <w:t xml:space="preserve">קיום מצוות עשה בקשר בין בני הזו. </w:t>
      </w:r>
      <w:r w:rsidRPr="00B46B4B">
        <w:rPr>
          <w:rFonts w:hint="cs"/>
          <w:rtl/>
        </w:rPr>
        <w:t>בזמני ריחוק</w:t>
      </w:r>
      <w:r>
        <w:rPr>
          <w:rFonts w:hint="cs"/>
          <w:rtl/>
        </w:rPr>
        <w:t>, לעומת זאת,</w:t>
      </w:r>
      <w:r w:rsidRPr="00B46B4B">
        <w:rPr>
          <w:rFonts w:hint="cs"/>
          <w:rtl/>
        </w:rPr>
        <w:t xml:space="preserve"> זו שמחה של מצוה על </w:t>
      </w:r>
      <w:r>
        <w:rPr>
          <w:rFonts w:hint="cs"/>
          <w:rtl/>
        </w:rPr>
        <w:t xml:space="preserve">קיום מצוות לא תעשה בקשר ביניהם. </w:t>
      </w:r>
      <w:r w:rsidRPr="00B46B4B">
        <w:rPr>
          <w:rFonts w:hint="cs"/>
          <w:rtl/>
        </w:rPr>
        <w:t>שהרי</w:t>
      </w:r>
      <w:r>
        <w:rPr>
          <w:rFonts w:hint="cs"/>
          <w:rtl/>
        </w:rPr>
        <w:t>,</w:t>
      </w:r>
      <w:r w:rsidRPr="00B46B4B">
        <w:rPr>
          <w:rFonts w:hint="cs"/>
          <w:rtl/>
        </w:rPr>
        <w:t xml:space="preserve"> "ישב ולא עבר עבירה נותנים לו שכר כאילו קיים מצוה"</w:t>
      </w:r>
      <w:r w:rsidRPr="00C37DFC">
        <w:rPr>
          <w:rStyle w:val="a6"/>
          <w:rtl/>
        </w:rPr>
        <w:endnoteReference w:id="15"/>
      </w:r>
      <w:r w:rsidRPr="00B46B4B">
        <w:rPr>
          <w:rFonts w:hint="cs"/>
          <w:rtl/>
        </w:rPr>
        <w:t>, ויש לשמוח גם בכך</w:t>
      </w:r>
      <w:r w:rsidRPr="00C37DFC">
        <w:rPr>
          <w:rStyle w:val="a6"/>
          <w:rtl/>
        </w:rPr>
        <w:endnoteReference w:id="16"/>
      </w:r>
      <w:r>
        <w:rPr>
          <w:rFonts w:hint="cs"/>
          <w:rtl/>
        </w:rPr>
        <w:t xml:space="preserve"> (</w:t>
      </w:r>
      <w:r w:rsidRPr="00B46B4B">
        <w:rPr>
          <w:rFonts w:hint="cs"/>
          <w:rtl/>
        </w:rPr>
        <w:t xml:space="preserve">על אחת כמה וכמה כאשר מכירים ש"שכר מצוה </w:t>
      </w:r>
      <w:r>
        <w:rPr>
          <w:rtl/>
        </w:rPr>
        <w:t>–</w:t>
      </w:r>
      <w:r>
        <w:rPr>
          <w:rFonts w:hint="cs"/>
          <w:rtl/>
        </w:rPr>
        <w:t xml:space="preserve"> </w:t>
      </w:r>
      <w:r w:rsidRPr="00B46B4B">
        <w:rPr>
          <w:rFonts w:hint="cs"/>
          <w:rtl/>
        </w:rPr>
        <w:t>מצוה"</w:t>
      </w:r>
      <w:r w:rsidRPr="00C37DFC">
        <w:rPr>
          <w:rStyle w:val="a6"/>
          <w:rtl/>
        </w:rPr>
        <w:endnoteReference w:id="17"/>
      </w:r>
      <w:r>
        <w:rPr>
          <w:rFonts w:hint="cs"/>
          <w:rtl/>
        </w:rPr>
        <w:t xml:space="preserve"> היינו </w:t>
      </w:r>
      <w:r w:rsidRPr="00B46B4B">
        <w:rPr>
          <w:rFonts w:hint="cs"/>
          <w:rtl/>
        </w:rPr>
        <w:t>עצם הת</w:t>
      </w:r>
      <w:r>
        <w:rPr>
          <w:rFonts w:hint="cs"/>
          <w:rtl/>
        </w:rPr>
        <w:t>ענוג והשמחה בקיום רצונו יתברך).</w:t>
      </w:r>
    </w:p>
    <w:p w:rsidR="00ED0D16" w:rsidRDefault="00ED0D16" w:rsidP="00ED0D16">
      <w:pPr>
        <w:rPr>
          <w:rFonts w:hint="cs"/>
          <w:rtl/>
        </w:rPr>
      </w:pPr>
      <w:r>
        <w:rPr>
          <w:rFonts w:hint="cs"/>
          <w:rtl/>
        </w:rPr>
        <w:lastRenderedPageBreak/>
        <w:t>מי שאינו חש משיכה לאיסור גם אינו מצטער על ההגבלה, ושמחתו על קיום מצות לא תעשה אינה פחותה מהשמחה על מצות עשה. אדם רואה את עולמו בחייו, בשמחתו על "שכר מצוה" תמיד (ו</w:t>
      </w:r>
      <w:r w:rsidRPr="00B46B4B">
        <w:rPr>
          <w:rFonts w:hint="cs"/>
          <w:rtl/>
        </w:rPr>
        <w:t>לו מתאימה דעת רבי עקיבא במדרש</w:t>
      </w:r>
      <w:r w:rsidRPr="00C37DFC">
        <w:rPr>
          <w:rStyle w:val="a6"/>
          <w:rtl/>
        </w:rPr>
        <w:endnoteReference w:id="18"/>
      </w:r>
      <w:r w:rsidRPr="00B46B4B">
        <w:rPr>
          <w:rFonts w:hint="cs"/>
          <w:rtl/>
        </w:rPr>
        <w:t xml:space="preserve"> כי בני ישראל ענו במתן תורה "על הן [מצוות עשה] הן ועל לאו [מצוות לא תעשה] הן"). זהו מי שזכה להגיע למדרגת המוחין בעצם, אותיות </w:t>
      </w:r>
      <w:r w:rsidRPr="00B46B4B">
        <w:rPr>
          <w:rFonts w:hint="cs"/>
          <w:b/>
          <w:bCs/>
          <w:sz w:val="28"/>
          <w:szCs w:val="28"/>
          <w:rtl/>
        </w:rPr>
        <w:t>יה</w:t>
      </w:r>
      <w:r w:rsidRPr="00B46B4B">
        <w:rPr>
          <w:rFonts w:hint="cs"/>
          <w:rtl/>
        </w:rPr>
        <w:t xml:space="preserve"> שבשם, עליהן נאמר "'</w:t>
      </w:r>
      <w:r w:rsidRPr="00B46B4B">
        <w:rPr>
          <w:rFonts w:hint="cs"/>
          <w:b/>
          <w:bCs/>
          <w:sz w:val="28"/>
          <w:szCs w:val="28"/>
          <w:rtl/>
        </w:rPr>
        <w:t>שמי</w:t>
      </w:r>
      <w:r w:rsidRPr="00B46B4B">
        <w:rPr>
          <w:rFonts w:hint="cs"/>
          <w:rtl/>
        </w:rPr>
        <w:t>'</w:t>
      </w:r>
      <w:r w:rsidRPr="00C37DFC">
        <w:rPr>
          <w:rStyle w:val="a6"/>
          <w:rtl/>
        </w:rPr>
        <w:endnoteReference w:id="19"/>
      </w:r>
      <w:r w:rsidRPr="00B46B4B">
        <w:rPr>
          <w:rFonts w:hint="cs"/>
          <w:rtl/>
        </w:rPr>
        <w:t xml:space="preserve"> עם </w:t>
      </w:r>
      <w:r w:rsidRPr="00B46B4B">
        <w:rPr>
          <w:rFonts w:hint="cs"/>
          <w:b/>
          <w:bCs/>
          <w:sz w:val="28"/>
          <w:szCs w:val="28"/>
          <w:rtl/>
        </w:rPr>
        <w:t>יה</w:t>
      </w:r>
      <w:r w:rsidRPr="00B46B4B">
        <w:rPr>
          <w:rFonts w:hint="cs"/>
          <w:rtl/>
        </w:rPr>
        <w:t xml:space="preserve"> [עולה </w:t>
      </w:r>
      <w:proofErr w:type="spellStart"/>
      <w:r w:rsidRPr="00B46B4B">
        <w:rPr>
          <w:rFonts w:hint="cs"/>
          <w:rtl/>
        </w:rPr>
        <w:t>בגימטריא</w:t>
      </w:r>
      <w:proofErr w:type="spellEnd"/>
      <w:r w:rsidRPr="00B46B4B">
        <w:rPr>
          <w:rFonts w:hint="cs"/>
          <w:rtl/>
        </w:rPr>
        <w:t xml:space="preserve">] </w:t>
      </w:r>
      <w:r w:rsidRPr="00B46B4B">
        <w:rPr>
          <w:rFonts w:hint="cs"/>
          <w:b/>
          <w:bCs/>
          <w:sz w:val="28"/>
          <w:szCs w:val="28"/>
          <w:rtl/>
        </w:rPr>
        <w:t>שסה</w:t>
      </w:r>
      <w:r w:rsidRPr="00B46B4B">
        <w:rPr>
          <w:rFonts w:hint="cs"/>
          <w:rtl/>
        </w:rPr>
        <w:t>"</w:t>
      </w:r>
      <w:r w:rsidRPr="00C37DFC">
        <w:rPr>
          <w:rStyle w:val="a6"/>
          <w:rtl/>
        </w:rPr>
        <w:endnoteReference w:id="20"/>
      </w:r>
      <w:r>
        <w:rPr>
          <w:rFonts w:hint="cs"/>
          <w:rtl/>
        </w:rPr>
        <w:t>.</w:t>
      </w:r>
      <w:r w:rsidRPr="00B46B4B">
        <w:rPr>
          <w:rFonts w:hint="cs"/>
          <w:rtl/>
        </w:rPr>
        <w:t xml:space="preserve"> השמחה בקיום </w:t>
      </w:r>
      <w:r w:rsidRPr="00B46B4B">
        <w:rPr>
          <w:rFonts w:hint="cs"/>
          <w:b/>
          <w:bCs/>
          <w:sz w:val="28"/>
          <w:szCs w:val="28"/>
          <w:rtl/>
        </w:rPr>
        <w:t>שסה</w:t>
      </w:r>
      <w:r w:rsidRPr="00B46B4B">
        <w:rPr>
          <w:rFonts w:hint="cs"/>
          <w:rtl/>
        </w:rPr>
        <w:t xml:space="preserve"> מצוות לא תעשה מאפשר תענוג מגוון בכל </w:t>
      </w:r>
      <w:r w:rsidRPr="00B46B4B">
        <w:rPr>
          <w:rFonts w:hint="cs"/>
          <w:b/>
          <w:bCs/>
          <w:sz w:val="28"/>
          <w:szCs w:val="28"/>
          <w:rtl/>
        </w:rPr>
        <w:t>שסה</w:t>
      </w:r>
      <w:r w:rsidRPr="00B46B4B">
        <w:rPr>
          <w:rFonts w:hint="cs"/>
          <w:rtl/>
        </w:rPr>
        <w:t xml:space="preserve"> ימות החמה, בלי הפרש אם המדובר בז</w:t>
      </w:r>
      <w:r>
        <w:rPr>
          <w:rFonts w:hint="cs"/>
          <w:rtl/>
        </w:rPr>
        <w:t>מני קרבה או ריחוק</w:t>
      </w:r>
      <w:bookmarkStart w:id="3" w:name="_Ref188039618"/>
      <w:r w:rsidRPr="00C37DFC">
        <w:rPr>
          <w:rStyle w:val="a6"/>
          <w:rtl/>
        </w:rPr>
        <w:endnoteReference w:id="21"/>
      </w:r>
      <w:bookmarkEnd w:id="3"/>
      <w:r>
        <w:rPr>
          <w:rFonts w:hint="cs"/>
          <w:rtl/>
        </w:rPr>
        <w:t xml:space="preserve">. ואכן, </w:t>
      </w:r>
      <w:r w:rsidRPr="00B46B4B">
        <w:rPr>
          <w:rFonts w:hint="cs"/>
          <w:rtl/>
        </w:rPr>
        <w:t xml:space="preserve">בימי הנדה החיבור בין בני הזוג עולה </w:t>
      </w:r>
      <w:proofErr w:type="spellStart"/>
      <w:r w:rsidRPr="00B46B4B">
        <w:rPr>
          <w:rFonts w:hint="cs"/>
          <w:rtl/>
        </w:rPr>
        <w:t>מיחוד</w:t>
      </w:r>
      <w:proofErr w:type="spellEnd"/>
      <w:r w:rsidRPr="00B46B4B">
        <w:rPr>
          <w:rFonts w:hint="cs"/>
          <w:rtl/>
        </w:rPr>
        <w:t xml:space="preserve"> </w:t>
      </w:r>
      <w:proofErr w:type="spellStart"/>
      <w:r w:rsidRPr="00B46B4B">
        <w:rPr>
          <w:rFonts w:hint="cs"/>
          <w:b/>
          <w:bCs/>
          <w:sz w:val="28"/>
          <w:szCs w:val="28"/>
          <w:rtl/>
        </w:rPr>
        <w:t>וה</w:t>
      </w:r>
      <w:proofErr w:type="spellEnd"/>
      <w:r>
        <w:rPr>
          <w:rFonts w:hint="cs"/>
          <w:rtl/>
        </w:rPr>
        <w:t>, ה</w:t>
      </w:r>
      <w:r w:rsidRPr="00B46B4B">
        <w:rPr>
          <w:rFonts w:hint="cs"/>
          <w:rtl/>
        </w:rPr>
        <w:t>מותר רק בימי הטהרה</w:t>
      </w:r>
      <w:r>
        <w:rPr>
          <w:rFonts w:hint="cs"/>
          <w:rtl/>
        </w:rPr>
        <w:t xml:space="preserve">, </w:t>
      </w:r>
      <w:proofErr w:type="spellStart"/>
      <w:r>
        <w:rPr>
          <w:rFonts w:hint="cs"/>
          <w:rtl/>
        </w:rPr>
        <w:t>ליחוד</w:t>
      </w:r>
      <w:proofErr w:type="spellEnd"/>
      <w:r>
        <w:rPr>
          <w:rFonts w:hint="cs"/>
          <w:rtl/>
        </w:rPr>
        <w:t xml:space="preserve"> </w:t>
      </w:r>
      <w:r w:rsidRPr="005621AA">
        <w:rPr>
          <w:rFonts w:hint="cs"/>
          <w:b/>
          <w:bCs/>
          <w:sz w:val="28"/>
          <w:szCs w:val="28"/>
          <w:rtl/>
        </w:rPr>
        <w:t>יה</w:t>
      </w:r>
      <w:r>
        <w:rPr>
          <w:rFonts w:hint="cs"/>
          <w:rtl/>
        </w:rPr>
        <w:t xml:space="preserve"> של המוחין בעצם</w:t>
      </w:r>
      <w:r w:rsidRPr="00C37DFC">
        <w:rPr>
          <w:rStyle w:val="a6"/>
          <w:rtl/>
        </w:rPr>
        <w:endnoteReference w:id="22"/>
      </w:r>
      <w:r>
        <w:rPr>
          <w:rFonts w:hint="cs"/>
          <w:rtl/>
        </w:rPr>
        <w:t>.</w:t>
      </w:r>
    </w:p>
    <w:p w:rsidR="005F4A47" w:rsidRDefault="00343E05">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E05" w:rsidRDefault="00343E05" w:rsidP="00ED0D16">
      <w:pPr>
        <w:spacing w:after="0" w:line="240" w:lineRule="auto"/>
      </w:pPr>
      <w:r>
        <w:separator/>
      </w:r>
    </w:p>
  </w:endnote>
  <w:endnote w:type="continuationSeparator" w:id="0">
    <w:p w:rsidR="00343E05" w:rsidRDefault="00343E05" w:rsidP="00ED0D16">
      <w:pPr>
        <w:spacing w:after="0" w:line="240" w:lineRule="auto"/>
      </w:pPr>
      <w:r>
        <w:continuationSeparator/>
      </w:r>
    </w:p>
  </w:endnote>
  <w:endnote w:id="1">
    <w:p w:rsidR="00ED0D16" w:rsidRDefault="00ED0D16" w:rsidP="00ED0D16">
      <w:pPr>
        <w:pStyle w:val="a4"/>
        <w:rPr>
          <w:rFonts w:hint="cs"/>
        </w:rPr>
      </w:pPr>
      <w:r>
        <w:rPr>
          <w:rtl/>
        </w:rPr>
        <w:tab/>
      </w:r>
      <w:r w:rsidRPr="004377AB">
        <w:rPr>
          <w:rtl/>
        </w:rPr>
        <w:endnoteRef/>
      </w:r>
      <w:r>
        <w:rPr>
          <w:rtl/>
        </w:rPr>
        <w:t>.</w:t>
      </w:r>
      <w:r>
        <w:rPr>
          <w:rtl/>
        </w:rPr>
        <w:tab/>
      </w:r>
      <w:r>
        <w:rPr>
          <w:rFonts w:hint="cs"/>
          <w:rtl/>
        </w:rPr>
        <w:t>משלי ח, ל.</w:t>
      </w:r>
    </w:p>
  </w:endnote>
  <w:endnote w:id="2">
    <w:p w:rsidR="00ED0D16" w:rsidRDefault="00ED0D16" w:rsidP="00ED0D16">
      <w:pPr>
        <w:pStyle w:val="a4"/>
        <w:rPr>
          <w:rFonts w:hint="cs"/>
        </w:rPr>
      </w:pPr>
      <w:r>
        <w:rPr>
          <w:rtl/>
        </w:rPr>
        <w:tab/>
      </w:r>
      <w:r w:rsidRPr="004377AB">
        <w:rPr>
          <w:rtl/>
        </w:rPr>
        <w:endnoteRef/>
      </w:r>
      <w:r>
        <w:rPr>
          <w:rtl/>
        </w:rPr>
        <w:t>.</w:t>
      </w:r>
      <w:r>
        <w:rPr>
          <w:rtl/>
        </w:rPr>
        <w:tab/>
      </w:r>
      <w:proofErr w:type="spellStart"/>
      <w:r>
        <w:rPr>
          <w:rFonts w:hint="cs"/>
          <w:rtl/>
        </w:rPr>
        <w:t>לקוטי</w:t>
      </w:r>
      <w:proofErr w:type="spellEnd"/>
      <w:r>
        <w:rPr>
          <w:rFonts w:hint="cs"/>
          <w:rtl/>
        </w:rPr>
        <w:t xml:space="preserve"> תורה פרשת במדבר ד"ה "ואהיה אצלו אמון" סעיף ד (</w:t>
      </w:r>
      <w:proofErr w:type="spellStart"/>
      <w:r>
        <w:rPr>
          <w:rFonts w:hint="cs"/>
          <w:rtl/>
        </w:rPr>
        <w:t>יח</w:t>
      </w:r>
      <w:proofErr w:type="spellEnd"/>
      <w:r>
        <w:rPr>
          <w:rFonts w:hint="cs"/>
          <w:rtl/>
        </w:rPr>
        <w:t>, ג ואילך).</w:t>
      </w:r>
    </w:p>
  </w:endnote>
  <w:endnote w:id="3">
    <w:p w:rsidR="00ED0D16" w:rsidRDefault="00ED0D16" w:rsidP="00ED0D16">
      <w:pPr>
        <w:pStyle w:val="a4"/>
        <w:rPr>
          <w:rFonts w:hint="cs"/>
          <w:rtl/>
        </w:rPr>
      </w:pPr>
      <w:r>
        <w:rPr>
          <w:rtl/>
        </w:rPr>
        <w:tab/>
      </w:r>
      <w:r w:rsidRPr="004377AB">
        <w:rPr>
          <w:rtl/>
        </w:rPr>
        <w:endnoteRef/>
      </w:r>
      <w:r>
        <w:rPr>
          <w:rtl/>
        </w:rPr>
        <w:t>.</w:t>
      </w:r>
      <w:r>
        <w:rPr>
          <w:rtl/>
        </w:rPr>
        <w:tab/>
      </w:r>
      <w:r>
        <w:rPr>
          <w:rFonts w:hint="cs"/>
          <w:rtl/>
        </w:rPr>
        <w:t>פרק ג, ב-ח.</w:t>
      </w:r>
    </w:p>
  </w:endnote>
  <w:endnote w:id="4">
    <w:p w:rsidR="00ED0D16" w:rsidRDefault="00ED0D16" w:rsidP="00ED0D16">
      <w:pPr>
        <w:pStyle w:val="a4"/>
        <w:rPr>
          <w:rFonts w:hint="cs"/>
          <w:rtl/>
        </w:rPr>
      </w:pPr>
      <w:r>
        <w:rPr>
          <w:rtl/>
        </w:rPr>
        <w:tab/>
      </w:r>
      <w:r w:rsidRPr="004377AB">
        <w:rPr>
          <w:rtl/>
        </w:rPr>
        <w:endnoteRef/>
      </w:r>
      <w:r>
        <w:rPr>
          <w:rtl/>
        </w:rPr>
        <w:t>.</w:t>
      </w:r>
      <w:r>
        <w:rPr>
          <w:rtl/>
        </w:rPr>
        <w:tab/>
      </w:r>
      <w:r>
        <w:rPr>
          <w:rFonts w:hint="cs"/>
          <w:rtl/>
        </w:rPr>
        <w:t>כנ"ל בתורה "עת לחבוק ועת לרחוק מחבק" (</w:t>
      </w:r>
      <w:proofErr w:type="spellStart"/>
      <w:r>
        <w:rPr>
          <w:rFonts w:hint="cs"/>
          <w:rtl/>
        </w:rPr>
        <w:t>וש"נ</w:t>
      </w:r>
      <w:proofErr w:type="spellEnd"/>
      <w:r>
        <w:rPr>
          <w:rFonts w:hint="cs"/>
          <w:rtl/>
        </w:rPr>
        <w:t>).</w:t>
      </w:r>
    </w:p>
  </w:endnote>
  <w:endnote w:id="5">
    <w:p w:rsidR="00ED0D16" w:rsidRDefault="00ED0D16" w:rsidP="00ED0D16">
      <w:pPr>
        <w:pStyle w:val="a4"/>
        <w:rPr>
          <w:rFonts w:hint="cs"/>
          <w:rtl/>
        </w:rPr>
      </w:pPr>
      <w:r>
        <w:rPr>
          <w:rtl/>
        </w:rPr>
        <w:tab/>
      </w:r>
      <w:r w:rsidRPr="004377AB">
        <w:rPr>
          <w:rtl/>
        </w:rPr>
        <w:endnoteRef/>
      </w:r>
      <w:r>
        <w:rPr>
          <w:rtl/>
        </w:rPr>
        <w:t>.</w:t>
      </w:r>
      <w:r>
        <w:rPr>
          <w:rtl/>
        </w:rPr>
        <w:tab/>
      </w:r>
      <w:r>
        <w:rPr>
          <w:rFonts w:hint="cs"/>
          <w:rtl/>
        </w:rPr>
        <w:t>קהלת ג, ה (וראה בתורה "עת לחבוק ועת לרחוק מחבק").</w:t>
      </w:r>
    </w:p>
  </w:endnote>
  <w:endnote w:id="6">
    <w:p w:rsidR="00ED0D16" w:rsidRDefault="00ED0D16" w:rsidP="00ED0D16">
      <w:pPr>
        <w:pStyle w:val="a4"/>
        <w:rPr>
          <w:rFonts w:hint="cs"/>
          <w:rtl/>
        </w:rPr>
      </w:pPr>
      <w:r>
        <w:rPr>
          <w:rtl/>
        </w:rPr>
        <w:tab/>
      </w:r>
      <w:r w:rsidRPr="004377AB">
        <w:rPr>
          <w:rtl/>
        </w:rPr>
        <w:endnoteRef/>
      </w:r>
      <w:r>
        <w:rPr>
          <w:rtl/>
        </w:rPr>
        <w:t>.</w:t>
      </w:r>
      <w:r>
        <w:rPr>
          <w:rtl/>
        </w:rPr>
        <w:tab/>
      </w:r>
      <w:r>
        <w:rPr>
          <w:rFonts w:hint="cs"/>
          <w:rtl/>
        </w:rPr>
        <w:t>כנ"ל בתורה הקודמת.</w:t>
      </w:r>
    </w:p>
  </w:endnote>
  <w:endnote w:id="7">
    <w:p w:rsidR="00ED0D16" w:rsidRDefault="00ED0D16" w:rsidP="00ED0D16">
      <w:pPr>
        <w:pStyle w:val="a4"/>
        <w:rPr>
          <w:rFonts w:hint="cs"/>
          <w:rtl/>
        </w:rPr>
      </w:pPr>
      <w:r>
        <w:rPr>
          <w:rtl/>
        </w:rPr>
        <w:tab/>
      </w:r>
      <w:r w:rsidRPr="004377AB">
        <w:rPr>
          <w:rtl/>
        </w:rPr>
        <w:endnoteRef/>
      </w:r>
      <w:r>
        <w:rPr>
          <w:rtl/>
        </w:rPr>
        <w:t>.</w:t>
      </w:r>
      <w:r>
        <w:rPr>
          <w:rtl/>
        </w:rPr>
        <w:tab/>
      </w:r>
      <w:r>
        <w:rPr>
          <w:rFonts w:hint="cs"/>
          <w:rtl/>
        </w:rPr>
        <w:t xml:space="preserve">תהלים </w:t>
      </w:r>
      <w:proofErr w:type="spellStart"/>
      <w:r>
        <w:rPr>
          <w:rFonts w:hint="cs"/>
          <w:rtl/>
        </w:rPr>
        <w:t>קטז</w:t>
      </w:r>
      <w:proofErr w:type="spellEnd"/>
      <w:r>
        <w:rPr>
          <w:rFonts w:hint="cs"/>
          <w:rtl/>
        </w:rPr>
        <w:t>, ט.</w:t>
      </w:r>
    </w:p>
  </w:endnote>
  <w:endnote w:id="8">
    <w:p w:rsidR="00ED0D16" w:rsidRDefault="00ED0D16" w:rsidP="00ED0D16">
      <w:pPr>
        <w:pStyle w:val="a4"/>
        <w:rPr>
          <w:rFonts w:hint="cs"/>
          <w:rtl/>
        </w:rPr>
      </w:pPr>
      <w:r>
        <w:rPr>
          <w:rtl/>
        </w:rPr>
        <w:tab/>
      </w:r>
      <w:r w:rsidRPr="004377AB">
        <w:rPr>
          <w:rtl/>
        </w:rPr>
        <w:endnoteRef/>
      </w:r>
      <w:r>
        <w:rPr>
          <w:rtl/>
        </w:rPr>
        <w:t>.</w:t>
      </w:r>
      <w:r>
        <w:rPr>
          <w:rtl/>
        </w:rPr>
        <w:tab/>
      </w:r>
      <w:r>
        <w:rPr>
          <w:rFonts w:hint="cs"/>
          <w:rtl/>
        </w:rPr>
        <w:t xml:space="preserve">תורה אור וישב ל, ג, ריש </w:t>
      </w:r>
      <w:proofErr w:type="spellStart"/>
      <w:r>
        <w:rPr>
          <w:rFonts w:hint="cs"/>
          <w:rtl/>
        </w:rPr>
        <w:t>סה"מ</w:t>
      </w:r>
      <w:proofErr w:type="spellEnd"/>
      <w:r>
        <w:rPr>
          <w:rFonts w:hint="cs"/>
          <w:rtl/>
        </w:rPr>
        <w:t xml:space="preserve"> "אתהלך </w:t>
      </w:r>
      <w:proofErr w:type="spellStart"/>
      <w:r>
        <w:rPr>
          <w:rFonts w:hint="cs"/>
          <w:rtl/>
        </w:rPr>
        <w:t>לאזניא</w:t>
      </w:r>
      <w:proofErr w:type="spellEnd"/>
      <w:r>
        <w:rPr>
          <w:rFonts w:hint="cs"/>
          <w:rtl/>
        </w:rPr>
        <w:t>", ועוד.</w:t>
      </w:r>
    </w:p>
  </w:endnote>
  <w:endnote w:id="9">
    <w:p w:rsidR="00ED0D16" w:rsidRDefault="00ED0D16" w:rsidP="00ED0D16">
      <w:pPr>
        <w:pStyle w:val="a4"/>
        <w:rPr>
          <w:rFonts w:hint="cs"/>
          <w:rtl/>
        </w:rPr>
      </w:pPr>
      <w:r>
        <w:rPr>
          <w:rtl/>
        </w:rPr>
        <w:tab/>
      </w:r>
      <w:r w:rsidRPr="004377AB">
        <w:rPr>
          <w:rtl/>
        </w:rPr>
        <w:endnoteRef/>
      </w:r>
      <w:r>
        <w:rPr>
          <w:rtl/>
        </w:rPr>
        <w:t>.</w:t>
      </w:r>
      <w:r>
        <w:rPr>
          <w:rtl/>
        </w:rPr>
        <w:tab/>
      </w:r>
      <w:r>
        <w:rPr>
          <w:rFonts w:hint="cs"/>
          <w:rtl/>
        </w:rPr>
        <w:t>יחזקאל א, יד.</w:t>
      </w:r>
    </w:p>
  </w:endnote>
  <w:endnote w:id="10">
    <w:p w:rsidR="00ED0D16" w:rsidRDefault="00ED0D16" w:rsidP="00ED0D16">
      <w:pPr>
        <w:pStyle w:val="a4"/>
        <w:rPr>
          <w:rFonts w:hint="cs"/>
          <w:rtl/>
        </w:rPr>
      </w:pPr>
      <w:r>
        <w:rPr>
          <w:rtl/>
        </w:rPr>
        <w:tab/>
      </w:r>
      <w:r w:rsidRPr="004377AB">
        <w:rPr>
          <w:rtl/>
        </w:rPr>
        <w:endnoteRef/>
      </w:r>
      <w:r>
        <w:rPr>
          <w:rtl/>
        </w:rPr>
        <w:t>.</w:t>
      </w:r>
      <w:r>
        <w:rPr>
          <w:rtl/>
        </w:rPr>
        <w:tab/>
      </w:r>
      <w:r>
        <w:rPr>
          <w:rFonts w:hint="cs"/>
          <w:rtl/>
        </w:rPr>
        <w:t xml:space="preserve">ירמיה לא, ב. "נראה לי" היינו ראיה פנימית בעין השכל שבלב, עליה נאמר למשה רבינו (זהר </w:t>
      </w:r>
      <w:proofErr w:type="spellStart"/>
      <w:r>
        <w:rPr>
          <w:rFonts w:hint="cs"/>
          <w:rtl/>
        </w:rPr>
        <w:t>ח"ב</w:t>
      </w:r>
      <w:proofErr w:type="spellEnd"/>
      <w:r>
        <w:rPr>
          <w:rFonts w:hint="cs"/>
          <w:rtl/>
        </w:rPr>
        <w:t xml:space="preserve"> </w:t>
      </w:r>
      <w:proofErr w:type="spellStart"/>
      <w:r>
        <w:rPr>
          <w:rFonts w:hint="cs"/>
          <w:rtl/>
        </w:rPr>
        <w:t>קטז</w:t>
      </w:r>
      <w:proofErr w:type="spellEnd"/>
      <w:r>
        <w:rPr>
          <w:rFonts w:hint="cs"/>
          <w:rtl/>
        </w:rPr>
        <w:t xml:space="preserve">, ב) כי אף שבגלוי "וראית את אחֹרי ופני לא יראו" (שמות לג, </w:t>
      </w:r>
      <w:proofErr w:type="spellStart"/>
      <w:r>
        <w:rPr>
          <w:rFonts w:hint="cs"/>
          <w:rtl/>
        </w:rPr>
        <w:t>כג</w:t>
      </w:r>
      <w:proofErr w:type="spellEnd"/>
      <w:r>
        <w:rPr>
          <w:rFonts w:hint="cs"/>
          <w:rtl/>
        </w:rPr>
        <w:t xml:space="preserve">), בבחינת אחור, הרי בעין השכל שבלבו הוא ראה </w:t>
      </w:r>
      <w:proofErr w:type="spellStart"/>
      <w:r>
        <w:rPr>
          <w:rFonts w:hint="cs"/>
          <w:rtl/>
        </w:rPr>
        <w:t>הכל</w:t>
      </w:r>
      <w:proofErr w:type="spellEnd"/>
      <w:r>
        <w:rPr>
          <w:rFonts w:hint="cs"/>
          <w:rtl/>
        </w:rPr>
        <w:t>, בבחינה הפנימית ביותר של "פנימיות אבא פנימיות עתיק" (</w:t>
      </w:r>
      <w:proofErr w:type="spellStart"/>
      <w:r>
        <w:rPr>
          <w:rFonts w:hint="cs"/>
          <w:rtl/>
        </w:rPr>
        <w:t>פע"ח</w:t>
      </w:r>
      <w:proofErr w:type="spellEnd"/>
      <w:r>
        <w:rPr>
          <w:rFonts w:hint="cs"/>
          <w:rtl/>
        </w:rPr>
        <w:t xml:space="preserve"> שער </w:t>
      </w:r>
      <w:proofErr w:type="spellStart"/>
      <w:r>
        <w:rPr>
          <w:rFonts w:hint="cs"/>
          <w:rtl/>
        </w:rPr>
        <w:t>הק"ש</w:t>
      </w:r>
      <w:proofErr w:type="spellEnd"/>
      <w:r>
        <w:rPr>
          <w:rFonts w:hint="cs"/>
          <w:rtl/>
        </w:rPr>
        <w:t xml:space="preserve"> </w:t>
      </w:r>
      <w:proofErr w:type="spellStart"/>
      <w:r>
        <w:rPr>
          <w:rFonts w:hint="cs"/>
          <w:rtl/>
        </w:rPr>
        <w:t>פט"ו</w:t>
      </w:r>
      <w:proofErr w:type="spellEnd"/>
      <w:r>
        <w:rPr>
          <w:rFonts w:hint="cs"/>
          <w:rtl/>
        </w:rPr>
        <w:t xml:space="preserve">, וראה פלח הרמון שמות ד"ה "ואלה שמות" </w:t>
      </w:r>
      <w:r>
        <w:rPr>
          <w:rtl/>
        </w:rPr>
        <w:t>–</w:t>
      </w:r>
      <w:r>
        <w:rPr>
          <w:rFonts w:hint="cs"/>
          <w:rtl/>
        </w:rPr>
        <w:t xml:space="preserve"> הגהה בסוף עמ' ה </w:t>
      </w:r>
      <w:r>
        <w:rPr>
          <w:rtl/>
        </w:rPr>
        <w:t>–</w:t>
      </w:r>
      <w:r>
        <w:rPr>
          <w:rFonts w:hint="cs"/>
          <w:rtl/>
        </w:rPr>
        <w:t xml:space="preserve"> שהוא שרש נשמת משה עצמו), וד"ל.</w:t>
      </w:r>
    </w:p>
  </w:endnote>
  <w:endnote w:id="11">
    <w:p w:rsidR="00ED0D16" w:rsidRDefault="00ED0D16" w:rsidP="00ED0D16">
      <w:pPr>
        <w:pStyle w:val="a4"/>
        <w:rPr>
          <w:rFonts w:hint="cs"/>
          <w:rtl/>
        </w:rPr>
      </w:pPr>
      <w:r>
        <w:rPr>
          <w:rtl/>
        </w:rPr>
        <w:tab/>
      </w:r>
      <w:r w:rsidRPr="004377AB">
        <w:rPr>
          <w:rtl/>
        </w:rPr>
        <w:endnoteRef/>
      </w:r>
      <w:r>
        <w:rPr>
          <w:rtl/>
        </w:rPr>
        <w:t>.</w:t>
      </w:r>
      <w:r>
        <w:rPr>
          <w:rtl/>
        </w:rPr>
        <w:tab/>
      </w:r>
      <w:r>
        <w:rPr>
          <w:rFonts w:hint="cs"/>
          <w:rtl/>
        </w:rPr>
        <w:t>תהלים ב, יא (וראה ברכות ל, ב).</w:t>
      </w:r>
    </w:p>
  </w:endnote>
  <w:endnote w:id="12">
    <w:p w:rsidR="00ED0D16" w:rsidRDefault="00ED0D16" w:rsidP="00ED0D16">
      <w:pPr>
        <w:pStyle w:val="a4"/>
        <w:rPr>
          <w:rFonts w:hint="cs"/>
          <w:rtl/>
        </w:rPr>
      </w:pPr>
      <w:r>
        <w:rPr>
          <w:rtl/>
        </w:rPr>
        <w:tab/>
      </w:r>
      <w:r w:rsidRPr="004377AB">
        <w:rPr>
          <w:rtl/>
        </w:rPr>
        <w:endnoteRef/>
      </w:r>
      <w:r>
        <w:rPr>
          <w:rtl/>
        </w:rPr>
        <w:t>.</w:t>
      </w:r>
      <w:r>
        <w:rPr>
          <w:rtl/>
        </w:rPr>
        <w:tab/>
      </w:r>
      <w:r>
        <w:rPr>
          <w:rFonts w:hint="cs"/>
          <w:rtl/>
        </w:rPr>
        <w:t>ראה בספר לב לדעת, "פרק בעבודת ה'" הערה לח וביאור א.</w:t>
      </w:r>
    </w:p>
  </w:endnote>
  <w:endnote w:id="13">
    <w:p w:rsidR="00ED0D16" w:rsidRDefault="00ED0D16" w:rsidP="00ED0D16">
      <w:pPr>
        <w:pStyle w:val="a4"/>
        <w:rPr>
          <w:rFonts w:hint="cs"/>
          <w:rtl/>
        </w:rPr>
      </w:pPr>
      <w:r>
        <w:rPr>
          <w:rtl/>
        </w:rPr>
        <w:tab/>
      </w:r>
      <w:r w:rsidRPr="004377AB">
        <w:rPr>
          <w:rtl/>
        </w:rPr>
        <w:endnoteRef/>
      </w:r>
      <w:r>
        <w:rPr>
          <w:rtl/>
        </w:rPr>
        <w:t>.</w:t>
      </w:r>
      <w:r>
        <w:rPr>
          <w:rtl/>
        </w:rPr>
        <w:tab/>
      </w:r>
      <w:r>
        <w:rPr>
          <w:rFonts w:hint="cs"/>
          <w:rtl/>
        </w:rPr>
        <w:t>מיכה ו, ח.</w:t>
      </w:r>
    </w:p>
  </w:endnote>
  <w:endnote w:id="14">
    <w:p w:rsidR="00ED0D16" w:rsidRDefault="00ED0D16" w:rsidP="00ED0D16">
      <w:pPr>
        <w:pStyle w:val="a4"/>
        <w:rPr>
          <w:rFonts w:hint="cs"/>
          <w:rtl/>
        </w:rPr>
      </w:pPr>
      <w:r>
        <w:rPr>
          <w:rtl/>
        </w:rPr>
        <w:tab/>
      </w:r>
      <w:r w:rsidRPr="004377AB">
        <w:rPr>
          <w:rtl/>
        </w:rPr>
        <w:endnoteRef/>
      </w:r>
      <w:r>
        <w:rPr>
          <w:rtl/>
        </w:rPr>
        <w:t>.</w:t>
      </w:r>
      <w:r>
        <w:rPr>
          <w:rtl/>
        </w:rPr>
        <w:tab/>
      </w:r>
      <w:r>
        <w:rPr>
          <w:rFonts w:hint="cs"/>
          <w:rtl/>
        </w:rPr>
        <w:t xml:space="preserve">ראה בספר שכינה ביניהם בהקדמה (בפנים, בעמ' מ', ובהערה י) </w:t>
      </w:r>
      <w:proofErr w:type="spellStart"/>
      <w:r>
        <w:rPr>
          <w:rFonts w:hint="cs"/>
          <w:rtl/>
        </w:rPr>
        <w:t>ובפ"ח</w:t>
      </w:r>
      <w:proofErr w:type="spellEnd"/>
      <w:r>
        <w:rPr>
          <w:rFonts w:hint="cs"/>
          <w:rtl/>
        </w:rPr>
        <w:t>.</w:t>
      </w:r>
    </w:p>
  </w:endnote>
  <w:endnote w:id="15">
    <w:p w:rsidR="00ED0D16" w:rsidRDefault="00ED0D16" w:rsidP="00ED0D16">
      <w:pPr>
        <w:pStyle w:val="a4"/>
        <w:rPr>
          <w:rFonts w:hint="cs"/>
          <w:rtl/>
        </w:rPr>
      </w:pPr>
      <w:r>
        <w:rPr>
          <w:rtl/>
        </w:rPr>
        <w:tab/>
      </w:r>
      <w:r w:rsidRPr="004377AB">
        <w:rPr>
          <w:rtl/>
        </w:rPr>
        <w:endnoteRef/>
      </w:r>
      <w:r>
        <w:rPr>
          <w:rtl/>
        </w:rPr>
        <w:t>.</w:t>
      </w:r>
      <w:r>
        <w:rPr>
          <w:rtl/>
        </w:rPr>
        <w:tab/>
      </w:r>
      <w:proofErr w:type="spellStart"/>
      <w:r>
        <w:rPr>
          <w:rFonts w:hint="cs"/>
          <w:rtl/>
        </w:rPr>
        <w:t>קדושין</w:t>
      </w:r>
      <w:proofErr w:type="spellEnd"/>
      <w:r>
        <w:rPr>
          <w:rFonts w:hint="cs"/>
          <w:rtl/>
        </w:rPr>
        <w:t xml:space="preserve"> לט, ב.</w:t>
      </w:r>
    </w:p>
  </w:endnote>
  <w:endnote w:id="16">
    <w:p w:rsidR="00ED0D16" w:rsidRDefault="00ED0D16" w:rsidP="00ED0D16">
      <w:pPr>
        <w:pStyle w:val="a4"/>
        <w:rPr>
          <w:rFonts w:hint="cs"/>
        </w:rPr>
      </w:pPr>
      <w:r>
        <w:rPr>
          <w:rtl/>
        </w:rPr>
        <w:tab/>
      </w:r>
      <w:r w:rsidRPr="004377AB">
        <w:rPr>
          <w:rtl/>
        </w:rPr>
        <w:endnoteRef/>
      </w:r>
      <w:r>
        <w:rPr>
          <w:rtl/>
        </w:rPr>
        <w:t>.</w:t>
      </w:r>
      <w:r>
        <w:rPr>
          <w:rtl/>
        </w:rPr>
        <w:tab/>
      </w:r>
      <w:r>
        <w:rPr>
          <w:rFonts w:hint="cs"/>
          <w:rtl/>
        </w:rPr>
        <w:t xml:space="preserve">ראה תניא פרק </w:t>
      </w:r>
      <w:proofErr w:type="spellStart"/>
      <w:r>
        <w:rPr>
          <w:rFonts w:hint="cs"/>
          <w:rtl/>
        </w:rPr>
        <w:t>כז</w:t>
      </w:r>
      <w:proofErr w:type="spellEnd"/>
      <w:r>
        <w:rPr>
          <w:rFonts w:hint="cs"/>
          <w:rtl/>
        </w:rPr>
        <w:t>.</w:t>
      </w:r>
    </w:p>
  </w:endnote>
  <w:endnote w:id="17">
    <w:p w:rsidR="00ED0D16" w:rsidRDefault="00ED0D16" w:rsidP="00ED0D16">
      <w:pPr>
        <w:pStyle w:val="a4"/>
        <w:rPr>
          <w:rFonts w:hint="cs"/>
          <w:rtl/>
        </w:rPr>
      </w:pPr>
      <w:r>
        <w:rPr>
          <w:rtl/>
        </w:rPr>
        <w:tab/>
      </w:r>
      <w:r w:rsidRPr="004377AB">
        <w:rPr>
          <w:rtl/>
        </w:rPr>
        <w:endnoteRef/>
      </w:r>
      <w:r>
        <w:rPr>
          <w:rtl/>
        </w:rPr>
        <w:t>.</w:t>
      </w:r>
      <w:r>
        <w:rPr>
          <w:rtl/>
        </w:rPr>
        <w:tab/>
      </w:r>
      <w:r>
        <w:rPr>
          <w:rFonts w:hint="cs"/>
          <w:rtl/>
        </w:rPr>
        <w:t>אבות ד, ב.</w:t>
      </w:r>
    </w:p>
  </w:endnote>
  <w:endnote w:id="18">
    <w:p w:rsidR="00ED0D16" w:rsidRPr="00A76A01" w:rsidRDefault="00ED0D16" w:rsidP="00ED0D16">
      <w:pPr>
        <w:pStyle w:val="a4"/>
        <w:rPr>
          <w:rFonts w:hint="cs"/>
          <w:rtl/>
        </w:rPr>
      </w:pPr>
      <w:r>
        <w:rPr>
          <w:rtl/>
        </w:rPr>
        <w:tab/>
      </w:r>
      <w:r w:rsidRPr="004377AB">
        <w:rPr>
          <w:rtl/>
        </w:rPr>
        <w:endnoteRef/>
      </w:r>
      <w:r>
        <w:rPr>
          <w:rtl/>
        </w:rPr>
        <w:t>.</w:t>
      </w:r>
      <w:r>
        <w:rPr>
          <w:rtl/>
        </w:rPr>
        <w:tab/>
      </w:r>
      <w:r w:rsidRPr="00A76A01">
        <w:rPr>
          <w:rFonts w:hint="cs"/>
          <w:rtl/>
        </w:rPr>
        <w:t xml:space="preserve">מכילתא </w:t>
      </w:r>
      <w:r>
        <w:rPr>
          <w:rFonts w:hint="cs"/>
          <w:rtl/>
        </w:rPr>
        <w:t>יתרו פרשה ד</w:t>
      </w:r>
      <w:r w:rsidRPr="00A76A01">
        <w:rPr>
          <w:rFonts w:hint="cs"/>
          <w:rtl/>
        </w:rPr>
        <w:t xml:space="preserve"> (וראה לקו"ש </w:t>
      </w:r>
      <w:r>
        <w:rPr>
          <w:rFonts w:hint="cs"/>
          <w:rtl/>
        </w:rPr>
        <w:t>חלק ו ע' 119 ואילך</w:t>
      </w:r>
      <w:r w:rsidRPr="00A76A01">
        <w:rPr>
          <w:rFonts w:hint="cs"/>
          <w:rtl/>
        </w:rPr>
        <w:t xml:space="preserve">). וראה עוד לקמן שער </w:t>
      </w:r>
      <w:r>
        <w:rPr>
          <w:rFonts w:hint="cs"/>
          <w:rtl/>
        </w:rPr>
        <w:t>ו</w:t>
      </w:r>
      <w:r w:rsidRPr="00A76A01">
        <w:rPr>
          <w:rFonts w:hint="cs"/>
          <w:rtl/>
        </w:rPr>
        <w:t xml:space="preserve"> בתורה "ובלבד שתעטרונו בזהובים" (וראה גם שער </w:t>
      </w:r>
      <w:r>
        <w:rPr>
          <w:rFonts w:hint="cs"/>
          <w:rtl/>
        </w:rPr>
        <w:t>ג</w:t>
      </w:r>
      <w:r w:rsidRPr="00A76A01">
        <w:rPr>
          <w:rFonts w:hint="cs"/>
          <w:rtl/>
        </w:rPr>
        <w:t xml:space="preserve"> בתורה "ארבעה זיווגים") כי דווקא רבי עקיבא (שדרש "איש ואשה זכו שכינה ביניהן") הוא הרגיש לקשר הטוב בין איש לאשתו גם בזמן הנדה.</w:t>
      </w:r>
    </w:p>
  </w:endnote>
  <w:endnote w:id="19">
    <w:p w:rsidR="00ED0D16" w:rsidRDefault="00ED0D16" w:rsidP="00ED0D16">
      <w:pPr>
        <w:pStyle w:val="a4"/>
        <w:rPr>
          <w:rFonts w:hint="cs"/>
          <w:rtl/>
        </w:rPr>
      </w:pPr>
      <w:r>
        <w:rPr>
          <w:rtl/>
        </w:rPr>
        <w:tab/>
      </w:r>
      <w:r w:rsidRPr="004377AB">
        <w:rPr>
          <w:rtl/>
        </w:rPr>
        <w:endnoteRef/>
      </w:r>
      <w:r>
        <w:rPr>
          <w:rtl/>
        </w:rPr>
        <w:t>.</w:t>
      </w:r>
      <w:r>
        <w:rPr>
          <w:rtl/>
        </w:rPr>
        <w:tab/>
      </w:r>
      <w:r>
        <w:rPr>
          <w:rFonts w:hint="cs"/>
          <w:rtl/>
        </w:rPr>
        <w:t xml:space="preserve">שמות ג, טו (וראה ברש"י שם </w:t>
      </w:r>
      <w:r>
        <w:rPr>
          <w:rtl/>
        </w:rPr>
        <w:t>–</w:t>
      </w:r>
      <w:r>
        <w:rPr>
          <w:rFonts w:hint="cs"/>
          <w:rtl/>
        </w:rPr>
        <w:t xml:space="preserve"> עפ"י קידושין </w:t>
      </w:r>
      <w:proofErr w:type="spellStart"/>
      <w:r>
        <w:rPr>
          <w:rFonts w:hint="cs"/>
          <w:rtl/>
        </w:rPr>
        <w:t>עא</w:t>
      </w:r>
      <w:proofErr w:type="spellEnd"/>
      <w:r>
        <w:rPr>
          <w:rFonts w:hint="cs"/>
          <w:rtl/>
        </w:rPr>
        <w:t xml:space="preserve">, א ועוד </w:t>
      </w:r>
      <w:r>
        <w:rPr>
          <w:rtl/>
        </w:rPr>
        <w:t>–</w:t>
      </w:r>
      <w:r>
        <w:rPr>
          <w:rFonts w:hint="cs"/>
          <w:rtl/>
        </w:rPr>
        <w:t xml:space="preserve"> כי "שמי" דווקא הוא שם העצם, שם המפורש ככתיבתו).</w:t>
      </w:r>
    </w:p>
  </w:endnote>
  <w:endnote w:id="20">
    <w:p w:rsidR="00ED0D16" w:rsidRDefault="00ED0D16" w:rsidP="00ED0D16">
      <w:pPr>
        <w:pStyle w:val="a4"/>
        <w:rPr>
          <w:rFonts w:hint="cs"/>
          <w:rtl/>
        </w:rPr>
      </w:pPr>
      <w:r>
        <w:rPr>
          <w:rtl/>
        </w:rPr>
        <w:tab/>
      </w:r>
      <w:r w:rsidRPr="004377AB">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רכב, ב.</w:t>
      </w:r>
    </w:p>
  </w:endnote>
  <w:endnote w:id="21">
    <w:p w:rsidR="00ED0D16" w:rsidRDefault="00ED0D16" w:rsidP="00ED0D16">
      <w:pPr>
        <w:pStyle w:val="a4"/>
        <w:rPr>
          <w:rFonts w:hint="cs"/>
        </w:rPr>
      </w:pPr>
      <w:r>
        <w:rPr>
          <w:rtl/>
        </w:rPr>
        <w:tab/>
      </w:r>
      <w:r w:rsidRPr="004377AB">
        <w:rPr>
          <w:rtl/>
        </w:rPr>
        <w:endnoteRef/>
      </w:r>
      <w:r>
        <w:rPr>
          <w:rtl/>
        </w:rPr>
        <w:t>.</w:t>
      </w:r>
      <w:r>
        <w:rPr>
          <w:rtl/>
        </w:rPr>
        <w:tab/>
      </w:r>
      <w:r w:rsidRPr="00E85F04">
        <w:rPr>
          <w:rFonts w:hint="cs"/>
          <w:rtl/>
        </w:rPr>
        <w:t xml:space="preserve">בפנימיות "אם הבנים שמחה" (תהלים </w:t>
      </w:r>
      <w:proofErr w:type="spellStart"/>
      <w:r w:rsidRPr="00E85F04">
        <w:rPr>
          <w:rFonts w:hint="cs"/>
          <w:rtl/>
        </w:rPr>
        <w:t>קיג</w:t>
      </w:r>
      <w:proofErr w:type="spellEnd"/>
      <w:r w:rsidRPr="00E85F04">
        <w:rPr>
          <w:rFonts w:hint="cs"/>
          <w:rtl/>
        </w:rPr>
        <w:t xml:space="preserve">, ט) תמיד, בימי הקרבה היא בבחינת "האם [שמחה] על [זיווג] הבנים [זו"נ, </w:t>
      </w:r>
      <w:proofErr w:type="spellStart"/>
      <w:r w:rsidRPr="00E85F04">
        <w:rPr>
          <w:rFonts w:hint="cs"/>
          <w:b/>
          <w:bCs/>
          <w:sz w:val="24"/>
          <w:szCs w:val="24"/>
          <w:rtl/>
        </w:rPr>
        <w:t>וה</w:t>
      </w:r>
      <w:proofErr w:type="spellEnd"/>
      <w:r w:rsidRPr="00E85F04">
        <w:rPr>
          <w:rFonts w:hint="cs"/>
          <w:rtl/>
        </w:rPr>
        <w:t xml:space="preserve">]" (דברים </w:t>
      </w:r>
      <w:proofErr w:type="spellStart"/>
      <w:r w:rsidRPr="00E85F04">
        <w:rPr>
          <w:rFonts w:hint="cs"/>
          <w:rtl/>
        </w:rPr>
        <w:t>כב</w:t>
      </w:r>
      <w:proofErr w:type="spellEnd"/>
      <w:r w:rsidRPr="00E85F04">
        <w:rPr>
          <w:rFonts w:hint="cs"/>
          <w:rtl/>
        </w:rPr>
        <w:t xml:space="preserve">, ו) ובימי הריחוק היא שמחה על זיווגה העליון שלה כפרצוף </w:t>
      </w:r>
      <w:proofErr w:type="spellStart"/>
      <w:r w:rsidRPr="00E85F04">
        <w:rPr>
          <w:rFonts w:hint="cs"/>
          <w:rtl/>
        </w:rPr>
        <w:t>אמא</w:t>
      </w:r>
      <w:proofErr w:type="spellEnd"/>
      <w:r w:rsidRPr="00E85F04">
        <w:rPr>
          <w:rFonts w:hint="cs"/>
          <w:rtl/>
        </w:rPr>
        <w:t xml:space="preserve"> (בשער ה-</w:t>
      </w:r>
      <w:r w:rsidRPr="00E85F04">
        <w:rPr>
          <w:rFonts w:hint="cs"/>
          <w:b/>
          <w:bCs/>
          <w:sz w:val="24"/>
          <w:szCs w:val="24"/>
          <w:rtl/>
        </w:rPr>
        <w:t>נ</w:t>
      </w:r>
      <w:r w:rsidRPr="00E85F04">
        <w:rPr>
          <w:rFonts w:hint="cs"/>
          <w:rtl/>
        </w:rPr>
        <w:t xml:space="preserve"> שלה, העולה </w:t>
      </w:r>
      <w:proofErr w:type="spellStart"/>
      <w:r w:rsidRPr="00E85F04">
        <w:rPr>
          <w:rFonts w:hint="cs"/>
          <w:rtl/>
        </w:rPr>
        <w:t>בגימטריא</w:t>
      </w:r>
      <w:proofErr w:type="spellEnd"/>
      <w:r w:rsidRPr="00E85F04">
        <w:rPr>
          <w:rFonts w:hint="cs"/>
          <w:rtl/>
        </w:rPr>
        <w:t xml:space="preserve"> </w:t>
      </w:r>
      <w:r w:rsidRPr="00E85F04">
        <w:rPr>
          <w:rFonts w:hint="cs"/>
          <w:b/>
          <w:bCs/>
          <w:sz w:val="24"/>
          <w:szCs w:val="24"/>
          <w:rtl/>
        </w:rPr>
        <w:t>טמא</w:t>
      </w:r>
      <w:r w:rsidRPr="00E85F04">
        <w:rPr>
          <w:rFonts w:hint="cs"/>
          <w:rtl/>
        </w:rPr>
        <w:t xml:space="preserve"> ומתגלה רק בעין השכל הפנימית, כנ"ל הערה </w:t>
      </w:r>
      <w:r w:rsidRPr="00E85F04">
        <w:rPr>
          <w:rtl/>
        </w:rPr>
        <w:fldChar w:fldCharType="begin"/>
      </w:r>
      <w:r w:rsidRPr="00E85F04">
        <w:rPr>
          <w:rtl/>
        </w:rPr>
        <w:instrText xml:space="preserve"> </w:instrText>
      </w:r>
      <w:r w:rsidRPr="00E85F04">
        <w:rPr>
          <w:rFonts w:hint="cs"/>
        </w:rPr>
        <w:instrText>NOTEREF</w:instrText>
      </w:r>
      <w:r w:rsidRPr="00E85F04">
        <w:rPr>
          <w:rFonts w:hint="cs"/>
          <w:rtl/>
        </w:rPr>
        <w:instrText xml:space="preserve"> _</w:instrText>
      </w:r>
      <w:r w:rsidRPr="00E85F04">
        <w:rPr>
          <w:rFonts w:hint="cs"/>
        </w:rPr>
        <w:instrText>Ref188039026 \h</w:instrText>
      </w:r>
      <w:r w:rsidRPr="00E85F04">
        <w:rPr>
          <w:rtl/>
        </w:rPr>
        <w:instrText xml:space="preserve"> </w:instrText>
      </w:r>
      <w:r>
        <w:rPr>
          <w:rtl/>
        </w:rPr>
        <w:instrText xml:space="preserve"> \* </w:instrText>
      </w:r>
      <w:r>
        <w:instrText>MERGEFORMAT</w:instrText>
      </w:r>
      <w:r>
        <w:rPr>
          <w:rtl/>
        </w:rPr>
        <w:instrText xml:space="preserve"> </w:instrText>
      </w:r>
      <w:r w:rsidRPr="00E85F04">
        <w:rPr>
          <w:rtl/>
        </w:rPr>
        <w:fldChar w:fldCharType="separate"/>
      </w:r>
      <w:r>
        <w:rPr>
          <w:rtl/>
        </w:rPr>
        <w:t>י</w:t>
      </w:r>
      <w:r w:rsidRPr="00E85F04">
        <w:rPr>
          <w:rtl/>
        </w:rPr>
        <w:fldChar w:fldCharType="end"/>
      </w:r>
      <w:r w:rsidRPr="00E85F04">
        <w:rPr>
          <w:rFonts w:hint="cs"/>
          <w:rtl/>
        </w:rPr>
        <w:t>) עם פרצוף אבא, אישה העליון, ה-</w:t>
      </w:r>
      <w:r w:rsidRPr="003430E6">
        <w:rPr>
          <w:rFonts w:hint="cs"/>
          <w:b/>
          <w:bCs/>
          <w:sz w:val="24"/>
          <w:szCs w:val="24"/>
          <w:rtl/>
        </w:rPr>
        <w:t>י</w:t>
      </w:r>
      <w:r w:rsidRPr="00E85F04">
        <w:rPr>
          <w:rFonts w:hint="cs"/>
          <w:rtl/>
        </w:rPr>
        <w:t xml:space="preserve"> שבשם שפנימיותו בטול </w:t>
      </w:r>
      <w:proofErr w:type="spellStart"/>
      <w:r w:rsidRPr="00E85F04">
        <w:rPr>
          <w:rFonts w:hint="cs"/>
          <w:rtl/>
        </w:rPr>
        <w:t>לאלקות</w:t>
      </w:r>
      <w:proofErr w:type="spellEnd"/>
      <w:r w:rsidRPr="00E85F04">
        <w:rPr>
          <w:rFonts w:hint="cs"/>
          <w:rtl/>
        </w:rPr>
        <w:t>, וד"ל.</w:t>
      </w:r>
    </w:p>
  </w:endnote>
  <w:endnote w:id="22">
    <w:p w:rsidR="00ED0D16" w:rsidRDefault="00ED0D16" w:rsidP="00ED0D16">
      <w:pPr>
        <w:pStyle w:val="a4"/>
        <w:rPr>
          <w:rFonts w:hint="cs"/>
          <w:rtl/>
        </w:rPr>
      </w:pPr>
      <w:r>
        <w:rPr>
          <w:rtl/>
        </w:rPr>
        <w:tab/>
      </w:r>
      <w:r w:rsidRPr="004377AB">
        <w:rPr>
          <w:rtl/>
        </w:rPr>
        <w:endnoteRef/>
      </w:r>
      <w:r>
        <w:rPr>
          <w:rtl/>
        </w:rPr>
        <w:t>.</w:t>
      </w:r>
      <w:r>
        <w:rPr>
          <w:rtl/>
        </w:rPr>
        <w:tab/>
      </w:r>
      <w:r>
        <w:rPr>
          <w:rFonts w:hint="cs"/>
          <w:rtl/>
        </w:rPr>
        <w:t>וראה עוד בתורה הבאה.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E05" w:rsidRDefault="00343E05" w:rsidP="00ED0D16">
      <w:pPr>
        <w:spacing w:after="0" w:line="240" w:lineRule="auto"/>
      </w:pPr>
      <w:r>
        <w:separator/>
      </w:r>
    </w:p>
  </w:footnote>
  <w:footnote w:type="continuationSeparator" w:id="0">
    <w:p w:rsidR="00343E05" w:rsidRDefault="00343E05" w:rsidP="00ED0D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B50"/>
    <w:rsid w:val="00061E65"/>
    <w:rsid w:val="00343E05"/>
    <w:rsid w:val="003A5B50"/>
    <w:rsid w:val="00AC2310"/>
    <w:rsid w:val="00ED0D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D0D1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D0D1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D0D1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D0D16"/>
    <w:rPr>
      <w:rFonts w:cs="MiriamMFO"/>
      <w:w w:val="100"/>
      <w:sz w:val="21"/>
      <w:szCs w:val="23"/>
    </w:rPr>
  </w:style>
  <w:style w:type="paragraph" w:styleId="a4">
    <w:name w:val="endnote text"/>
    <w:aliases w:val="Endnote Text"/>
    <w:basedOn w:val="a"/>
    <w:link w:val="a5"/>
    <w:semiHidden/>
    <w:rsid w:val="00ED0D1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D0D16"/>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D0D16"/>
    <w:rPr>
      <w:noProof/>
      <w:position w:val="-4"/>
      <w:szCs w:val="27"/>
      <w:vertAlign w:val="superscript"/>
    </w:rPr>
  </w:style>
  <w:style w:type="paragraph" w:customStyle="1" w:styleId="a8">
    <w:name w:val="פתיח תו"/>
    <w:basedOn w:val="a"/>
    <w:link w:val="a9"/>
    <w:rsid w:val="00ED0D1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D0D1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D0D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D0D1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D0D1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D0D1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D0D16"/>
    <w:rPr>
      <w:rFonts w:cs="MiriamMFO"/>
      <w:w w:val="100"/>
      <w:sz w:val="21"/>
      <w:szCs w:val="23"/>
    </w:rPr>
  </w:style>
  <w:style w:type="paragraph" w:styleId="a4">
    <w:name w:val="endnote text"/>
    <w:aliases w:val="Endnote Text"/>
    <w:basedOn w:val="a"/>
    <w:link w:val="a5"/>
    <w:semiHidden/>
    <w:rsid w:val="00ED0D1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ED0D16"/>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ED0D16"/>
    <w:rPr>
      <w:noProof/>
      <w:position w:val="-4"/>
      <w:szCs w:val="27"/>
      <w:vertAlign w:val="superscript"/>
    </w:rPr>
  </w:style>
  <w:style w:type="paragraph" w:customStyle="1" w:styleId="a8">
    <w:name w:val="פתיח תו"/>
    <w:basedOn w:val="a"/>
    <w:link w:val="a9"/>
    <w:rsid w:val="00ED0D1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D0D1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ED0D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2276</Characters>
  <Application>Microsoft Office Word</Application>
  <DocSecurity>0</DocSecurity>
  <Lines>18</Lines>
  <Paragraphs>5</Paragraphs>
  <ScaleCrop>false</ScaleCrop>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2017-08-15T08:09:00Z</dcterms:created>
  <dcterms:modified xsi:type="dcterms:W3CDTF">2017-08-15T08:09:00Z</dcterms:modified>
</cp:coreProperties>
</file>