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1A" w:rsidRPr="00B46B4B" w:rsidRDefault="002D4C1A" w:rsidP="002D4C1A">
      <w:pPr>
        <w:pStyle w:val="2"/>
        <w:rPr>
          <w:rFonts w:hint="cs"/>
          <w:rtl/>
        </w:rPr>
      </w:pPr>
      <w:bookmarkStart w:id="0" w:name="_Toc188281752"/>
      <w:bookmarkStart w:id="1" w:name="_Ref188282094"/>
      <w:r w:rsidRPr="00B46B4B">
        <w:rPr>
          <w:rFonts w:hint="cs"/>
          <w:rtl/>
        </w:rPr>
        <w:t>עליה אין סופית</w:t>
      </w:r>
      <w:bookmarkEnd w:id="0"/>
      <w:bookmarkEnd w:id="1"/>
    </w:p>
    <w:p w:rsidR="002D4C1A" w:rsidRPr="00EC3D1D" w:rsidRDefault="002D4C1A" w:rsidP="002D4C1A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א</w:t>
      </w:r>
    </w:p>
    <w:p w:rsidR="002D4C1A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>ת מחזור חיי הנישואין אפשר לתאר כמעבר ממצב של "פנים בפנים" בימי הטהרה למצב של "אחור באחור" בימי הטומאה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>. אמנם, חשוב לדעת כי בלשון הקבלה גם "פנים בפנים" וגם "אחור באחור" אינם רק שני מצבים של עמידת הזכר והנקבה, אלא שני סוגים של זיווג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הראשון מתחולל בעולמות העליונים בשבתות וחגים והשני מתחולל, בא</w:t>
      </w:r>
      <w:r>
        <w:rPr>
          <w:rFonts w:hint="cs"/>
          <w:rtl/>
        </w:rPr>
        <w:t>ופן נעלה ומיוחד, בחנוכה ובפורים</w:t>
      </w:r>
      <w:r w:rsidRPr="00B46B4B">
        <w:rPr>
          <w:rFonts w:hint="cs"/>
          <w:rtl/>
        </w:rPr>
        <w:t xml:space="preserve">. 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>כיצד ניתן לתאר זיווג "אחור באחור"? מוסבר</w:t>
      </w:r>
      <w:r w:rsidRPr="00C37DFC">
        <w:rPr>
          <w:rStyle w:val="a6"/>
          <w:rtl/>
        </w:rPr>
        <w:endnoteReference w:id="2"/>
      </w:r>
      <w:r w:rsidRPr="00B46B4B">
        <w:rPr>
          <w:rFonts w:hint="cs"/>
          <w:rtl/>
        </w:rPr>
        <w:t xml:space="preserve"> כי זיווג אחור באחור הוא בעצם עליה של הזכר והנקבה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פרצופי זעיר-אנפין </w:t>
      </w:r>
      <w:proofErr w:type="spellStart"/>
      <w:r w:rsidRPr="00B46B4B">
        <w:rPr>
          <w:rFonts w:hint="cs"/>
          <w:rtl/>
        </w:rPr>
        <w:t>ונוקביה</w:t>
      </w:r>
      <w:proofErr w:type="spellEnd"/>
      <w:r w:rsidRPr="00B46B4B">
        <w:rPr>
          <w:rFonts w:hint="cs"/>
          <w:rtl/>
        </w:rPr>
        <w:t xml:space="preserve"> (זו"נ),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שבשם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להתייחד פנים בפנים בהיכל אבא </w:t>
      </w:r>
      <w:proofErr w:type="spellStart"/>
      <w:r w:rsidRPr="00B46B4B">
        <w:rPr>
          <w:rFonts w:hint="cs"/>
          <w:rtl/>
        </w:rPr>
        <w:t>ואמא</w:t>
      </w:r>
      <w:proofErr w:type="spellEnd"/>
      <w:r w:rsidRPr="00B46B4B">
        <w:rPr>
          <w:rFonts w:hint="cs"/>
          <w:rtl/>
        </w:rPr>
        <w:t xml:space="preserve"> (</w:t>
      </w:r>
      <w:proofErr w:type="spellStart"/>
      <w:r w:rsidRPr="00B46B4B">
        <w:rPr>
          <w:rFonts w:hint="cs"/>
          <w:rtl/>
        </w:rPr>
        <w:t>או"א</w:t>
      </w:r>
      <w:proofErr w:type="spellEnd"/>
      <w:r w:rsidRPr="00B46B4B">
        <w:rPr>
          <w:rFonts w:hint="cs"/>
          <w:rtl/>
        </w:rPr>
        <w:t xml:space="preserve">,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 שבשם, חכמה ובינה). עליה זו, להתייחד שלא במקומם הטבעי, היא</w:t>
      </w:r>
      <w:r w:rsidRPr="00B46B4B">
        <w:rPr>
          <w:rFonts w:hint="cs"/>
          <w:rtl/>
        </w:rPr>
        <w:t xml:space="preserve"> משום שבמקומם הם נמצאים אחור באחור ואינם יכולים להתייחד כלל (בשל חשש יניקת החיצונים). עצם העובדה </w:t>
      </w:r>
      <w:proofErr w:type="spellStart"/>
      <w:r w:rsidRPr="00B46B4B">
        <w:rPr>
          <w:rFonts w:hint="cs"/>
          <w:rtl/>
        </w:rPr>
        <w:t>שהיחוד</w:t>
      </w:r>
      <w:proofErr w:type="spellEnd"/>
      <w:r w:rsidRPr="00B46B4B">
        <w:rPr>
          <w:rFonts w:hint="cs"/>
          <w:rtl/>
        </w:rPr>
        <w:t xml:space="preserve"> אינו יכול להתחולל במקומו, בו עומדים הזכר והנקבה אחור באחור, גורמת לכך </w:t>
      </w:r>
      <w:proofErr w:type="spellStart"/>
      <w:r w:rsidRPr="00B46B4B">
        <w:rPr>
          <w:rFonts w:hint="cs"/>
          <w:rtl/>
        </w:rPr>
        <w:t>שהיחוד</w:t>
      </w:r>
      <w:proofErr w:type="spellEnd"/>
      <w:r w:rsidRPr="00B46B4B">
        <w:rPr>
          <w:rFonts w:hint="cs"/>
          <w:rtl/>
        </w:rPr>
        <w:t xml:space="preserve"> המתחולל למעלה נקרא זיווג אחור באחור.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 xml:space="preserve">בחיי הנישואין תיאור זה מתאים מאד לימי הנדה, בהם אסור </w:t>
      </w:r>
      <w:proofErr w:type="spellStart"/>
      <w:r w:rsidRPr="00B46B4B">
        <w:rPr>
          <w:rFonts w:hint="cs"/>
          <w:rtl/>
        </w:rPr>
        <w:t>היחוד</w:t>
      </w:r>
      <w:proofErr w:type="spellEnd"/>
      <w:r w:rsidRPr="00B46B4B">
        <w:rPr>
          <w:rFonts w:hint="cs"/>
          <w:rtl/>
        </w:rPr>
        <w:t xml:space="preserve"> הפיזי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יחוד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>,</w:t>
      </w:r>
      <w:r>
        <w:rPr>
          <w:rFonts w:hint="cs"/>
          <w:rtl/>
        </w:rPr>
        <w:t xml:space="preserve"> השייך למקומם הטבעי של בני הזוג. עם זאת, מותר בימים אלו </w:t>
      </w:r>
      <w:proofErr w:type="spellStart"/>
      <w:r>
        <w:rPr>
          <w:rFonts w:hint="cs"/>
          <w:rtl/>
        </w:rPr>
        <w:t>ה</w:t>
      </w:r>
      <w:r w:rsidRPr="00B46B4B">
        <w:rPr>
          <w:rFonts w:hint="cs"/>
          <w:rtl/>
        </w:rPr>
        <w:t>יחוד</w:t>
      </w:r>
      <w:proofErr w:type="spellEnd"/>
      <w:r w:rsidRPr="00B46B4B">
        <w:rPr>
          <w:rFonts w:hint="cs"/>
          <w:rtl/>
        </w:rPr>
        <w:t xml:space="preserve"> במדרגות הנעלות יותר, יחוד שכלי ונפשי שהוא בגדר יחוד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C37DFC">
        <w:rPr>
          <w:rStyle w:val="a6"/>
          <w:rtl/>
        </w:rPr>
        <w:endnoteReference w:id="3"/>
      </w:r>
      <w:r w:rsidRPr="0022312D">
        <w:rPr>
          <w:rFonts w:hint="cs"/>
          <w:b/>
          <w:bCs/>
          <w:szCs w:val="28"/>
          <w:rtl/>
        </w:rPr>
        <w:t xml:space="preserve"> </w:t>
      </w:r>
      <w:r w:rsidRPr="00B46B4B">
        <w:rPr>
          <w:rFonts w:hint="cs"/>
          <w:rtl/>
        </w:rPr>
        <w:t xml:space="preserve">(ולפי התיאור הזה, מדויק יותר לומר שהוא יחוד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הניצב במדרגה של יחוד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bookmarkStart w:id="2" w:name="_Ref188267765"/>
      <w:r w:rsidRPr="00C37DFC">
        <w:rPr>
          <w:rStyle w:val="a6"/>
          <w:rtl/>
        </w:rPr>
        <w:endnoteReference w:id="4"/>
      </w:r>
      <w:bookmarkEnd w:id="2"/>
      <w:r w:rsidRPr="00B46B4B">
        <w:rPr>
          <w:rFonts w:hint="cs"/>
          <w:rtl/>
        </w:rPr>
        <w:t>, אלא ש-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B46B4B">
        <w:rPr>
          <w:rFonts w:hint="cs"/>
          <w:rtl/>
        </w:rPr>
        <w:t xml:space="preserve"> עצמם הם המוחין, המכונים פנימיות בכתבי </w:t>
      </w:r>
      <w:proofErr w:type="spellStart"/>
      <w:r w:rsidRPr="00B46B4B">
        <w:rPr>
          <w:rFonts w:hint="cs"/>
          <w:rtl/>
        </w:rPr>
        <w:t>האריז"ל</w:t>
      </w:r>
      <w:proofErr w:type="spellEnd"/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 xml:space="preserve">, ועל כן </w:t>
      </w:r>
      <w:proofErr w:type="spellStart"/>
      <w:r w:rsidRPr="00B46B4B">
        <w:rPr>
          <w:rFonts w:hint="cs"/>
          <w:rtl/>
        </w:rPr>
        <w:t>היחוד</w:t>
      </w:r>
      <w:proofErr w:type="spellEnd"/>
      <w:r w:rsidRPr="00B46B4B">
        <w:rPr>
          <w:rFonts w:hint="cs"/>
          <w:rtl/>
        </w:rPr>
        <w:t xml:space="preserve"> במדרגתם הוא תמיד </w:t>
      </w:r>
      <w:r w:rsidRPr="00B04702">
        <w:rPr>
          <w:rStyle w:val="a3"/>
          <w:rFonts w:hint="cs"/>
          <w:rtl/>
        </w:rPr>
        <w:t>פנים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בפנים</w:t>
      </w:r>
      <w:r w:rsidRPr="00B46B4B">
        <w:rPr>
          <w:rFonts w:hint="cs"/>
          <w:rtl/>
        </w:rPr>
        <w:t xml:space="preserve"> במובן של </w:t>
      </w:r>
      <w:r w:rsidRPr="00B04702">
        <w:rPr>
          <w:rStyle w:val="a3"/>
          <w:rFonts w:hint="cs"/>
          <w:rtl/>
        </w:rPr>
        <w:t>פנימיות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בפנימיות</w:t>
      </w:r>
      <w:r w:rsidRPr="00B46B4B">
        <w:rPr>
          <w:rFonts w:hint="cs"/>
          <w:rtl/>
        </w:rPr>
        <w:t xml:space="preserve">). 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 xml:space="preserve">גם ההופעה של יחוד כזה דווקא בכוונות חנוכה ופורים משמעותית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אלו חגים שאינם בטלים לעולם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>, היינו שבח</w:t>
      </w:r>
      <w:r>
        <w:rPr>
          <w:rFonts w:hint="cs"/>
          <w:rtl/>
        </w:rPr>
        <w:t xml:space="preserve">ינתם קיימת גם בזמני טומאה-גלות, </w:t>
      </w:r>
      <w:r w:rsidRPr="00B46B4B">
        <w:rPr>
          <w:rFonts w:hint="cs"/>
          <w:rtl/>
        </w:rPr>
        <w:t xml:space="preserve">בניגוד לחגי </w:t>
      </w:r>
      <w:r>
        <w:rPr>
          <w:rFonts w:hint="cs"/>
          <w:rtl/>
        </w:rPr>
        <w:t xml:space="preserve">התורה, שהם בבחינת ימי טהרה בלבד. </w:t>
      </w:r>
      <w:r w:rsidRPr="00B46B4B">
        <w:rPr>
          <w:rFonts w:hint="cs"/>
          <w:rtl/>
        </w:rPr>
        <w:t>בפרט, בחנוכה יש הנאה ותענוג מיוחדים מהנרות ש"אין לנו רשות להשתמש בהן [על דרך איסור התשמיש בימי הנדה] אלא לראותם בלבד [כשתענוג הראיה מתגבר עד אין סוף דווקא בגלל איסור התשמיש]"</w:t>
      </w:r>
      <w:r w:rsidRPr="00C37DFC">
        <w:rPr>
          <w:rStyle w:val="a6"/>
          <w:rtl/>
        </w:rPr>
        <w:endnoteReference w:id="7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זהו תענוג כה נעלה עד שרבי לוי יצחק </w:t>
      </w:r>
      <w:proofErr w:type="spellStart"/>
      <w:r w:rsidRPr="00B46B4B">
        <w:rPr>
          <w:rFonts w:hint="cs"/>
          <w:rtl/>
        </w:rPr>
        <w:t>מברדיטשוב</w:t>
      </w:r>
      <w:proofErr w:type="spellEnd"/>
      <w:r w:rsidRPr="00B46B4B">
        <w:rPr>
          <w:rFonts w:hint="cs"/>
          <w:rtl/>
        </w:rPr>
        <w:t xml:space="preserve"> התבטא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 שמי שלא חוה תענוג של נרות </w:t>
      </w:r>
      <w:r>
        <w:rPr>
          <w:rFonts w:hint="cs"/>
          <w:rtl/>
        </w:rPr>
        <w:t xml:space="preserve">חנוכה אינו יודע כלל מה הוא תענוג. </w:t>
      </w:r>
      <w:r w:rsidRPr="00B46B4B">
        <w:rPr>
          <w:rFonts w:hint="cs"/>
          <w:rtl/>
        </w:rPr>
        <w:t>בפורים</w:t>
      </w:r>
      <w:r>
        <w:rPr>
          <w:rFonts w:hint="cs"/>
          <w:rtl/>
        </w:rPr>
        <w:t xml:space="preserve"> המעלה היא הרגשת </w:t>
      </w:r>
      <w:r w:rsidRPr="00B46B4B">
        <w:rPr>
          <w:rFonts w:hint="cs"/>
          <w:rtl/>
        </w:rPr>
        <w:t>ה"</w:t>
      </w:r>
      <w:r w:rsidRPr="00B46B4B">
        <w:rPr>
          <w:rFonts w:hint="cs"/>
          <w:b/>
          <w:bCs/>
          <w:sz w:val="28"/>
          <w:szCs w:val="28"/>
          <w:rtl/>
        </w:rPr>
        <w:t>שכינה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ביניהם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 xml:space="preserve"> באופן של "עד דלא ידע בין </w:t>
      </w:r>
      <w:r w:rsidRPr="00B46B4B">
        <w:rPr>
          <w:rFonts w:hint="cs"/>
          <w:b/>
          <w:bCs/>
          <w:sz w:val="28"/>
          <w:szCs w:val="28"/>
          <w:rtl/>
        </w:rPr>
        <w:t>ארור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המן</w:t>
      </w:r>
      <w:r w:rsidRPr="00B46B4B">
        <w:rPr>
          <w:rFonts w:hint="cs"/>
          <w:rtl/>
        </w:rPr>
        <w:t xml:space="preserve"> [ימי הטומאה] ל</w:t>
      </w:r>
      <w:r w:rsidRPr="00B46B4B">
        <w:rPr>
          <w:rFonts w:hint="cs"/>
          <w:b/>
          <w:bCs/>
          <w:sz w:val="28"/>
          <w:szCs w:val="28"/>
          <w:rtl/>
        </w:rPr>
        <w:t>ברוך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מרדכי</w:t>
      </w:r>
      <w:r w:rsidRPr="00B46B4B">
        <w:rPr>
          <w:rFonts w:hint="cs"/>
          <w:rtl/>
        </w:rPr>
        <w:t xml:space="preserve"> [שבימי הטהרה]"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>.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>והנה, בחסידות מבואר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 כי כשם שיש יתרון </w:t>
      </w:r>
      <w:proofErr w:type="spellStart"/>
      <w:r w:rsidRPr="00B46B4B">
        <w:rPr>
          <w:rFonts w:hint="cs"/>
          <w:rtl/>
        </w:rPr>
        <w:t>ליחוד</w:t>
      </w:r>
      <w:proofErr w:type="spellEnd"/>
      <w:r w:rsidRPr="00B46B4B">
        <w:rPr>
          <w:rFonts w:hint="cs"/>
          <w:rtl/>
        </w:rPr>
        <w:t xml:space="preserve"> פנים בפנים, יחוד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הנעשה במקומם של הזכר והנקבה, כך יש גם יתרון </w:t>
      </w:r>
      <w:proofErr w:type="spellStart"/>
      <w:r w:rsidRPr="00B46B4B">
        <w:rPr>
          <w:rFonts w:hint="cs"/>
          <w:rtl/>
        </w:rPr>
        <w:t>ליחודם</w:t>
      </w:r>
      <w:proofErr w:type="spellEnd"/>
      <w:r w:rsidRPr="00B46B4B">
        <w:rPr>
          <w:rFonts w:hint="cs"/>
          <w:rtl/>
        </w:rPr>
        <w:t xml:space="preserve"> הנעשה בהיכל אבא </w:t>
      </w:r>
      <w:proofErr w:type="spellStart"/>
      <w:r w:rsidRPr="00B46B4B">
        <w:rPr>
          <w:rFonts w:hint="cs"/>
          <w:rtl/>
        </w:rPr>
        <w:t>ואמא</w:t>
      </w:r>
      <w:proofErr w:type="spellEnd"/>
      <w:r w:rsidRPr="00B46B4B">
        <w:rPr>
          <w:rFonts w:hint="cs"/>
          <w:rtl/>
        </w:rPr>
        <w:t xml:space="preserve">, משום שמקומו ומהותו נעלית יותר. כדי ליישב את הסתירה-לכאורה בין </w:t>
      </w:r>
      <w:r>
        <w:rPr>
          <w:rFonts w:hint="cs"/>
          <w:rtl/>
        </w:rPr>
        <w:t>הביאור</w:t>
      </w:r>
      <w:r w:rsidRPr="00B46B4B">
        <w:rPr>
          <w:rFonts w:hint="cs"/>
          <w:rtl/>
        </w:rPr>
        <w:t xml:space="preserve"> שיש עדיפות </w:t>
      </w:r>
      <w:proofErr w:type="spellStart"/>
      <w:r w:rsidRPr="00B46B4B">
        <w:rPr>
          <w:rFonts w:hint="cs"/>
          <w:rtl/>
        </w:rPr>
        <w:t>ליחוד</w:t>
      </w:r>
      <w:proofErr w:type="spellEnd"/>
      <w:r w:rsidRPr="00B46B4B">
        <w:rPr>
          <w:rFonts w:hint="cs"/>
          <w:rtl/>
        </w:rPr>
        <w:t xml:space="preserve"> מסוים לבין </w:t>
      </w:r>
      <w:r>
        <w:rPr>
          <w:rFonts w:hint="cs"/>
          <w:rtl/>
        </w:rPr>
        <w:t xml:space="preserve">יחוס </w:t>
      </w:r>
      <w:r w:rsidRPr="00B46B4B">
        <w:rPr>
          <w:rFonts w:hint="cs"/>
          <w:rtl/>
        </w:rPr>
        <w:t xml:space="preserve">עדיפות דווקא </w:t>
      </w:r>
      <w:proofErr w:type="spellStart"/>
      <w:r w:rsidRPr="00B46B4B">
        <w:rPr>
          <w:rFonts w:hint="cs"/>
          <w:rtl/>
        </w:rPr>
        <w:t>ליחוד</w:t>
      </w:r>
      <w:proofErr w:type="spellEnd"/>
      <w:r w:rsidRPr="00B46B4B">
        <w:rPr>
          <w:rFonts w:hint="cs"/>
          <w:rtl/>
        </w:rPr>
        <w:t xml:space="preserve"> השני, מבואר כי </w:t>
      </w:r>
      <w:proofErr w:type="spellStart"/>
      <w:r w:rsidRPr="00B46B4B">
        <w:rPr>
          <w:rFonts w:hint="cs"/>
          <w:rtl/>
        </w:rPr>
        <w:t>הכל</w:t>
      </w:r>
      <w:proofErr w:type="spellEnd"/>
      <w:r w:rsidRPr="00B46B4B">
        <w:rPr>
          <w:rFonts w:hint="cs"/>
          <w:rtl/>
        </w:rPr>
        <w:t xml:space="preserve"> נעוץ בסוגית היחסים בין המח והלב, בה מתברר שתמיד אפשר לעלות מעלה מעלה בקדש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המח הוא מעל הלב, אך ללב יש שרש מעל המח, ומעל שרש זה שוב ניתן </w:t>
      </w:r>
      <w:r w:rsidRPr="00B46B4B">
        <w:rPr>
          <w:rFonts w:hint="cs"/>
          <w:rtl/>
        </w:rPr>
        <w:lastRenderedPageBreak/>
        <w:t xml:space="preserve">לזהות שרש למח, וחוזר חלילה עד אין סוף. </w:t>
      </w:r>
      <w:r>
        <w:rPr>
          <w:rFonts w:hint="cs"/>
          <w:rtl/>
        </w:rPr>
        <w:t xml:space="preserve">כך </w:t>
      </w:r>
      <w:r w:rsidRPr="00B46B4B">
        <w:rPr>
          <w:rFonts w:hint="cs"/>
          <w:rtl/>
        </w:rPr>
        <w:t xml:space="preserve">כאן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יחוד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במקומו (לב) נמוך </w:t>
      </w:r>
      <w:proofErr w:type="spellStart"/>
      <w:r w:rsidRPr="00B46B4B">
        <w:rPr>
          <w:rFonts w:hint="cs"/>
          <w:rtl/>
        </w:rPr>
        <w:t>מהיחוד</w:t>
      </w:r>
      <w:proofErr w:type="spellEnd"/>
      <w:r w:rsidRPr="00B46B4B">
        <w:rPr>
          <w:rFonts w:hint="cs"/>
          <w:rtl/>
        </w:rPr>
        <w:t xml:space="preserve"> בהיכל העליון (מח), אך יש לו שרש נעלה עוד יותר, וחוזר חלילה. 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 xml:space="preserve">גם בחיי הנישואין, זוג שמקבל את כל מחזור הקירוב והריחוק בשמחה ובתחושה </w:t>
      </w:r>
      <w:proofErr w:type="spellStart"/>
      <w:r w:rsidRPr="00B46B4B">
        <w:rPr>
          <w:rFonts w:hint="cs"/>
          <w:rtl/>
        </w:rPr>
        <w:t>שהכל</w:t>
      </w:r>
      <w:proofErr w:type="spellEnd"/>
      <w:r w:rsidRPr="00B46B4B">
        <w:rPr>
          <w:rFonts w:hint="cs"/>
          <w:rtl/>
        </w:rPr>
        <w:t xml:space="preserve"> רווי קירוב</w:t>
      </w:r>
      <w:r w:rsidRPr="00C37DFC">
        <w:rPr>
          <w:rStyle w:val="a6"/>
          <w:rtl/>
        </w:rPr>
        <w:endnoteReference w:id="12"/>
      </w:r>
      <w:r w:rsidRPr="00B46B4B">
        <w:rPr>
          <w:rFonts w:hint="cs"/>
          <w:rtl/>
        </w:rPr>
        <w:t>, חווה</w:t>
      </w:r>
      <w:r>
        <w:rPr>
          <w:rFonts w:hint="cs"/>
          <w:rtl/>
        </w:rPr>
        <w:t xml:space="preserve"> בכל שלב את מעלתו על השלב הקודם:</w:t>
      </w:r>
      <w:r w:rsidRPr="00B46B4B">
        <w:rPr>
          <w:rFonts w:hint="cs"/>
          <w:rtl/>
        </w:rPr>
        <w:t xml:space="preserve"> את המעבר מימי הטהרה לטומאה הוא חווה כעליה ממדור תחתון להיכל עליון יותר, מקרבה גופנית לקרבה רוחנית</w:t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אחר כך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את הטהרה המחודשת הוא חווה כזיווג נעלה יותר דווקא</w:t>
      </w:r>
      <w:r>
        <w:rPr>
          <w:rFonts w:hint="cs"/>
          <w:rtl/>
        </w:rPr>
        <w:t xml:space="preserve"> במקומו, כשכל הקשר מתממש ומתעצם, ו</w:t>
      </w:r>
      <w:r w:rsidRPr="00B46B4B">
        <w:rPr>
          <w:rFonts w:hint="cs"/>
          <w:rtl/>
        </w:rPr>
        <w:t>חוזר חלילה</w:t>
      </w:r>
      <w:r w:rsidRPr="00C37DFC">
        <w:rPr>
          <w:rStyle w:val="a6"/>
          <w:rtl/>
        </w:rPr>
        <w:endnoteReference w:id="13"/>
      </w:r>
      <w:r w:rsidRPr="00B46B4B">
        <w:rPr>
          <w:rFonts w:hint="cs"/>
          <w:rtl/>
        </w:rPr>
        <w:t>. אז כל החיים הם מחזור שעולה באופן ספיראלי, עד אין קץ.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 xml:space="preserve">והנה, מעלה עיקרית של הזיווג פנים בפנים (על זיווג אחור באחור), זיווג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במקומו, היא שרק הוא מסוגל להוליד (וכן זו מעלת זיווג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על זיווג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C37DFC">
        <w:rPr>
          <w:rStyle w:val="a6"/>
          <w:rtl/>
        </w:rPr>
        <w:endnoteReference w:id="14"/>
      </w:r>
      <w:r>
        <w:rPr>
          <w:rFonts w:hint="cs"/>
          <w:rtl/>
        </w:rPr>
        <w:t xml:space="preserve">). </w:t>
      </w:r>
      <w:r w:rsidRPr="00B46B4B">
        <w:rPr>
          <w:rFonts w:hint="cs"/>
          <w:rtl/>
        </w:rPr>
        <w:t xml:space="preserve">כן הוא, כמובן, גם בחיי הנישואין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לידה באה רק מהזיווג הגשמי של ימי הטהרה. הקשר שבימי הטומאה הוא בסוד שם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, </w:t>
      </w:r>
      <w:r w:rsidRPr="00B46B4B">
        <w:rPr>
          <w:rFonts w:hint="cs"/>
          <w:rtl/>
        </w:rPr>
        <w:t xml:space="preserve">כאשר זיווג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 xml:space="preserve"> עולה אליו ובטל בתוכו. לעומתו, </w:t>
      </w:r>
      <w:r w:rsidRPr="00B46B4B">
        <w:rPr>
          <w:rFonts w:hint="cs"/>
          <w:rtl/>
        </w:rPr>
        <w:t xml:space="preserve">הקשר המוליד של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בימי הטהרה הוא בסוד שם </w:t>
      </w:r>
      <w:r w:rsidRPr="00B46B4B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 xml:space="preserve">' שלם, </w:t>
      </w:r>
      <w:r w:rsidRPr="00B46B4B">
        <w:rPr>
          <w:rFonts w:hint="cs"/>
          <w:rtl/>
        </w:rPr>
        <w:t xml:space="preserve">שהרי היכולת של זיווג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להתחולל ולהוליד הוא בזכות המשכה אליו מזיווג חדש של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כך</w:t>
      </w:r>
      <w:r>
        <w:rPr>
          <w:rFonts w:hint="cs"/>
          <w:rtl/>
        </w:rPr>
        <w:t>, שוב ושוב,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עולים היחסים בין הקשרים </w:t>
      </w:r>
      <w:r w:rsidRPr="00B46B4B">
        <w:rPr>
          <w:rFonts w:hint="cs"/>
          <w:rtl/>
        </w:rPr>
        <w:t>מעלה מעלה</w:t>
      </w:r>
      <w:r w:rsidRPr="00C37DFC">
        <w:rPr>
          <w:rStyle w:val="a6"/>
          <w:rtl/>
        </w:rPr>
        <w:endnoteReference w:id="15"/>
      </w:r>
      <w:r>
        <w:rPr>
          <w:rFonts w:hint="cs"/>
          <w:rtl/>
        </w:rPr>
        <w:t>.</w:t>
      </w:r>
    </w:p>
    <w:p w:rsidR="002D4C1A" w:rsidRPr="00B46B4B" w:rsidRDefault="002D4C1A" w:rsidP="002D4C1A">
      <w:pPr>
        <w:rPr>
          <w:rFonts w:hint="cs"/>
          <w:rtl/>
        </w:rPr>
      </w:pPr>
      <w:r w:rsidRPr="00B46B4B">
        <w:rPr>
          <w:rFonts w:hint="cs"/>
          <w:rtl/>
        </w:rPr>
        <w:t xml:space="preserve">על כל זה יש לדרוש את </w:t>
      </w:r>
      <w:r>
        <w:rPr>
          <w:rFonts w:hint="cs"/>
          <w:rtl/>
        </w:rPr>
        <w:t xml:space="preserve">כל </w:t>
      </w:r>
      <w:r w:rsidRPr="00B46B4B">
        <w:rPr>
          <w:rFonts w:hint="cs"/>
          <w:rtl/>
        </w:rPr>
        <w:t>הפסוק "</w:t>
      </w:r>
      <w:r>
        <w:rPr>
          <w:rFonts w:hint="cs"/>
          <w:rtl/>
        </w:rPr>
        <w:t xml:space="preserve">בטחו </w:t>
      </w:r>
      <w:proofErr w:type="spellStart"/>
      <w:r>
        <w:rPr>
          <w:rFonts w:hint="cs"/>
          <w:rtl/>
        </w:rPr>
        <w:t>בהוי</w:t>
      </w:r>
      <w:proofErr w:type="spellEnd"/>
      <w:r>
        <w:rPr>
          <w:rFonts w:hint="cs"/>
          <w:rtl/>
        </w:rPr>
        <w:t>' עדי עד כי בי הוי' צור עולמים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6"/>
      </w:r>
      <w:r>
        <w:rPr>
          <w:rFonts w:hint="cs"/>
          <w:rtl/>
        </w:rPr>
        <w:t xml:space="preserve">: </w:t>
      </w:r>
      <w:r w:rsidRPr="00B46B4B">
        <w:rPr>
          <w:rFonts w:hint="cs"/>
          <w:rtl/>
        </w:rPr>
        <w:t>"</w:t>
      </w:r>
      <w:r w:rsidRPr="00B04702">
        <w:rPr>
          <w:rStyle w:val="a3"/>
          <w:rFonts w:hint="cs"/>
          <w:rtl/>
        </w:rPr>
        <w:t>בטחו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בהוי</w:t>
      </w:r>
      <w:proofErr w:type="spellEnd"/>
      <w:r w:rsidRPr="00B46B4B">
        <w:rPr>
          <w:rFonts w:hint="cs"/>
          <w:rtl/>
        </w:rPr>
        <w:t xml:space="preserve">'" רומז לזיווג ודבקות (לשון </w:t>
      </w:r>
      <w:proofErr w:type="spellStart"/>
      <w:r w:rsidRPr="00B04702">
        <w:rPr>
          <w:rStyle w:val="a3"/>
          <w:rFonts w:hint="cs"/>
          <w:rtl/>
        </w:rPr>
        <w:t>טיחה</w:t>
      </w:r>
      <w:proofErr w:type="spellEnd"/>
      <w:r w:rsidRPr="00C37DFC">
        <w:rPr>
          <w:rStyle w:val="a6"/>
          <w:rtl/>
        </w:rPr>
        <w:endnoteReference w:id="17"/>
      </w:r>
      <w:r w:rsidRPr="00B46B4B">
        <w:rPr>
          <w:rFonts w:hint="cs"/>
          <w:rtl/>
        </w:rPr>
        <w:t xml:space="preserve">) מתוך תודעה </w:t>
      </w:r>
      <w:proofErr w:type="spellStart"/>
      <w:r w:rsidRPr="00B46B4B">
        <w:rPr>
          <w:rFonts w:hint="cs"/>
          <w:rtl/>
        </w:rPr>
        <w:t>אלקות</w:t>
      </w:r>
      <w:proofErr w:type="spellEnd"/>
      <w:r w:rsidRPr="00B46B4B">
        <w:rPr>
          <w:rFonts w:hint="cs"/>
          <w:rtl/>
        </w:rPr>
        <w:t xml:space="preserve">, ומתוך בטחון בה' </w:t>
      </w:r>
      <w:r>
        <w:rPr>
          <w:rFonts w:hint="cs"/>
          <w:rtl/>
        </w:rPr>
        <w:t>של בני הזוג שיזכו להעמיד בן ובת.</w:t>
      </w:r>
      <w:r w:rsidRPr="00B46B4B">
        <w:rPr>
          <w:rFonts w:hint="cs"/>
          <w:rtl/>
        </w:rPr>
        <w:t xml:space="preserve"> "</w:t>
      </w:r>
      <w:r w:rsidRPr="00B04702">
        <w:rPr>
          <w:rStyle w:val="a3"/>
          <w:rFonts w:hint="cs"/>
          <w:rtl/>
        </w:rPr>
        <w:t>עדי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עד</w:t>
      </w:r>
      <w:r w:rsidRPr="00B46B4B">
        <w:rPr>
          <w:rFonts w:hint="cs"/>
          <w:rtl/>
        </w:rPr>
        <w:t xml:space="preserve">" רומז לתשמיש בשני </w:t>
      </w:r>
      <w:r w:rsidRPr="00B04702">
        <w:rPr>
          <w:rStyle w:val="a3"/>
          <w:rFonts w:hint="cs"/>
          <w:rtl/>
        </w:rPr>
        <w:t>עדים</w:t>
      </w:r>
      <w:r>
        <w:rPr>
          <w:rFonts w:hint="cs"/>
          <w:rtl/>
        </w:rPr>
        <w:t xml:space="preserve">, </w:t>
      </w:r>
      <w:r w:rsidRPr="00B46B4B">
        <w:rPr>
          <w:rFonts w:hint="cs"/>
          <w:rtl/>
        </w:rPr>
        <w:t xml:space="preserve">מתוך זהירות מפני ראית </w:t>
      </w:r>
      <w:proofErr w:type="spellStart"/>
      <w:r w:rsidRPr="00B46B4B">
        <w:rPr>
          <w:rFonts w:hint="cs"/>
          <w:rtl/>
        </w:rPr>
        <w:t>טפת</w:t>
      </w:r>
      <w:proofErr w:type="spellEnd"/>
      <w:r w:rsidRPr="00B46B4B">
        <w:rPr>
          <w:rFonts w:hint="cs"/>
          <w:rtl/>
        </w:rPr>
        <w:t xml:space="preserve"> דם</w:t>
      </w:r>
      <w:r w:rsidRPr="00C37DFC">
        <w:rPr>
          <w:rStyle w:val="a6"/>
          <w:rtl/>
        </w:rPr>
        <w:endnoteReference w:id="18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דבר </w:t>
      </w:r>
      <w:r>
        <w:rPr>
          <w:rFonts w:hint="cs"/>
          <w:rtl/>
        </w:rPr>
        <w:t xml:space="preserve">זה </w:t>
      </w:r>
      <w:r w:rsidRPr="00B46B4B">
        <w:rPr>
          <w:rFonts w:hint="cs"/>
          <w:rtl/>
        </w:rPr>
        <w:t xml:space="preserve">מחדיר את תודעת ה"נוגע ואינו נוגע" גם לתוך הזיווג, </w:t>
      </w:r>
      <w:proofErr w:type="spellStart"/>
      <w:r w:rsidRPr="00B46B4B">
        <w:rPr>
          <w:rFonts w:hint="cs"/>
          <w:rtl/>
        </w:rPr>
        <w:t>כש"</w:t>
      </w:r>
      <w:r w:rsidRPr="00B04702">
        <w:rPr>
          <w:rStyle w:val="a3"/>
          <w:rFonts w:hint="cs"/>
          <w:rtl/>
        </w:rPr>
        <w:t>עד</w:t>
      </w:r>
      <w:proofErr w:type="spellEnd"/>
      <w:r w:rsidRPr="00B46B4B">
        <w:rPr>
          <w:rFonts w:hint="cs"/>
          <w:rtl/>
        </w:rPr>
        <w:t>" הוא גם מלשון "לסור"</w:t>
      </w:r>
      <w:r w:rsidRPr="00C37DFC">
        <w:rPr>
          <w:rStyle w:val="a6"/>
          <w:rtl/>
        </w:rPr>
        <w:endnoteReference w:id="19"/>
      </w:r>
      <w:r>
        <w:rPr>
          <w:rFonts w:hint="cs"/>
          <w:rtl/>
        </w:rPr>
        <w:t xml:space="preserve">, והדבר </w:t>
      </w:r>
      <w:r w:rsidRPr="00B46B4B">
        <w:rPr>
          <w:rFonts w:hint="cs"/>
          <w:rtl/>
        </w:rPr>
        <w:t xml:space="preserve">מדגיש </w:t>
      </w:r>
      <w:r>
        <w:rPr>
          <w:rFonts w:hint="cs"/>
          <w:rtl/>
        </w:rPr>
        <w:t>את הנכונות לסור ממגע ברגע הנכון.</w:t>
      </w:r>
      <w:r w:rsidRPr="00B46B4B">
        <w:rPr>
          <w:rFonts w:hint="cs"/>
          <w:rtl/>
        </w:rPr>
        <w:t xml:space="preserve"> "כי ביה הוי' צור עולמים" רומז לכך שעל ידי הזיווג העליון בימי הטומאה ("ב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B46B4B">
        <w:rPr>
          <w:rFonts w:hint="cs"/>
          <w:rtl/>
        </w:rPr>
        <w:t>") זוכים לזיווג השלם בימי הטהרה, מתעצמים עם השם המפורש כולו, וזוכים להעמיד בן ובת (כנודע ששם הוי' כו</w:t>
      </w:r>
      <w:r>
        <w:rPr>
          <w:rFonts w:hint="cs"/>
          <w:rtl/>
        </w:rPr>
        <w:t>לו הוא בסוד אבא-</w:t>
      </w:r>
      <w:proofErr w:type="spellStart"/>
      <w:r>
        <w:rPr>
          <w:rFonts w:hint="cs"/>
          <w:rtl/>
        </w:rPr>
        <w:t>אמא</w:t>
      </w:r>
      <w:proofErr w:type="spellEnd"/>
      <w:r>
        <w:rPr>
          <w:rFonts w:hint="cs"/>
          <w:rtl/>
        </w:rPr>
        <w:t>-בן-בת).</w:t>
      </w:r>
      <w:r w:rsidRPr="00B46B4B">
        <w:rPr>
          <w:rFonts w:hint="cs"/>
          <w:rtl/>
        </w:rPr>
        <w:t xml:space="preserve"> והיינו "צור עולמים", ביצירת וציור בן ובת שכל אחד מהם הוא עולם מלא</w:t>
      </w:r>
      <w:r w:rsidRPr="00C37DFC">
        <w:rPr>
          <w:rStyle w:val="a6"/>
          <w:rtl/>
        </w:rPr>
        <w:endnoteReference w:id="20"/>
      </w:r>
      <w:r w:rsidRPr="00B46B4B">
        <w:rPr>
          <w:rFonts w:hint="cs"/>
          <w:rtl/>
        </w:rPr>
        <w:t>.</w:t>
      </w:r>
      <w:r>
        <w:rPr>
          <w:rFonts w:hint="cs"/>
          <w:rtl/>
        </w:rPr>
        <w:t xml:space="preserve"> כל </w:t>
      </w:r>
      <w:r w:rsidRPr="00B46B4B">
        <w:rPr>
          <w:rFonts w:hint="cs"/>
          <w:rtl/>
        </w:rPr>
        <w:t>הפסוק "</w:t>
      </w:r>
      <w:r w:rsidRPr="00B46B4B">
        <w:rPr>
          <w:rFonts w:hint="cs"/>
          <w:b/>
          <w:bCs/>
          <w:sz w:val="28"/>
          <w:szCs w:val="28"/>
          <w:rtl/>
        </w:rPr>
        <w:t>בטחו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בהוי</w:t>
      </w:r>
      <w:proofErr w:type="spellEnd"/>
      <w:r w:rsidRPr="00B46B4B">
        <w:rPr>
          <w:rFonts w:hint="cs"/>
          <w:rtl/>
        </w:rPr>
        <w:t xml:space="preserve">' </w:t>
      </w:r>
      <w:r w:rsidRPr="00B46B4B">
        <w:rPr>
          <w:rFonts w:hint="cs"/>
          <w:b/>
          <w:bCs/>
          <w:sz w:val="28"/>
          <w:szCs w:val="28"/>
          <w:rtl/>
        </w:rPr>
        <w:t>עדי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עד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כי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ביה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הוי</w:t>
      </w:r>
      <w:r w:rsidRPr="00B46B4B">
        <w:rPr>
          <w:rFonts w:hint="cs"/>
          <w:rtl/>
        </w:rPr>
        <w:t xml:space="preserve">' </w:t>
      </w:r>
      <w:r w:rsidRPr="00B46B4B">
        <w:rPr>
          <w:rFonts w:hint="cs"/>
          <w:b/>
          <w:bCs/>
          <w:sz w:val="28"/>
          <w:szCs w:val="28"/>
          <w:rtl/>
        </w:rPr>
        <w:t>צור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עולמים</w:t>
      </w:r>
      <w:r w:rsidRPr="00B46B4B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עולה </w:t>
      </w:r>
      <w:proofErr w:type="spellStart"/>
      <w:r w:rsidRPr="00B46B4B">
        <w:rPr>
          <w:rFonts w:hint="cs"/>
          <w:rtl/>
        </w:rPr>
        <w:t>בגימטריא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ביאת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המשיח</w:t>
      </w:r>
      <w:r w:rsidRPr="00B46B4B">
        <w:rPr>
          <w:rFonts w:hint="cs"/>
          <w:rtl/>
        </w:rPr>
        <w:t xml:space="preserve"> וכן עולה "</w:t>
      </w:r>
      <w:r w:rsidRPr="00B46B4B">
        <w:rPr>
          <w:rFonts w:hint="cs"/>
          <w:b/>
          <w:bCs/>
          <w:sz w:val="28"/>
          <w:szCs w:val="28"/>
          <w:rtl/>
        </w:rPr>
        <w:t>ופרצת</w:t>
      </w:r>
      <w:r w:rsidRPr="00B46B4B">
        <w:rPr>
          <w:rFonts w:hint="cs"/>
          <w:rtl/>
        </w:rPr>
        <w:t xml:space="preserve"> [בלידת ילדים]"</w:t>
      </w:r>
      <w:r w:rsidRPr="00C37DFC">
        <w:rPr>
          <w:rStyle w:val="a6"/>
          <w:rtl/>
        </w:rPr>
        <w:endnoteReference w:id="21"/>
      </w:r>
      <w:r w:rsidRPr="00B46B4B">
        <w:rPr>
          <w:rFonts w:hint="cs"/>
          <w:rtl/>
        </w:rPr>
        <w:t xml:space="preserve"> וכו'</w:t>
      </w:r>
      <w:r w:rsidRPr="00C37DFC">
        <w:rPr>
          <w:rStyle w:val="a6"/>
          <w:rtl/>
        </w:rPr>
        <w:endnoteReference w:id="22"/>
      </w:r>
      <w:r>
        <w:rPr>
          <w:rFonts w:hint="cs"/>
          <w:rtl/>
        </w:rPr>
        <w:t>.</w:t>
      </w:r>
    </w:p>
    <w:p w:rsidR="005F4A47" w:rsidRDefault="00B2799A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9A" w:rsidRDefault="00B2799A" w:rsidP="002D4C1A">
      <w:pPr>
        <w:spacing w:after="0" w:line="240" w:lineRule="auto"/>
      </w:pPr>
      <w:r>
        <w:separator/>
      </w:r>
    </w:p>
  </w:endnote>
  <w:endnote w:type="continuationSeparator" w:id="0">
    <w:p w:rsidR="00B2799A" w:rsidRDefault="00B2799A" w:rsidP="002D4C1A">
      <w:pPr>
        <w:spacing w:after="0" w:line="240" w:lineRule="auto"/>
      </w:pPr>
      <w:r>
        <w:continuationSeparator/>
      </w:r>
    </w:p>
  </w:endnote>
  <w:endnote w:id="1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וכנ"ל בתורה "פנים ואחור במחזור חיי הנישואין" באורך.</w:t>
      </w:r>
    </w:p>
  </w:endnote>
  <w:endnote w:id="2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עץ חיים שער מ דרוש ז (ועיין שמן ששון שם). חסדי דוד סימן </w:t>
      </w:r>
      <w:proofErr w:type="spellStart"/>
      <w:r>
        <w:rPr>
          <w:rFonts w:hint="cs"/>
          <w:rtl/>
        </w:rPr>
        <w:t>עח</w:t>
      </w:r>
      <w:proofErr w:type="spellEnd"/>
      <w:r>
        <w:rPr>
          <w:rFonts w:hint="cs"/>
          <w:rtl/>
        </w:rPr>
        <w:t xml:space="preserve">. וראה (גם בחלק מהבא לקמן) חסדי דוד </w:t>
      </w:r>
      <w:proofErr w:type="spellStart"/>
      <w:r>
        <w:rPr>
          <w:rFonts w:hint="cs"/>
          <w:rtl/>
        </w:rPr>
        <w:t>קכ</w:t>
      </w:r>
      <w:proofErr w:type="spellEnd"/>
      <w:r>
        <w:rPr>
          <w:rFonts w:hint="cs"/>
          <w:rtl/>
        </w:rPr>
        <w:t xml:space="preserve"> וביאורו בחסדי דוד הנאמנים י עמ' 45-47.</w:t>
      </w:r>
    </w:p>
  </w:endnote>
  <w:endnote w:id="3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בתורה הקודמת, ולקמן שער ו בתורה "אש תמיד".</w:t>
      </w:r>
    </w:p>
  </w:endnote>
  <w:endnote w:id="4">
    <w:p w:rsidR="002D4C1A" w:rsidRPr="00A76A01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A76A01">
        <w:rPr>
          <w:rFonts w:hint="cs"/>
          <w:rtl/>
        </w:rPr>
        <w:t xml:space="preserve">בזכות יחוד </w:t>
      </w:r>
      <w:proofErr w:type="spellStart"/>
      <w:r w:rsidRPr="00A76A01">
        <w:rPr>
          <w:rFonts w:hint="cs"/>
          <w:b/>
          <w:bCs/>
          <w:sz w:val="24"/>
          <w:szCs w:val="24"/>
          <w:rtl/>
        </w:rPr>
        <w:t>וה</w:t>
      </w:r>
      <w:proofErr w:type="spellEnd"/>
      <w:r w:rsidRPr="00A76A01">
        <w:rPr>
          <w:rFonts w:hint="cs"/>
          <w:rtl/>
        </w:rPr>
        <w:t xml:space="preserve"> במדרגת </w:t>
      </w:r>
      <w:r w:rsidRPr="00A76A01">
        <w:rPr>
          <w:rFonts w:hint="cs"/>
          <w:b/>
          <w:bCs/>
          <w:sz w:val="24"/>
          <w:szCs w:val="24"/>
          <w:rtl/>
        </w:rPr>
        <w:t>יה</w:t>
      </w:r>
      <w:r w:rsidRPr="00A76A01">
        <w:rPr>
          <w:rFonts w:hint="cs"/>
          <w:rtl/>
        </w:rPr>
        <w:t xml:space="preserve"> עתידים לזכות לעתיד לבוא ליעוד של "ביום ההוא </w:t>
      </w:r>
      <w:r w:rsidRPr="00A76A01">
        <w:rPr>
          <w:rFonts w:hint="cs"/>
          <w:b/>
          <w:bCs/>
          <w:sz w:val="24"/>
          <w:szCs w:val="24"/>
          <w:rtl/>
        </w:rPr>
        <w:t>יהיה</w:t>
      </w:r>
      <w:r w:rsidRPr="00A76A01">
        <w:rPr>
          <w:rFonts w:hint="cs"/>
          <w:rtl/>
        </w:rPr>
        <w:t xml:space="preserve"> </w:t>
      </w:r>
      <w:r w:rsidRPr="00A76A01">
        <w:rPr>
          <w:rFonts w:hint="cs"/>
          <w:b/>
          <w:bCs/>
          <w:sz w:val="24"/>
          <w:szCs w:val="24"/>
          <w:rtl/>
        </w:rPr>
        <w:t>הוי</w:t>
      </w:r>
      <w:r w:rsidRPr="00A76A01">
        <w:rPr>
          <w:rFonts w:hint="cs"/>
          <w:rtl/>
        </w:rPr>
        <w:t xml:space="preserve">'" (זכריה יד, ט), שיחוד </w:t>
      </w:r>
      <w:proofErr w:type="spellStart"/>
      <w:r w:rsidRPr="00A76A01">
        <w:rPr>
          <w:rFonts w:hint="cs"/>
          <w:b/>
          <w:bCs/>
          <w:sz w:val="24"/>
          <w:szCs w:val="24"/>
          <w:rtl/>
        </w:rPr>
        <w:t>וה</w:t>
      </w:r>
      <w:proofErr w:type="spellEnd"/>
      <w:r w:rsidRPr="00A76A01">
        <w:rPr>
          <w:rFonts w:hint="cs"/>
          <w:rtl/>
        </w:rPr>
        <w:t xml:space="preserve">, במקומו שלו, יהיה במדרגה של יחוד </w:t>
      </w:r>
      <w:r w:rsidRPr="00A76A01">
        <w:rPr>
          <w:rFonts w:hint="cs"/>
          <w:b/>
          <w:bCs/>
          <w:sz w:val="24"/>
          <w:szCs w:val="24"/>
          <w:rtl/>
        </w:rPr>
        <w:t>יה</w:t>
      </w:r>
      <w:r w:rsidRPr="00A76A01">
        <w:rPr>
          <w:rFonts w:hint="cs"/>
          <w:rtl/>
        </w:rPr>
        <w:t xml:space="preserve"> </w:t>
      </w:r>
      <w:r w:rsidRPr="00A76A01">
        <w:rPr>
          <w:rtl/>
        </w:rPr>
        <w:t>–</w:t>
      </w:r>
      <w:r w:rsidRPr="00A76A01">
        <w:rPr>
          <w:rFonts w:hint="cs"/>
          <w:rtl/>
        </w:rPr>
        <w:t xml:space="preserve"> וזו הסיבה הפנימית שחנוכה ופורים אינם בטלים לעולם (גם כשיבטלו שאר החגים, לעתיד לבוא), שהרי הם הגורם למדרגה הנעלית שלעתיד לבוא, וד"ל.</w:t>
      </w:r>
    </w:p>
  </w:endnote>
  <w:endnote w:id="5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חסדי דוד סימן עז.</w:t>
      </w:r>
    </w:p>
  </w:endnote>
  <w:endnote w:id="6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מדרש משלי פ"ט ובילקוט שמעוני משלי רמז </w:t>
      </w:r>
      <w:proofErr w:type="spellStart"/>
      <w:r>
        <w:rPr>
          <w:rFonts w:hint="cs"/>
          <w:rtl/>
        </w:rPr>
        <w:t>תתקמד</w:t>
      </w:r>
      <w:proofErr w:type="spellEnd"/>
      <w:r>
        <w:rPr>
          <w:rFonts w:hint="cs"/>
          <w:rtl/>
        </w:rPr>
        <w:t xml:space="preserve"> (וראה גם בהערה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Ref188267765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ד</w:t>
      </w:r>
      <w:r>
        <w:rPr>
          <w:rtl/>
        </w:rPr>
        <w:fldChar w:fldCharType="end"/>
      </w:r>
      <w:r>
        <w:rPr>
          <w:rFonts w:hint="cs"/>
          <w:rtl/>
        </w:rPr>
        <w:t>).</w:t>
      </w:r>
    </w:p>
  </w:endnote>
  <w:endnote w:id="7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נוסח "על הנסים".</w:t>
      </w:r>
    </w:p>
  </w:endnote>
  <w:endnote w:id="8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אהלי</w:t>
      </w:r>
      <w:proofErr w:type="spellEnd"/>
      <w:r>
        <w:rPr>
          <w:rFonts w:hint="cs"/>
          <w:rtl/>
        </w:rPr>
        <w:t xml:space="preserve"> יעקב לזאת חנוכה תשי"ג.</w:t>
      </w:r>
    </w:p>
  </w:endnote>
  <w:endnote w:id="9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10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מגילה ז, ב.</w:t>
      </w:r>
    </w:p>
  </w:endnote>
  <w:endnote w:id="11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באריכות ליקוטי ביאורים (לרבי הלל </w:t>
      </w:r>
      <w:proofErr w:type="spellStart"/>
      <w:r>
        <w:rPr>
          <w:rFonts w:hint="cs"/>
          <w:rtl/>
        </w:rPr>
        <w:t>מפאריטש</w:t>
      </w:r>
      <w:proofErr w:type="spellEnd"/>
      <w:r>
        <w:rPr>
          <w:rFonts w:hint="cs"/>
          <w:rtl/>
        </w:rPr>
        <w:t xml:space="preserve"> זצ"ל) לקונטרס ההתפעלות פ"ב אות לב.</w:t>
      </w:r>
    </w:p>
  </w:endnote>
  <w:endnote w:id="12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לעיל בתורה "משחקת לפניו בכל עת".</w:t>
      </w:r>
    </w:p>
  </w:endnote>
  <w:endnote w:id="13">
    <w:p w:rsidR="002D4C1A" w:rsidRPr="00922424" w:rsidRDefault="002D4C1A" w:rsidP="002D4C1A">
      <w:pPr>
        <w:pStyle w:val="a4"/>
        <w:rPr>
          <w:rFonts w:hint="cs"/>
          <w:rtl/>
        </w:rPr>
      </w:pPr>
      <w:r w:rsidRPr="00922424">
        <w:rPr>
          <w:rtl/>
        </w:rPr>
        <w:tab/>
      </w:r>
      <w:r w:rsidRPr="00922424">
        <w:rPr>
          <w:rtl/>
        </w:rPr>
        <w:endnoteRef/>
      </w:r>
      <w:r w:rsidRPr="00922424">
        <w:rPr>
          <w:rtl/>
        </w:rPr>
        <w:t>.</w:t>
      </w:r>
      <w:r w:rsidRPr="00922424">
        <w:rPr>
          <w:rtl/>
        </w:rPr>
        <w:tab/>
      </w:r>
      <w:r w:rsidRPr="00922424">
        <w:rPr>
          <w:rFonts w:hint="cs"/>
          <w:rtl/>
        </w:rPr>
        <w:t xml:space="preserve">וראה בהערה </w:t>
      </w:r>
      <w:r w:rsidRPr="00922424">
        <w:rPr>
          <w:rtl/>
        </w:rPr>
        <w:fldChar w:fldCharType="begin"/>
      </w:r>
      <w:r w:rsidRPr="00922424">
        <w:rPr>
          <w:rtl/>
        </w:rPr>
        <w:instrText xml:space="preserve"> </w:instrText>
      </w:r>
      <w:r w:rsidRPr="00922424">
        <w:rPr>
          <w:rFonts w:hint="cs"/>
        </w:rPr>
        <w:instrText>NOTEREF</w:instrText>
      </w:r>
      <w:r w:rsidRPr="00922424">
        <w:rPr>
          <w:rFonts w:hint="cs"/>
          <w:rtl/>
        </w:rPr>
        <w:instrText xml:space="preserve"> _</w:instrText>
      </w:r>
      <w:r w:rsidRPr="00922424">
        <w:rPr>
          <w:rFonts w:hint="cs"/>
        </w:rPr>
        <w:instrText>Ref188039618 \h</w:instrText>
      </w:r>
      <w:r w:rsidRPr="00922424">
        <w:rPr>
          <w:rtl/>
        </w:rPr>
        <w:instrText xml:space="preserve"> </w:instrText>
      </w:r>
      <w:r>
        <w:rPr>
          <w:rtl/>
        </w:rPr>
        <w:instrText xml:space="preserve"> \* </w:instrText>
      </w:r>
      <w:r>
        <w:instrText>MERGEFORMAT</w:instrText>
      </w:r>
      <w:r>
        <w:rPr>
          <w:rtl/>
        </w:rPr>
        <w:instrText xml:space="preserve"> </w:instrText>
      </w:r>
      <w:r w:rsidRPr="00922424">
        <w:rPr>
          <w:rtl/>
        </w:rPr>
        <w:fldChar w:fldCharType="separate"/>
      </w:r>
      <w:proofErr w:type="spellStart"/>
      <w:r>
        <w:rPr>
          <w:rtl/>
        </w:rPr>
        <w:t>כא</w:t>
      </w:r>
      <w:proofErr w:type="spellEnd"/>
      <w:r w:rsidRPr="00922424">
        <w:rPr>
          <w:rtl/>
        </w:rPr>
        <w:fldChar w:fldCharType="end"/>
      </w:r>
      <w:r w:rsidRPr="00922424">
        <w:rPr>
          <w:rFonts w:hint="cs"/>
          <w:rtl/>
        </w:rPr>
        <w:t xml:space="preserve"> בתורה הקודמת כי השמחה-הבינה (</w:t>
      </w:r>
      <w:r w:rsidRPr="00922424">
        <w:rPr>
          <w:rFonts w:hint="cs"/>
          <w:b/>
          <w:bCs/>
          <w:sz w:val="24"/>
          <w:szCs w:val="24"/>
          <w:rtl/>
        </w:rPr>
        <w:t>ה</w:t>
      </w:r>
      <w:r w:rsidRPr="00922424">
        <w:rPr>
          <w:rFonts w:hint="cs"/>
          <w:rtl/>
        </w:rPr>
        <w:t xml:space="preserve"> </w:t>
      </w:r>
      <w:proofErr w:type="spellStart"/>
      <w:r w:rsidRPr="00922424">
        <w:rPr>
          <w:rFonts w:hint="cs"/>
          <w:rtl/>
        </w:rPr>
        <w:t>עילאה</w:t>
      </w:r>
      <w:proofErr w:type="spellEnd"/>
      <w:r w:rsidRPr="00922424">
        <w:rPr>
          <w:rFonts w:hint="cs"/>
          <w:rtl/>
        </w:rPr>
        <w:t xml:space="preserve">) עצמה חווה כאן תנודה בין הזיקה שלה לזיווג </w:t>
      </w:r>
      <w:proofErr w:type="spellStart"/>
      <w:r w:rsidRPr="00922424">
        <w:rPr>
          <w:rFonts w:hint="cs"/>
          <w:b/>
          <w:bCs/>
          <w:sz w:val="24"/>
          <w:szCs w:val="24"/>
          <w:rtl/>
        </w:rPr>
        <w:t>וה</w:t>
      </w:r>
      <w:proofErr w:type="spellEnd"/>
      <w:r w:rsidRPr="00922424">
        <w:rPr>
          <w:rFonts w:hint="cs"/>
          <w:rtl/>
        </w:rPr>
        <w:t xml:space="preserve"> שתחתיה לבין </w:t>
      </w:r>
      <w:proofErr w:type="spellStart"/>
      <w:r w:rsidRPr="00922424">
        <w:rPr>
          <w:rFonts w:hint="cs"/>
          <w:rtl/>
        </w:rPr>
        <w:t>עליתה</w:t>
      </w:r>
      <w:proofErr w:type="spellEnd"/>
      <w:r w:rsidRPr="00922424">
        <w:rPr>
          <w:rFonts w:hint="cs"/>
          <w:rtl/>
        </w:rPr>
        <w:t xml:space="preserve"> לחוש בעיקר ביחוד עם ה-</w:t>
      </w:r>
      <w:r w:rsidRPr="00922424">
        <w:rPr>
          <w:rFonts w:hint="cs"/>
          <w:b/>
          <w:bCs/>
          <w:sz w:val="24"/>
          <w:szCs w:val="24"/>
          <w:rtl/>
        </w:rPr>
        <w:t>י</w:t>
      </w:r>
      <w:r w:rsidRPr="00922424">
        <w:rPr>
          <w:rFonts w:hint="cs"/>
          <w:rtl/>
        </w:rPr>
        <w:t xml:space="preserve"> שמעליה, והיינו שהיא המווסתת את המחזור העולה תמיד הזה, ודוק.</w:t>
      </w:r>
    </w:p>
  </w:endnote>
  <w:endnote w:id="14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תניא </w:t>
      </w:r>
      <w:proofErr w:type="spellStart"/>
      <w:r>
        <w:rPr>
          <w:rFonts w:hint="cs"/>
          <w:rtl/>
        </w:rPr>
        <w:t>אגה"ק</w:t>
      </w:r>
      <w:proofErr w:type="spellEnd"/>
      <w:r>
        <w:rPr>
          <w:rFonts w:hint="cs"/>
          <w:rtl/>
        </w:rPr>
        <w:t xml:space="preserve"> כ.</w:t>
      </w:r>
    </w:p>
  </w:endnote>
  <w:endnote w:id="15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לעיל שער ד בתורה "געגועים נענועים שעשועים"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Ref188207286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ז</w:t>
      </w:r>
      <w:r>
        <w:rPr>
          <w:rtl/>
        </w:rPr>
        <w:fldChar w:fldCharType="end"/>
      </w:r>
      <w:r>
        <w:rPr>
          <w:rFonts w:hint="cs"/>
          <w:rtl/>
        </w:rPr>
        <w:t>.</w:t>
      </w:r>
    </w:p>
  </w:endnote>
  <w:endnote w:id="16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ישעיה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, ד.</w:t>
      </w:r>
    </w:p>
  </w:endnote>
  <w:endnote w:id="17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יבמות צ, ב וסנהדרין מו, א (על הקשר של בטחון </w:t>
      </w:r>
      <w:proofErr w:type="spellStart"/>
      <w:r>
        <w:rPr>
          <w:rFonts w:hint="cs"/>
          <w:rtl/>
        </w:rPr>
        <w:t>וטיחה</w:t>
      </w:r>
      <w:proofErr w:type="spellEnd"/>
      <w:r>
        <w:rPr>
          <w:rFonts w:hint="cs"/>
          <w:rtl/>
        </w:rPr>
        <w:t xml:space="preserve"> ראה באורי הזהר ריש פרשת </w:t>
      </w:r>
      <w:proofErr w:type="spellStart"/>
      <w:r>
        <w:rPr>
          <w:rFonts w:hint="cs"/>
          <w:rtl/>
        </w:rPr>
        <w:t>וארא</w:t>
      </w:r>
      <w:proofErr w:type="spellEnd"/>
      <w:r>
        <w:rPr>
          <w:rFonts w:hint="cs"/>
          <w:rtl/>
        </w:rPr>
        <w:t>; לב לדעת "אמונה ובטחון" פ"ב).</w:t>
      </w:r>
    </w:p>
  </w:endnote>
  <w:endnote w:id="18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נדה יד, א.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יו"ד סימן </w:t>
      </w:r>
      <w:proofErr w:type="spellStart"/>
      <w:r>
        <w:rPr>
          <w:rFonts w:hint="cs"/>
          <w:rtl/>
        </w:rPr>
        <w:t>קפו</w:t>
      </w:r>
      <w:proofErr w:type="spellEnd"/>
      <w:r>
        <w:rPr>
          <w:rFonts w:hint="cs"/>
          <w:rtl/>
        </w:rPr>
        <w:t>.</w:t>
      </w:r>
    </w:p>
  </w:endnote>
  <w:endnote w:id="19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כמו בפסוק "מעדה בגד ביום קרה" (משלי כה, כ).</w:t>
      </w:r>
    </w:p>
  </w:endnote>
  <w:endnote w:id="20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רבינו בחיי לבראשית א,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 xml:space="preserve">. </w:t>
      </w:r>
    </w:p>
  </w:endnote>
  <w:endnote w:id="21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שבת </w:t>
      </w:r>
      <w:proofErr w:type="spellStart"/>
      <w:r>
        <w:rPr>
          <w:rFonts w:hint="cs"/>
          <w:rtl/>
        </w:rPr>
        <w:t>קיח</w:t>
      </w:r>
      <w:proofErr w:type="spellEnd"/>
      <w:r>
        <w:rPr>
          <w:rFonts w:hint="cs"/>
          <w:rtl/>
        </w:rPr>
        <w:t>, ב.</w:t>
      </w:r>
    </w:p>
  </w:endnote>
  <w:endnote w:id="22">
    <w:p w:rsidR="002D4C1A" w:rsidRDefault="002D4C1A" w:rsidP="002D4C1A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9A" w:rsidRDefault="00B2799A" w:rsidP="002D4C1A">
      <w:pPr>
        <w:spacing w:after="0" w:line="240" w:lineRule="auto"/>
      </w:pPr>
      <w:r>
        <w:separator/>
      </w:r>
    </w:p>
  </w:footnote>
  <w:footnote w:type="continuationSeparator" w:id="0">
    <w:p w:rsidR="00B2799A" w:rsidRDefault="00B2799A" w:rsidP="002D4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DB"/>
    <w:rsid w:val="00061E65"/>
    <w:rsid w:val="002D4C1A"/>
    <w:rsid w:val="00886ADB"/>
    <w:rsid w:val="00AC2310"/>
    <w:rsid w:val="00B2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D4C1A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D4C1A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D4C1A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D4C1A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2D4C1A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2D4C1A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2D4C1A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2D4C1A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2D4C1A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2D4C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D4C1A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D4C1A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D4C1A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D4C1A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2D4C1A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2D4C1A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2D4C1A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2D4C1A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2D4C1A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2D4C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2017-08-15T08:09:00Z</dcterms:created>
  <dcterms:modified xsi:type="dcterms:W3CDTF">2017-08-15T08:09:00Z</dcterms:modified>
</cp:coreProperties>
</file>