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25" w:rsidRPr="00B46B4B" w:rsidRDefault="00AD7325" w:rsidP="00AD7325">
      <w:pPr>
        <w:pStyle w:val="2"/>
        <w:rPr>
          <w:rFonts w:hint="cs"/>
          <w:rtl/>
        </w:rPr>
      </w:pPr>
      <w:bookmarkStart w:id="0" w:name="_Toc188281753"/>
      <w:bookmarkStart w:id="1" w:name="_Ref188282096"/>
      <w:r w:rsidRPr="00B46B4B">
        <w:rPr>
          <w:rFonts w:hint="cs"/>
          <w:rtl/>
        </w:rPr>
        <w:t>"שבע יפול צדיק וקם"</w:t>
      </w:r>
      <w:bookmarkEnd w:id="0"/>
      <w:bookmarkEnd w:id="1"/>
    </w:p>
    <w:p w:rsidR="00AD7325" w:rsidRPr="00EC3D1D" w:rsidRDefault="00AD7325" w:rsidP="00AD7325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ה</w:t>
      </w:r>
    </w:p>
    <w:p w:rsidR="00AD7325" w:rsidRPr="00B46B4B" w:rsidRDefault="00AD7325" w:rsidP="00AD7325">
      <w:pPr>
        <w:rPr>
          <w:rFonts w:hint="cs"/>
          <w:rtl/>
        </w:rPr>
      </w:pPr>
      <w:r w:rsidRPr="00B46B4B">
        <w:rPr>
          <w:rFonts w:hint="cs"/>
          <w:rtl/>
        </w:rPr>
        <w:t>יחס בין "עת לחבוק" ו"עת לרחוק מחבק"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הוא</w:t>
      </w:r>
      <w:r w:rsidRPr="00B46B4B">
        <w:rPr>
          <w:rFonts w:hint="cs"/>
          <w:rtl/>
        </w:rPr>
        <w:t xml:space="preserve"> היחס בין ימי הטהרה והקרבה בחיי הנישואין לימי הנדה והריחוק הגופני</w:t>
      </w:r>
      <w:r w:rsidRPr="00C37DFC">
        <w:rPr>
          <w:rStyle w:val="a6"/>
          <w:rtl/>
        </w:rPr>
        <w:endnoteReference w:id="2"/>
      </w:r>
      <w:r>
        <w:rPr>
          <w:rFonts w:hint="cs"/>
          <w:rtl/>
        </w:rPr>
        <w:t>. על יחס זה</w:t>
      </w:r>
      <w:r w:rsidRPr="00B46B4B">
        <w:rPr>
          <w:rFonts w:hint="cs"/>
          <w:rtl/>
        </w:rPr>
        <w:t xml:space="preserve"> מבואר בחסידות</w:t>
      </w:r>
      <w:r w:rsidRPr="00C37DFC">
        <w:rPr>
          <w:rStyle w:val="a6"/>
          <w:rtl/>
        </w:rPr>
        <w:endnoteReference w:id="3"/>
      </w:r>
      <w:r w:rsidRPr="00B46B4B">
        <w:rPr>
          <w:rFonts w:hint="cs"/>
          <w:rtl/>
        </w:rPr>
        <w:t xml:space="preserve"> כי </w:t>
      </w:r>
      <w:r>
        <w:rPr>
          <w:rFonts w:hint="cs"/>
          <w:rtl/>
        </w:rPr>
        <w:t xml:space="preserve">זהו היחס בין עמידת "פנים בפנים" לעמידת "אחור באחור". כשעומדים "פנים בפנים" </w:t>
      </w:r>
      <w:r w:rsidRPr="00B46B4B">
        <w:rPr>
          <w:rFonts w:hint="cs"/>
          <w:rtl/>
        </w:rPr>
        <w:t>כל תשומת הלב וה</w:t>
      </w:r>
      <w:r>
        <w:rPr>
          <w:rFonts w:hint="cs"/>
          <w:rtl/>
        </w:rPr>
        <w:t xml:space="preserve">תענוג הפנימי מופנים אל בן הזוג. לעומת זאת, בעמידת </w:t>
      </w:r>
      <w:r w:rsidRPr="00B46B4B">
        <w:rPr>
          <w:rFonts w:hint="cs"/>
          <w:rtl/>
        </w:rPr>
        <w:t xml:space="preserve">"אחור באחור" רק הרצון כופה את הקשר, </w:t>
      </w:r>
      <w:r>
        <w:rPr>
          <w:rFonts w:hint="cs"/>
          <w:rtl/>
        </w:rPr>
        <w:t>בעוד</w:t>
      </w:r>
      <w:r w:rsidRPr="00B46B4B">
        <w:rPr>
          <w:rFonts w:hint="cs"/>
          <w:rtl/>
        </w:rPr>
        <w:t xml:space="preserve"> התענוג של כל אחד מבני הזוג מופנה לכיוונו שלו, לצרכיו ולרצונותיו האישיים</w:t>
      </w:r>
      <w:r w:rsidRPr="00C37DFC">
        <w:rPr>
          <w:rStyle w:val="a6"/>
          <w:rtl/>
        </w:rPr>
        <w:endnoteReference w:id="4"/>
      </w:r>
      <w:r w:rsidRPr="00B46B4B">
        <w:rPr>
          <w:rFonts w:hint="cs"/>
          <w:rtl/>
        </w:rPr>
        <w:t xml:space="preserve">. </w:t>
      </w:r>
    </w:p>
    <w:p w:rsidR="00AD7325" w:rsidRDefault="00AD7325" w:rsidP="00AD7325">
      <w:pPr>
        <w:rPr>
          <w:rFonts w:hint="cs"/>
          <w:rtl/>
        </w:rPr>
      </w:pPr>
      <w:r>
        <w:rPr>
          <w:rFonts w:hint="cs"/>
          <w:rtl/>
        </w:rPr>
        <w:t xml:space="preserve">בסגנון ספר </w:t>
      </w:r>
      <w:proofErr w:type="spellStart"/>
      <w:r>
        <w:rPr>
          <w:rFonts w:hint="cs"/>
          <w:rtl/>
        </w:rPr>
        <w:t>התניא</w:t>
      </w:r>
      <w:proofErr w:type="spellEnd"/>
      <w:r>
        <w:rPr>
          <w:rFonts w:hint="cs"/>
          <w:rtl/>
        </w:rPr>
        <w:t xml:space="preserve">, הבדל </w:t>
      </w:r>
      <w:r w:rsidRPr="00B46B4B">
        <w:rPr>
          <w:rFonts w:hint="cs"/>
          <w:rtl/>
        </w:rPr>
        <w:t xml:space="preserve">זה בין "עת לחבוק" ו"עת לרחוק מחבק" הוא ההבדל בין </w:t>
      </w:r>
      <w:proofErr w:type="spellStart"/>
      <w:r w:rsidRPr="00B46B4B">
        <w:rPr>
          <w:rFonts w:hint="cs"/>
          <w:rtl/>
        </w:rPr>
        <w:t>חוית</w:t>
      </w:r>
      <w:proofErr w:type="spellEnd"/>
      <w:r w:rsidRPr="00B46B4B">
        <w:rPr>
          <w:rFonts w:hint="cs"/>
          <w:rtl/>
        </w:rPr>
        <w:t xml:space="preserve"> הצדיק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לחוית</w:t>
      </w:r>
      <w:proofErr w:type="spellEnd"/>
      <w:r>
        <w:rPr>
          <w:rFonts w:hint="cs"/>
          <w:rtl/>
        </w:rPr>
        <w:t xml:space="preserve"> הבינוני. הצדיק</w:t>
      </w:r>
      <w:r w:rsidRPr="00B46B4B">
        <w:rPr>
          <w:rFonts w:hint="cs"/>
          <w:rtl/>
        </w:rPr>
        <w:t>, "שאין לו יצר הרע"</w:t>
      </w:r>
      <w:r w:rsidRPr="00C37DFC">
        <w:rPr>
          <w:rStyle w:val="a6"/>
          <w:rtl/>
        </w:rPr>
        <w:endnoteReference w:id="5"/>
      </w:r>
      <w:r w:rsidRPr="00B46B4B">
        <w:rPr>
          <w:rFonts w:hint="cs"/>
          <w:rtl/>
        </w:rPr>
        <w:t>, אשר עובד את ה' בטבעיות מתוך תענוג וחשק פנימי ומואס ב"תענוגות בני אדם"</w:t>
      </w:r>
      <w:r w:rsidRPr="00C37DFC">
        <w:rPr>
          <w:rStyle w:val="a6"/>
          <w:rtl/>
        </w:rPr>
        <w:endnoteReference w:id="6"/>
      </w:r>
      <w:r>
        <w:rPr>
          <w:rFonts w:hint="cs"/>
          <w:rtl/>
        </w:rPr>
        <w:t>. הבינוני, לעומתו, נמשך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ידי </w:t>
      </w:r>
      <w:r w:rsidRPr="00B46B4B">
        <w:rPr>
          <w:rFonts w:hint="cs"/>
          <w:rtl/>
        </w:rPr>
        <w:t xml:space="preserve">יצרו הרע </w:t>
      </w:r>
      <w:proofErr w:type="spellStart"/>
      <w:r w:rsidRPr="00B46B4B">
        <w:rPr>
          <w:rFonts w:hint="cs"/>
          <w:rtl/>
        </w:rPr>
        <w:t>לעניני</w:t>
      </w:r>
      <w:proofErr w:type="spellEnd"/>
      <w:r w:rsidRPr="00B46B4B">
        <w:rPr>
          <w:rFonts w:hint="cs"/>
          <w:rtl/>
        </w:rPr>
        <w:t xml:space="preserve"> העולם הזה המענגים אותו, אך הוא כופה את נטיות לבו </w:t>
      </w:r>
      <w:proofErr w:type="spellStart"/>
      <w:r w:rsidRPr="00B46B4B">
        <w:rPr>
          <w:rFonts w:hint="cs"/>
          <w:rtl/>
        </w:rPr>
        <w:t>בכח</w:t>
      </w:r>
      <w:proofErr w:type="spellEnd"/>
      <w:r w:rsidRPr="00B46B4B">
        <w:rPr>
          <w:rFonts w:hint="cs"/>
          <w:rtl/>
        </w:rPr>
        <w:t xml:space="preserve"> הרצון </w:t>
      </w:r>
      <w:proofErr w:type="spellStart"/>
      <w:r w:rsidRPr="00B46B4B">
        <w:rPr>
          <w:rFonts w:hint="cs"/>
          <w:rtl/>
        </w:rPr>
        <w:t>שבמחו</w:t>
      </w:r>
      <w:proofErr w:type="spellEnd"/>
      <w:r w:rsidRPr="00C37DFC">
        <w:rPr>
          <w:rStyle w:val="a6"/>
          <w:rtl/>
        </w:rPr>
        <w:endnoteReference w:id="7"/>
      </w:r>
      <w:r w:rsidRPr="00B46B4B">
        <w:rPr>
          <w:rFonts w:hint="cs"/>
          <w:rtl/>
        </w:rPr>
        <w:t xml:space="preserve">, לעסוק תמיד בתורת ה' ומצוותיו. </w:t>
      </w:r>
    </w:p>
    <w:p w:rsidR="00AD7325" w:rsidRPr="00B46B4B" w:rsidRDefault="00AD7325" w:rsidP="00AD7325">
      <w:pPr>
        <w:rPr>
          <w:rFonts w:hint="cs"/>
          <w:rtl/>
        </w:rPr>
      </w:pPr>
      <w:r w:rsidRPr="00B46B4B">
        <w:rPr>
          <w:rFonts w:hint="cs"/>
          <w:rtl/>
        </w:rPr>
        <w:t xml:space="preserve">אמנם, צדיק </w:t>
      </w:r>
      <w:proofErr w:type="spellStart"/>
      <w:r w:rsidRPr="00B46B4B">
        <w:rPr>
          <w:rFonts w:hint="cs"/>
          <w:rtl/>
        </w:rPr>
        <w:t>אמיתי</w:t>
      </w:r>
      <w:proofErr w:type="spellEnd"/>
      <w:r w:rsidRPr="00B46B4B">
        <w:rPr>
          <w:rFonts w:hint="cs"/>
          <w:rtl/>
        </w:rPr>
        <w:t xml:space="preserve"> איננו נופל ממדרגתו למדרגת הבינוני מדי חדש בחדשו (אלא רק לעתים רחוקות, עליהן נדרש</w:t>
      </w:r>
      <w:r w:rsidRPr="00C37DFC">
        <w:rPr>
          <w:rStyle w:val="a6"/>
          <w:rtl/>
        </w:rPr>
        <w:endnoteReference w:id="8"/>
      </w:r>
      <w:r w:rsidRPr="00B46B4B">
        <w:rPr>
          <w:rFonts w:hint="cs"/>
          <w:rtl/>
        </w:rPr>
        <w:t xml:space="preserve"> הפסוק "שבע </w:t>
      </w:r>
      <w:proofErr w:type="spellStart"/>
      <w:r w:rsidRPr="00B46B4B">
        <w:rPr>
          <w:rFonts w:hint="cs"/>
          <w:rtl/>
        </w:rPr>
        <w:t>יפול</w:t>
      </w:r>
      <w:proofErr w:type="spellEnd"/>
      <w:r w:rsidRPr="00B46B4B">
        <w:rPr>
          <w:rFonts w:hint="cs"/>
          <w:rtl/>
        </w:rPr>
        <w:t xml:space="preserve"> צדיק וקם"</w:t>
      </w:r>
      <w:r w:rsidRPr="00C37DFC">
        <w:rPr>
          <w:rStyle w:val="a6"/>
          <w:rtl/>
        </w:rPr>
        <w:endnoteReference w:id="9"/>
      </w:r>
      <w:r>
        <w:rPr>
          <w:rFonts w:hint="cs"/>
          <w:rtl/>
        </w:rPr>
        <w:t>). לכן,</w:t>
      </w:r>
      <w:r w:rsidRPr="00B46B4B">
        <w:rPr>
          <w:rFonts w:hint="cs"/>
          <w:rtl/>
        </w:rPr>
        <w:t xml:space="preserve"> ברור כי מעברים אלו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"עת לחבוק ועת לרחוק מחבק", </w:t>
      </w:r>
      <w:r w:rsidRPr="00B46B4B">
        <w:rPr>
          <w:rFonts w:hint="cs"/>
          <w:rtl/>
        </w:rPr>
        <w:t xml:space="preserve">הם בין מצבו של הבינוני בזמנים רגילים לבין </w:t>
      </w:r>
      <w:proofErr w:type="spellStart"/>
      <w:r w:rsidRPr="00B46B4B">
        <w:rPr>
          <w:rFonts w:hint="cs"/>
          <w:rtl/>
        </w:rPr>
        <w:t>חוית</w:t>
      </w:r>
      <w:proofErr w:type="spellEnd"/>
      <w:r w:rsidRPr="00B46B4B">
        <w:rPr>
          <w:rFonts w:hint="cs"/>
          <w:rtl/>
        </w:rPr>
        <w:t xml:space="preserve"> הדבקות שלו בזמן התפלה, כאשר יצרו הרע ישן והוא חווה הזדהות עם היצר הטוב, כצדיק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 xml:space="preserve"> (</w:t>
      </w:r>
      <w:proofErr w:type="spellStart"/>
      <w:r w:rsidRPr="00B46B4B">
        <w:rPr>
          <w:rFonts w:hint="cs"/>
          <w:rtl/>
        </w:rPr>
        <w:t>חויה</w:t>
      </w:r>
      <w:proofErr w:type="spellEnd"/>
      <w:r w:rsidRPr="00B46B4B">
        <w:rPr>
          <w:rFonts w:hint="cs"/>
          <w:rtl/>
        </w:rPr>
        <w:t xml:space="preserve"> זו אינה שמורה רק לזמן התפלה, משום שהבינוני יכול להגיע למצב של "</w:t>
      </w:r>
      <w:proofErr w:type="spellStart"/>
      <w:r w:rsidRPr="00B46B4B">
        <w:rPr>
          <w:rFonts w:hint="cs"/>
          <w:rtl/>
        </w:rPr>
        <w:t>הלואי</w:t>
      </w:r>
      <w:proofErr w:type="spellEnd"/>
      <w:r w:rsidRPr="00B46B4B">
        <w:rPr>
          <w:rFonts w:hint="cs"/>
          <w:rtl/>
        </w:rPr>
        <w:t xml:space="preserve"> ויתפלל אדם כל היום כולו"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). </w:t>
      </w:r>
    </w:p>
    <w:p w:rsidR="00AD7325" w:rsidRPr="00B46B4B" w:rsidRDefault="00AD7325" w:rsidP="00AD7325">
      <w:pPr>
        <w:rPr>
          <w:rFonts w:hint="cs"/>
          <w:rtl/>
        </w:rPr>
      </w:pPr>
      <w:r w:rsidRPr="00B46B4B">
        <w:rPr>
          <w:rFonts w:hint="cs"/>
          <w:rtl/>
        </w:rPr>
        <w:t xml:space="preserve">על ההכנה לחיים דינאמיים, בהם עוברים ממצב של בינוני למצב של צדיק וחוזר חלילה, נאמר "חנוך לנער על פי </w:t>
      </w:r>
      <w:r w:rsidRPr="00B04702">
        <w:rPr>
          <w:rStyle w:val="a3"/>
          <w:rFonts w:hint="cs"/>
          <w:rtl/>
        </w:rPr>
        <w:t>דרכו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2"/>
      </w:r>
      <w:r>
        <w:rPr>
          <w:rFonts w:hint="cs"/>
          <w:rtl/>
        </w:rPr>
        <w:t>. זהו</w:t>
      </w:r>
      <w:r w:rsidRPr="00B46B4B">
        <w:rPr>
          <w:rFonts w:hint="cs"/>
          <w:rtl/>
        </w:rPr>
        <w:t xml:space="preserve"> חינוך ל</w:t>
      </w:r>
      <w:r w:rsidRPr="00B04702">
        <w:rPr>
          <w:rStyle w:val="a3"/>
          <w:rFonts w:hint="cs"/>
          <w:rtl/>
        </w:rPr>
        <w:t>דרך</w:t>
      </w:r>
      <w:r w:rsidRPr="00B46B4B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מתוך ידיעה שבכל דרך </w:t>
      </w:r>
      <w:r w:rsidRPr="00B46B4B">
        <w:rPr>
          <w:rFonts w:hint="cs"/>
          <w:rtl/>
        </w:rPr>
        <w:t>יש</w:t>
      </w:r>
      <w:r>
        <w:rPr>
          <w:rFonts w:hint="cs"/>
          <w:rtl/>
        </w:rPr>
        <w:t xml:space="preserve"> עליות וירידות, והחינוך מכשיר את </w:t>
      </w:r>
      <w:r w:rsidRPr="00B46B4B">
        <w:rPr>
          <w:rFonts w:hint="cs"/>
          <w:rtl/>
        </w:rPr>
        <w:t>האדם ידע להתמודד</w:t>
      </w:r>
      <w:r>
        <w:rPr>
          <w:rFonts w:hint="cs"/>
          <w:rtl/>
        </w:rPr>
        <w:t xml:space="preserve"> גם עם תקופות של ריחוק ונפילה. </w:t>
      </w:r>
      <w:r w:rsidRPr="00B46B4B">
        <w:rPr>
          <w:rFonts w:hint="cs"/>
          <w:rtl/>
        </w:rPr>
        <w:t>כך גם ביחס לחיי הנישואין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יעוד חיי הנישואין הוא להגיע ל</w:t>
      </w:r>
      <w:r>
        <w:rPr>
          <w:rFonts w:hint="cs"/>
          <w:rtl/>
        </w:rPr>
        <w:t>עונג פנימי מלא בקשר הנישואין, כפי שחווים הצדיקים</w:t>
      </w:r>
      <w:r w:rsidRPr="00C37DFC">
        <w:rPr>
          <w:rStyle w:val="a6"/>
          <w:rtl/>
        </w:rPr>
        <w:endnoteReference w:id="13"/>
      </w:r>
      <w:r w:rsidRPr="00B46B4B">
        <w:rPr>
          <w:rFonts w:hint="cs"/>
          <w:rtl/>
        </w:rPr>
        <w:t xml:space="preserve"> (בבחינת "ועמך כֻלם צדיקים [וכך] לעולם יירשו ארץ [רמז לאשה ולנחלת בנים]"</w:t>
      </w:r>
      <w:r w:rsidRPr="00C37DFC">
        <w:rPr>
          <w:rStyle w:val="a6"/>
          <w:rtl/>
        </w:rPr>
        <w:endnoteReference w:id="14"/>
      </w:r>
      <w:r w:rsidRPr="00B46B4B">
        <w:rPr>
          <w:rFonts w:hint="cs"/>
          <w:rtl/>
        </w:rPr>
        <w:t>)</w:t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זאת, </w:t>
      </w:r>
      <w:r w:rsidRPr="00B46B4B">
        <w:rPr>
          <w:rFonts w:hint="cs"/>
          <w:rtl/>
        </w:rPr>
        <w:t>החינוך וההכנה לנישואין צריכים ללמד את האדם כיצד לשמור את הרצון הטוב והיחסים התקינים גם בתקופות של ריחוק, גופני או נפשי, מתוך אמו</w:t>
      </w:r>
      <w:r>
        <w:rPr>
          <w:rFonts w:hint="cs"/>
          <w:rtl/>
        </w:rPr>
        <w:t>נה וידיעה שאלו 'משברים' צפויים. משברים כאלו הם</w:t>
      </w:r>
      <w:r w:rsidRPr="00B46B4B">
        <w:rPr>
          <w:rFonts w:hint="cs"/>
          <w:rtl/>
        </w:rPr>
        <w:t xml:space="preserve"> חלק ט</w:t>
      </w:r>
      <w:r>
        <w:rPr>
          <w:rFonts w:hint="cs"/>
          <w:rtl/>
        </w:rPr>
        <w:t xml:space="preserve">בעי והכרחי ממעגל חיי הנישואין, ובסופו של דבר הם </w:t>
      </w:r>
      <w:r w:rsidRPr="00B46B4B">
        <w:rPr>
          <w:rFonts w:hint="cs"/>
          <w:rtl/>
        </w:rPr>
        <w:t>מקדמים את חיי בני הזוג לדרגות קרבה עמוקות יותר ויותר בכל פעם.</w:t>
      </w:r>
    </w:p>
    <w:p w:rsidR="00AD7325" w:rsidRPr="00B46B4B" w:rsidRDefault="00AD7325" w:rsidP="00AD7325">
      <w:pPr>
        <w:rPr>
          <w:rFonts w:hint="cs"/>
          <w:rtl/>
        </w:rPr>
      </w:pPr>
      <w:r w:rsidRPr="00B46B4B">
        <w:rPr>
          <w:rFonts w:hint="cs"/>
          <w:rtl/>
        </w:rPr>
        <w:t>לעומת הבינוני המ</w:t>
      </w:r>
      <w:r>
        <w:rPr>
          <w:rFonts w:hint="cs"/>
          <w:rtl/>
        </w:rPr>
        <w:t>ִ</w:t>
      </w:r>
      <w:r w:rsidRPr="00B46B4B">
        <w:rPr>
          <w:rFonts w:hint="cs"/>
          <w:rtl/>
        </w:rPr>
        <w:t xml:space="preserve">טלטל בין שני קטבים של </w:t>
      </w:r>
      <w:proofErr w:type="spellStart"/>
      <w:r w:rsidRPr="00B46B4B">
        <w:rPr>
          <w:rFonts w:hint="cs"/>
          <w:rtl/>
        </w:rPr>
        <w:t>חוית</w:t>
      </w:r>
      <w:proofErr w:type="spellEnd"/>
      <w:r w:rsidRPr="00B46B4B">
        <w:rPr>
          <w:rFonts w:hint="cs"/>
          <w:rtl/>
        </w:rPr>
        <w:t xml:space="preserve"> הנישואין, בין </w:t>
      </w:r>
      <w:r w:rsidRPr="00B46B4B">
        <w:rPr>
          <w:rFonts w:hint="cs"/>
          <w:b/>
          <w:bCs/>
          <w:sz w:val="28"/>
          <w:szCs w:val="28"/>
          <w:rtl/>
        </w:rPr>
        <w:t>יד</w:t>
      </w:r>
      <w:r w:rsidRPr="00B46B4B">
        <w:rPr>
          <w:rFonts w:hint="cs"/>
          <w:rtl/>
        </w:rPr>
        <w:t xml:space="preserve"> עתים לטובה בימי הטהרה ו-</w:t>
      </w:r>
      <w:r w:rsidRPr="00B46B4B">
        <w:rPr>
          <w:rFonts w:hint="cs"/>
          <w:b/>
          <w:bCs/>
          <w:sz w:val="28"/>
          <w:szCs w:val="28"/>
          <w:rtl/>
        </w:rPr>
        <w:t>יד</w:t>
      </w:r>
      <w:r w:rsidRPr="00B46B4B">
        <w:rPr>
          <w:rFonts w:hint="cs"/>
          <w:rtl/>
        </w:rPr>
        <w:t xml:space="preserve"> עתים לרעה בימי הטומאה, יש כאלו החיים בקביעות רק בק</w:t>
      </w:r>
      <w:r>
        <w:rPr>
          <w:rFonts w:hint="cs"/>
          <w:rtl/>
        </w:rPr>
        <w:t>וטב אחד. ישנם בעלי אופי 'רשעי', אף אם אינם חוטאים בפועל, ח"ו</w:t>
      </w:r>
      <w:r w:rsidRPr="00B46B4B">
        <w:rPr>
          <w:rFonts w:hint="cs"/>
          <w:rtl/>
        </w:rPr>
        <w:t xml:space="preserve">, שנמצאים כל חיי הנישואין שלהם </w:t>
      </w:r>
      <w:proofErr w:type="spellStart"/>
      <w:r w:rsidRPr="00B46B4B">
        <w:rPr>
          <w:rFonts w:hint="cs"/>
          <w:rtl/>
        </w:rPr>
        <w:t>בחוית</w:t>
      </w:r>
      <w:proofErr w:type="spellEnd"/>
      <w:r w:rsidRPr="00B46B4B">
        <w:rPr>
          <w:rFonts w:hint="cs"/>
          <w:rtl/>
        </w:rPr>
        <w:t xml:space="preserve"> "אחור באחור", המבססת יחסים טובים על כפית הרצון ולא על תענוג (חיות) משותף</w:t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 xml:space="preserve">הם סוברים שזהו מצב הנישואין התקין לכתחילה, על פי תורה, מתוך חשש סמוי שלהם מעמידה פנים אל פנים, שתערער את ההתמקדות </w:t>
      </w:r>
      <w:r w:rsidRPr="00B46B4B">
        <w:rPr>
          <w:rFonts w:hint="cs"/>
          <w:rtl/>
        </w:rPr>
        <w:lastRenderedPageBreak/>
        <w:t>שלהם בעצמם ובזכ</w:t>
      </w:r>
      <w:r>
        <w:rPr>
          <w:rFonts w:hint="cs"/>
          <w:rtl/>
        </w:rPr>
        <w:t>ו</w:t>
      </w:r>
      <w:r w:rsidRPr="00B46B4B">
        <w:rPr>
          <w:rFonts w:hint="cs"/>
          <w:rtl/>
        </w:rPr>
        <w:t xml:space="preserve">יותיהם, הגשמיות ואף הרוחניות. </w:t>
      </w:r>
      <w:proofErr w:type="spellStart"/>
      <w:r w:rsidRPr="00B46B4B">
        <w:rPr>
          <w:rFonts w:hint="cs"/>
          <w:rtl/>
        </w:rPr>
        <w:t>ולאידך</w:t>
      </w:r>
      <w:proofErr w:type="spellEnd"/>
      <w:r w:rsidRPr="00B46B4B">
        <w:rPr>
          <w:rFonts w:hint="cs"/>
          <w:rtl/>
        </w:rPr>
        <w:t xml:space="preserve">, מי שחי כצדיק </w:t>
      </w:r>
      <w:proofErr w:type="spellStart"/>
      <w:r w:rsidRPr="00B46B4B">
        <w:rPr>
          <w:rFonts w:hint="cs"/>
          <w:rtl/>
        </w:rPr>
        <w:t>אמיתי</w:t>
      </w:r>
      <w:proofErr w:type="spellEnd"/>
      <w:r w:rsidRPr="00B46B4B">
        <w:rPr>
          <w:rFonts w:hint="cs"/>
          <w:rtl/>
        </w:rPr>
        <w:t xml:space="preserve"> חווה גם בזמני הריחוק סוג של יחוד פנים אל פנים, והכל אצלו רווי שמחה</w:t>
      </w:r>
      <w:r w:rsidRPr="00C37DFC">
        <w:rPr>
          <w:rStyle w:val="a6"/>
          <w:rtl/>
        </w:rPr>
        <w:endnoteReference w:id="15"/>
      </w:r>
      <w:r w:rsidRPr="00B46B4B">
        <w:rPr>
          <w:rFonts w:hint="cs"/>
          <w:rtl/>
        </w:rPr>
        <w:t>.</w:t>
      </w:r>
    </w:p>
    <w:p w:rsidR="005F4A47" w:rsidRDefault="005B760E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60E" w:rsidRDefault="005B760E" w:rsidP="00AD7325">
      <w:pPr>
        <w:spacing w:after="0" w:line="240" w:lineRule="auto"/>
      </w:pPr>
      <w:r>
        <w:separator/>
      </w:r>
    </w:p>
  </w:endnote>
  <w:endnote w:type="continuationSeparator" w:id="0">
    <w:p w:rsidR="005B760E" w:rsidRDefault="005B760E" w:rsidP="00AD7325">
      <w:pPr>
        <w:spacing w:after="0" w:line="240" w:lineRule="auto"/>
      </w:pPr>
      <w:r>
        <w:continuationSeparator/>
      </w:r>
    </w:p>
  </w:endnote>
  <w:endnote w:id="1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קהלת ג, ה.</w:t>
      </w:r>
    </w:p>
  </w:endnote>
  <w:endnote w:id="2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כנ"ל בתורה "עת לחבוק ועת לרחוק מחבק" (וגם בתורה הקודמת).</w:t>
      </w:r>
    </w:p>
  </w:endnote>
  <w:endnote w:id="3">
    <w:p w:rsidR="00AD7325" w:rsidRDefault="00AD7325" w:rsidP="00AD732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תורה פרשת במדבר ד"ה "ואהיה אצלו אמון" סעיף ד (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, ג ואילך).</w:t>
      </w:r>
    </w:p>
  </w:endnote>
  <w:endnote w:id="4">
    <w:p w:rsidR="00AD7325" w:rsidRDefault="00AD7325" w:rsidP="00AD732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באריכות בתורה "פנים ואחור במחזור חיי הנישואין".</w:t>
      </w:r>
    </w:p>
  </w:endnote>
  <w:endnote w:id="5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תניא פרק א.</w:t>
      </w:r>
    </w:p>
  </w:endnote>
  <w:endnote w:id="6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פרק י.</w:t>
      </w:r>
    </w:p>
  </w:endnote>
  <w:endnote w:id="7">
    <w:p w:rsidR="00AD7325" w:rsidRDefault="00AD7325" w:rsidP="00AD732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פרק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8">
    <w:p w:rsidR="00AD7325" w:rsidRDefault="00AD7325" w:rsidP="00AD732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תניא, קונטרס חינוך קטן (ריש שער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והאמונה).</w:t>
      </w:r>
    </w:p>
  </w:endnote>
  <w:endnote w:id="9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כד,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10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תניא פרק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.</w:t>
      </w:r>
    </w:p>
  </w:endnote>
  <w:endnote w:id="11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א (וראה תניא שם).</w:t>
      </w:r>
    </w:p>
  </w:endnote>
  <w:endnote w:id="12">
    <w:p w:rsidR="00AD7325" w:rsidRDefault="00AD7325" w:rsidP="00AD732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, ו (כמבואר בקונטרס חינוך קטן).</w:t>
      </w:r>
    </w:p>
  </w:endnote>
  <w:endnote w:id="13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לעיל בתורה "משחקת לפניו בכל עת").</w:t>
      </w:r>
    </w:p>
  </w:endnote>
  <w:endnote w:id="14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ס,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.</w:t>
      </w:r>
    </w:p>
  </w:endnote>
  <w:endnote w:id="15">
    <w:p w:rsidR="00AD7325" w:rsidRDefault="00AD7325" w:rsidP="00AD732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בתורות "משחקת לפניו בכל עת" ו"עליה אין סופית".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60E" w:rsidRDefault="005B760E" w:rsidP="00AD7325">
      <w:pPr>
        <w:spacing w:after="0" w:line="240" w:lineRule="auto"/>
      </w:pPr>
      <w:r>
        <w:separator/>
      </w:r>
    </w:p>
  </w:footnote>
  <w:footnote w:type="continuationSeparator" w:id="0">
    <w:p w:rsidR="005B760E" w:rsidRDefault="005B760E" w:rsidP="00AD7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54"/>
    <w:rsid w:val="00061E65"/>
    <w:rsid w:val="005B760E"/>
    <w:rsid w:val="00906D54"/>
    <w:rsid w:val="00AC2310"/>
    <w:rsid w:val="00A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AD732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AD732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AD732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AD7325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AD7325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AD7325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AD7325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AD732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AD732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AD73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AD732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AD732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AD732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AD7325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AD7325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AD7325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AD7325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AD732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AD732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AD73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2017-08-15T16:38:00Z</dcterms:created>
  <dcterms:modified xsi:type="dcterms:W3CDTF">2017-08-15T16:38:00Z</dcterms:modified>
</cp:coreProperties>
</file>