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73" w:rsidRPr="004017DE" w:rsidRDefault="00747073" w:rsidP="00747073">
      <w:pPr>
        <w:pStyle w:val="2"/>
        <w:rPr>
          <w:rtl/>
        </w:rPr>
      </w:pPr>
      <w:bookmarkStart w:id="0" w:name="_Toc188281723"/>
      <w:bookmarkStart w:id="1" w:name="_Ref188281959"/>
      <w:r w:rsidRPr="00B46B4B">
        <w:rPr>
          <w:rFonts w:hint="cs"/>
          <w:rtl/>
        </w:rPr>
        <w:t>י</w:t>
      </w:r>
      <w:r w:rsidRPr="00B46B4B">
        <w:rPr>
          <w:rtl/>
        </w:rPr>
        <w:t>חס, יחד, אחד</w:t>
      </w:r>
      <w:bookmarkEnd w:id="0"/>
      <w:bookmarkEnd w:id="1"/>
    </w:p>
    <w:p w:rsidR="00747073" w:rsidRPr="00715B97" w:rsidRDefault="00747073" w:rsidP="00747073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a"/>
          <w:rtl/>
        </w:rPr>
      </w:pPr>
      <w:r>
        <w:rPr>
          <w:rStyle w:val="aa"/>
          <w:rFonts w:hint="cs"/>
          <w:rtl/>
        </w:rPr>
        <w:t>ב</w:t>
      </w:r>
    </w:p>
    <w:p w:rsidR="00747073" w:rsidRDefault="00747073" w:rsidP="00747073">
      <w:pPr>
        <w:rPr>
          <w:rFonts w:hint="cs"/>
          <w:rtl/>
        </w:rPr>
      </w:pPr>
      <w:r w:rsidRPr="00B46B4B">
        <w:rPr>
          <w:rtl/>
        </w:rPr>
        <w:t xml:space="preserve">בפסוקי התורה ביחס לנישואין יש שלשה תיאורי קשר עיקריים: </w:t>
      </w:r>
    </w:p>
    <w:p w:rsidR="00747073" w:rsidRDefault="00747073" w:rsidP="00747073">
      <w:pPr>
        <w:numPr>
          <w:ilvl w:val="0"/>
          <w:numId w:val="1"/>
        </w:numPr>
        <w:tabs>
          <w:tab w:val="clear" w:pos="1287"/>
          <w:tab w:val="num" w:pos="195"/>
        </w:tabs>
        <w:spacing w:line="360" w:lineRule="exact"/>
        <w:ind w:left="360"/>
        <w:rPr>
          <w:rFonts w:hint="cs"/>
        </w:rPr>
      </w:pPr>
      <w:r w:rsidRPr="00B46B4B">
        <w:rPr>
          <w:rtl/>
        </w:rPr>
        <w:t>"ויאמר אל</w:t>
      </w:r>
      <w:r w:rsidRPr="00B46B4B">
        <w:rPr>
          <w:rFonts w:hint="cs"/>
          <w:rtl/>
        </w:rPr>
        <w:t>ה</w:t>
      </w:r>
      <w:r w:rsidRPr="00B46B4B">
        <w:rPr>
          <w:rtl/>
        </w:rPr>
        <w:t xml:space="preserve">ים לא </w:t>
      </w:r>
      <w:r w:rsidRPr="00B04702">
        <w:rPr>
          <w:rStyle w:val="a3"/>
          <w:rtl/>
        </w:rPr>
        <w:t>טוב</w:t>
      </w:r>
      <w:r w:rsidRPr="00B46B4B">
        <w:rPr>
          <w:rtl/>
        </w:rPr>
        <w:t xml:space="preserve"> היות האדם לבדו"</w:t>
      </w:r>
      <w:r w:rsidRPr="00C37DFC">
        <w:rPr>
          <w:rStyle w:val="a7"/>
          <w:rtl/>
        </w:rPr>
        <w:endnoteReference w:id="1"/>
      </w:r>
      <w:r w:rsidRPr="00B46B4B">
        <w:rPr>
          <w:rtl/>
        </w:rPr>
        <w:t xml:space="preserve"> </w:t>
      </w:r>
    </w:p>
    <w:p w:rsidR="00747073" w:rsidRDefault="00747073" w:rsidP="00747073">
      <w:pPr>
        <w:numPr>
          <w:ilvl w:val="0"/>
          <w:numId w:val="1"/>
        </w:numPr>
        <w:tabs>
          <w:tab w:val="num" w:pos="195"/>
        </w:tabs>
        <w:spacing w:line="360" w:lineRule="exact"/>
        <w:ind w:left="360"/>
        <w:rPr>
          <w:rFonts w:hint="cs"/>
        </w:rPr>
      </w:pPr>
      <w:r w:rsidRPr="00B46B4B">
        <w:rPr>
          <w:rtl/>
        </w:rPr>
        <w:t>"ו</w:t>
      </w:r>
      <w:r w:rsidRPr="00B04702">
        <w:rPr>
          <w:rStyle w:val="a3"/>
          <w:rtl/>
        </w:rPr>
        <w:t>דבק</w:t>
      </w:r>
      <w:r w:rsidRPr="00B46B4B">
        <w:rPr>
          <w:rtl/>
        </w:rPr>
        <w:t xml:space="preserve"> באשתו</w:t>
      </w:r>
      <w:r>
        <w:rPr>
          <w:rFonts w:hint="cs"/>
          <w:rtl/>
        </w:rPr>
        <w:t>"</w:t>
      </w:r>
      <w:bookmarkStart w:id="2" w:name="_Ref187951197"/>
      <w:r w:rsidRPr="00C37DFC">
        <w:rPr>
          <w:rStyle w:val="a7"/>
          <w:rtl/>
        </w:rPr>
        <w:endnoteReference w:id="2"/>
      </w:r>
      <w:bookmarkEnd w:id="2"/>
    </w:p>
    <w:p w:rsidR="00747073" w:rsidRDefault="00747073" w:rsidP="00747073">
      <w:pPr>
        <w:numPr>
          <w:ilvl w:val="0"/>
          <w:numId w:val="1"/>
        </w:numPr>
        <w:tabs>
          <w:tab w:val="num" w:pos="195"/>
        </w:tabs>
        <w:spacing w:line="360" w:lineRule="exact"/>
        <w:ind w:left="360"/>
        <w:rPr>
          <w:rFonts w:hint="cs"/>
        </w:rPr>
      </w:pPr>
      <w:r>
        <w:rPr>
          <w:rFonts w:hint="cs"/>
          <w:rtl/>
        </w:rPr>
        <w:t>"</w:t>
      </w:r>
      <w:r w:rsidRPr="00B46B4B">
        <w:rPr>
          <w:rtl/>
        </w:rPr>
        <w:t xml:space="preserve">והיו לבשר </w:t>
      </w:r>
      <w:r w:rsidRPr="00B04702">
        <w:rPr>
          <w:rStyle w:val="a3"/>
          <w:rtl/>
        </w:rPr>
        <w:t>אחד</w:t>
      </w:r>
      <w:r w:rsidRPr="00B46B4B">
        <w:rPr>
          <w:rtl/>
        </w:rPr>
        <w:t>"</w:t>
      </w:r>
      <w:r w:rsidRPr="009D13F9">
        <w:rPr>
          <w:rStyle w:val="a7"/>
          <w:rtl/>
        </w:rPr>
        <w:fldChar w:fldCharType="begin"/>
      </w:r>
      <w:r w:rsidRPr="009D13F9">
        <w:rPr>
          <w:rStyle w:val="a7"/>
          <w:rtl/>
        </w:rPr>
        <w:instrText xml:space="preserve"> </w:instrText>
      </w:r>
      <w:r w:rsidRPr="009D13F9">
        <w:rPr>
          <w:rStyle w:val="a7"/>
        </w:rPr>
        <w:instrText>NOTEREF</w:instrText>
      </w:r>
      <w:r w:rsidRPr="009D13F9">
        <w:rPr>
          <w:rStyle w:val="a7"/>
          <w:rtl/>
        </w:rPr>
        <w:instrText xml:space="preserve"> _</w:instrText>
      </w:r>
      <w:r w:rsidRPr="009D13F9">
        <w:rPr>
          <w:rStyle w:val="a7"/>
        </w:rPr>
        <w:instrText>Ref187951197 \h</w:instrText>
      </w:r>
      <w:r w:rsidRPr="009D13F9">
        <w:rPr>
          <w:rStyle w:val="a7"/>
          <w:rtl/>
        </w:rPr>
        <w:instrText xml:space="preserve"> </w:instrText>
      </w:r>
      <w:r w:rsidRPr="009D13F9">
        <w:rPr>
          <w:rStyle w:val="a7"/>
        </w:rPr>
      </w:r>
      <w:r>
        <w:rPr>
          <w:rStyle w:val="a7"/>
          <w:rtl/>
        </w:rPr>
        <w:instrText xml:space="preserve"> \* </w:instrText>
      </w:r>
      <w:r>
        <w:rPr>
          <w:rStyle w:val="a7"/>
        </w:rPr>
        <w:instrText>MERGEFORMAT</w:instrText>
      </w:r>
      <w:r>
        <w:rPr>
          <w:rStyle w:val="a7"/>
          <w:rtl/>
        </w:rPr>
        <w:instrText xml:space="preserve"> </w:instrText>
      </w:r>
      <w:r w:rsidRPr="009D13F9">
        <w:rPr>
          <w:rStyle w:val="a7"/>
          <w:rtl/>
        </w:rPr>
        <w:fldChar w:fldCharType="separate"/>
      </w:r>
      <w:r>
        <w:rPr>
          <w:rStyle w:val="a7"/>
          <w:rtl/>
        </w:rPr>
        <w:t>ב</w:t>
      </w:r>
      <w:r w:rsidRPr="009D13F9">
        <w:rPr>
          <w:rStyle w:val="a7"/>
          <w:rtl/>
        </w:rPr>
        <w:fldChar w:fldCharType="end"/>
      </w:r>
    </w:p>
    <w:p w:rsidR="00747073" w:rsidRPr="00B46B4B" w:rsidRDefault="00747073" w:rsidP="00747073">
      <w:pPr>
        <w:rPr>
          <w:rtl/>
        </w:rPr>
      </w:pPr>
      <w:r w:rsidRPr="00B46B4B">
        <w:rPr>
          <w:rFonts w:hint="cs"/>
          <w:rtl/>
        </w:rPr>
        <w:t>מכך ניתן ללמוד כי</w:t>
      </w:r>
      <w:r w:rsidRPr="00B46B4B">
        <w:rPr>
          <w:rtl/>
        </w:rPr>
        <w:t xml:space="preserve"> הנישואין (בניגוד ל'לבדיות') הם </w:t>
      </w:r>
      <w:r w:rsidRPr="00B04702">
        <w:rPr>
          <w:rStyle w:val="a3"/>
          <w:rtl/>
        </w:rPr>
        <w:t>טוב</w:t>
      </w:r>
      <w:r w:rsidRPr="00B46B4B">
        <w:rPr>
          <w:rtl/>
        </w:rPr>
        <w:t xml:space="preserve">, יש </w:t>
      </w:r>
      <w:r w:rsidRPr="00B04702">
        <w:rPr>
          <w:rStyle w:val="a3"/>
          <w:rtl/>
        </w:rPr>
        <w:t>דבקות</w:t>
      </w:r>
      <w:r w:rsidRPr="00B46B4B">
        <w:rPr>
          <w:rtl/>
        </w:rPr>
        <w:t xml:space="preserve"> בין בני הזוג, והם אף מגיעים להיות </w:t>
      </w:r>
      <w:r w:rsidRPr="00B04702">
        <w:rPr>
          <w:rStyle w:val="a3"/>
          <w:rtl/>
        </w:rPr>
        <w:t>אחד</w:t>
      </w:r>
      <w:r w:rsidRPr="00B46B4B">
        <w:rPr>
          <w:rtl/>
        </w:rPr>
        <w:t xml:space="preserve"> ממש. שלשת התיאורים הם שלש רמות (זו למעלה מזו) שעל כל בני זוג לטפח ולפתח בחיי הנישואין שלהם, שלב אחרי שלב:</w:t>
      </w:r>
    </w:p>
    <w:p w:rsidR="00747073" w:rsidRPr="00B46B4B" w:rsidRDefault="00747073" w:rsidP="00747073">
      <w:pPr>
        <w:rPr>
          <w:rFonts w:hint="cs"/>
          <w:rtl/>
        </w:rPr>
      </w:pPr>
      <w:r w:rsidRPr="00B46B4B">
        <w:rPr>
          <w:rtl/>
        </w:rPr>
        <w:t>הבדידות מוגדרת "לא טוב" ועצם ה</w:t>
      </w:r>
      <w:r w:rsidRPr="00B04702">
        <w:rPr>
          <w:rStyle w:val="a3"/>
          <w:rtl/>
        </w:rPr>
        <w:t>יחס</w:t>
      </w:r>
      <w:r w:rsidRPr="00B46B4B">
        <w:rPr>
          <w:rtl/>
        </w:rPr>
        <w:t xml:space="preserve"> בין בני הזוג הפונים זה אל זו הוא ה</w:t>
      </w:r>
      <w:r w:rsidRPr="00B46B4B">
        <w:rPr>
          <w:rFonts w:hint="cs"/>
          <w:rtl/>
        </w:rPr>
        <w:t>"</w:t>
      </w:r>
      <w:r w:rsidRPr="00B04702">
        <w:rPr>
          <w:rStyle w:val="a3"/>
          <w:rtl/>
        </w:rPr>
        <w:t>טוב</w:t>
      </w:r>
      <w:r w:rsidRPr="00B46B4B">
        <w:rPr>
          <w:rtl/>
        </w:rPr>
        <w:t xml:space="preserve">". כמובן, על היחס להיות טוב באמת – יחס של </w:t>
      </w:r>
      <w:r w:rsidRPr="00B04702">
        <w:rPr>
          <w:rStyle w:val="a3"/>
          <w:rtl/>
        </w:rPr>
        <w:t>כבוד</w:t>
      </w:r>
      <w:r w:rsidRPr="00B46B4B">
        <w:rPr>
          <w:rtl/>
        </w:rPr>
        <w:t xml:space="preserve"> הדדי בין בני הזוג</w:t>
      </w:r>
      <w:r>
        <w:rPr>
          <w:rFonts w:hint="cs"/>
          <w:rtl/>
        </w:rPr>
        <w:t>, המעניק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משקל וחשיבות לאישיות ולצרכים</w:t>
      </w:r>
      <w:r w:rsidRPr="00B46B4B">
        <w:rPr>
          <w:rFonts w:hint="cs"/>
          <w:rtl/>
        </w:rPr>
        <w:t xml:space="preserve"> של הזולת</w:t>
      </w:r>
      <w:r w:rsidRPr="00B46B4B">
        <w:rPr>
          <w:rtl/>
        </w:rPr>
        <w:t>. אמנם, היחס הטוב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המתבטא בעיקר בדיבור </w:t>
      </w:r>
      <w:r w:rsidRPr="00B46B4B">
        <w:rPr>
          <w:rFonts w:hint="cs"/>
          <w:rtl/>
        </w:rPr>
        <w:t>מתוקן ו</w:t>
      </w:r>
      <w:r w:rsidRPr="00B46B4B">
        <w:rPr>
          <w:rtl/>
        </w:rPr>
        <w:t>מנומס ובדאגה לצד ה</w:t>
      </w:r>
      <w:r w:rsidRPr="00B46B4B">
        <w:rPr>
          <w:rFonts w:hint="cs"/>
          <w:rtl/>
        </w:rPr>
        <w:t>גשמי</w:t>
      </w:r>
      <w:r w:rsidRPr="00B46B4B">
        <w:rPr>
          <w:rtl/>
        </w:rPr>
        <w:t xml:space="preserve"> של החיים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הוא רק הבסיס לחיי הנישואין, הרמה הנמוכה שלהם.</w:t>
      </w:r>
    </w:p>
    <w:p w:rsidR="00747073" w:rsidRPr="00B46B4B" w:rsidRDefault="00747073" w:rsidP="00747073">
      <w:pPr>
        <w:rPr>
          <w:rFonts w:hint="cs"/>
          <w:rtl/>
        </w:rPr>
      </w:pPr>
      <w:r w:rsidRPr="00B46B4B">
        <w:rPr>
          <w:rtl/>
        </w:rPr>
        <w:t xml:space="preserve">למעלה מיחס הכבוד – הערכה הדדית 'מבחוץ' – בני הזוג חיים </w:t>
      </w:r>
      <w:r w:rsidRPr="00B04702">
        <w:rPr>
          <w:rStyle w:val="a3"/>
          <w:rtl/>
        </w:rPr>
        <w:t>יחד</w:t>
      </w:r>
      <w:r w:rsidRPr="00B46B4B">
        <w:rPr>
          <w:rtl/>
        </w:rPr>
        <w:t>, וחשים זה את תחושותיו של זה (דבר התלוי בהתבגרות רגשית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התפרטות ו</w:t>
      </w:r>
      <w:r w:rsidRPr="00B04702">
        <w:rPr>
          <w:rStyle w:val="a3"/>
          <w:rtl/>
        </w:rPr>
        <w:t>התפרקות</w:t>
      </w:r>
      <w:r w:rsidRPr="00B46B4B">
        <w:rPr>
          <w:rtl/>
        </w:rPr>
        <w:t xml:space="preserve"> הרגש להזדהות גם עם רגשות הזולת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שהיא המאפשרת את החתונה בהגיע בני הזוג ל</w:t>
      </w:r>
      <w:r w:rsidRPr="00B04702">
        <w:rPr>
          <w:rStyle w:val="a3"/>
          <w:rtl/>
        </w:rPr>
        <w:t>פרקם</w:t>
      </w:r>
      <w:r w:rsidRPr="00C37DFC">
        <w:rPr>
          <w:rStyle w:val="a7"/>
          <w:rtl/>
        </w:rPr>
        <w:endnoteReference w:id="3"/>
      </w:r>
      <w:r w:rsidRPr="00B46B4B">
        <w:rPr>
          <w:rtl/>
        </w:rPr>
        <w:t xml:space="preserve">). זהו מצב של </w:t>
      </w:r>
      <w:r w:rsidRPr="00B04702">
        <w:rPr>
          <w:rStyle w:val="a3"/>
          <w:rtl/>
        </w:rPr>
        <w:t>דבקות</w:t>
      </w:r>
      <w:r w:rsidRPr="00B46B4B">
        <w:rPr>
          <w:rtl/>
        </w:rPr>
        <w:t xml:space="preserve"> רגשית בין בני הזוג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הקשורים זה בזה ברגש ה</w:t>
      </w:r>
      <w:r w:rsidRPr="00B04702">
        <w:rPr>
          <w:rStyle w:val="a3"/>
          <w:rtl/>
        </w:rPr>
        <w:t>אהבה</w:t>
      </w:r>
      <w:r w:rsidRPr="00B46B4B">
        <w:rPr>
          <w:rtl/>
        </w:rPr>
        <w:t>. עבודת ה' המשותפת של בני הזוג – בעיקר דרך המצוות המוטלות על חיי הנישואין</w:t>
      </w:r>
      <w:r w:rsidRPr="00C37DFC">
        <w:rPr>
          <w:rStyle w:val="a7"/>
          <w:rtl/>
        </w:rPr>
        <w:endnoteReference w:id="4"/>
      </w:r>
      <w:r w:rsidRPr="00B46B4B">
        <w:rPr>
          <w:rtl/>
        </w:rPr>
        <w:t xml:space="preserve"> – תומכת את הרגשת היחד, באשר בני הזוג עומדים יחד נוכח פני ה' ומכוונים את רגשותיהם </w:t>
      </w:r>
      <w:r>
        <w:rPr>
          <w:rFonts w:hint="cs"/>
          <w:rtl/>
        </w:rPr>
        <w:t xml:space="preserve">ואת התפתחותם האישית </w:t>
      </w:r>
      <w:r w:rsidRPr="00B46B4B">
        <w:rPr>
          <w:rtl/>
        </w:rPr>
        <w:t>על פי אותן הוראות אלקיות.</w:t>
      </w:r>
    </w:p>
    <w:p w:rsidR="00747073" w:rsidRPr="00B46B4B" w:rsidRDefault="00747073" w:rsidP="00747073">
      <w:pPr>
        <w:rPr>
          <w:rFonts w:hint="cs"/>
          <w:rtl/>
        </w:rPr>
      </w:pPr>
      <w:r w:rsidRPr="00B46B4B">
        <w:rPr>
          <w:rtl/>
        </w:rPr>
        <w:t xml:space="preserve">למעלה מהדבקות – אהבה וקשר בין שנים </w:t>
      </w:r>
      <w:r w:rsidRPr="00B46B4B">
        <w:rPr>
          <w:rFonts w:hint="cs"/>
          <w:rtl/>
        </w:rPr>
        <w:t xml:space="preserve">שונים </w:t>
      </w:r>
      <w:r w:rsidRPr="00B46B4B">
        <w:rPr>
          <w:rtl/>
        </w:rPr>
        <w:t xml:space="preserve">– מתקדמים בני הזוג להיות </w:t>
      </w:r>
      <w:r w:rsidRPr="00B04702">
        <w:rPr>
          <w:rStyle w:val="a3"/>
          <w:rtl/>
        </w:rPr>
        <w:t>אחד</w:t>
      </w:r>
      <w:r w:rsidRPr="00B46B4B">
        <w:rPr>
          <w:rtl/>
        </w:rPr>
        <w:t xml:space="preserve"> ממש</w:t>
      </w:r>
      <w:r w:rsidRPr="00C37DFC">
        <w:rPr>
          <w:rStyle w:val="a7"/>
          <w:rtl/>
        </w:rPr>
        <w:endnoteReference w:id="5"/>
      </w:r>
      <w:r>
        <w:rPr>
          <w:rFonts w:hint="cs"/>
          <w:rtl/>
        </w:rPr>
        <w:t>. אזי</w:t>
      </w:r>
      <w:r w:rsidRPr="00B46B4B">
        <w:rPr>
          <w:rtl/>
        </w:rPr>
        <w:t xml:space="preserve"> הקשר איננו יחס אל זולת, אלא תחושה </w:t>
      </w:r>
      <w:r>
        <w:rPr>
          <w:rFonts w:hint="cs"/>
          <w:rtl/>
        </w:rPr>
        <w:t>קיומית שבני הזוג הם אדם אחד ואינם יכולים להתקיים כפרטים נפרדים</w:t>
      </w:r>
      <w:r w:rsidRPr="00B46B4B">
        <w:rPr>
          <w:rFonts w:hint="cs"/>
          <w:rtl/>
        </w:rPr>
        <w:t>. תחושה זו</w:t>
      </w:r>
      <w:r w:rsidRPr="00B46B4B">
        <w:rPr>
          <w:rtl/>
        </w:rPr>
        <w:t xml:space="preserve"> מתבטא</w:t>
      </w:r>
      <w:r w:rsidRPr="00B46B4B">
        <w:rPr>
          <w:rFonts w:hint="cs"/>
          <w:rtl/>
        </w:rPr>
        <w:t>ת</w:t>
      </w:r>
      <w:r w:rsidRPr="00B46B4B">
        <w:rPr>
          <w:rtl/>
        </w:rPr>
        <w:t xml:space="preserve"> בנכונות </w:t>
      </w:r>
      <w:r w:rsidRPr="00B46B4B">
        <w:rPr>
          <w:rFonts w:hint="cs"/>
          <w:rtl/>
        </w:rPr>
        <w:t>ל</w:t>
      </w:r>
      <w:r w:rsidRPr="00B04702">
        <w:rPr>
          <w:rStyle w:val="a3"/>
          <w:rtl/>
        </w:rPr>
        <w:t>מסירת נפש</w:t>
      </w:r>
      <w:r w:rsidRPr="00B46B4B">
        <w:rPr>
          <w:rtl/>
        </w:rPr>
        <w:t xml:space="preserve"> זה עבור זה. מצב זה הוא </w:t>
      </w:r>
      <w:r w:rsidRPr="00B04702">
        <w:rPr>
          <w:rStyle w:val="a3"/>
          <w:rtl/>
        </w:rPr>
        <w:t>התכללות</w:t>
      </w:r>
      <w:r w:rsidRPr="00B46B4B">
        <w:rPr>
          <w:rtl/>
        </w:rPr>
        <w:t xml:space="preserve"> מוחלטת בין בני הזוג – עצם ה</w:t>
      </w:r>
      <w:r w:rsidRPr="00B04702">
        <w:rPr>
          <w:rStyle w:val="a3"/>
          <w:rtl/>
        </w:rPr>
        <w:t>כלולות</w:t>
      </w:r>
      <w:r w:rsidRPr="00B46B4B">
        <w:rPr>
          <w:rtl/>
        </w:rPr>
        <w:t>, מסירת ו</w:t>
      </w:r>
      <w:r w:rsidRPr="00B04702">
        <w:rPr>
          <w:rStyle w:val="a3"/>
          <w:rtl/>
        </w:rPr>
        <w:t>כלות</w:t>
      </w:r>
      <w:r w:rsidRPr="00B46B4B">
        <w:rPr>
          <w:rtl/>
        </w:rPr>
        <w:t xml:space="preserve"> הנפש בין בני הזוג, ש'אינם קיימים' זה בלא זו. במדרגת ה"אחד" משתקפת ביחסים בין בני הזוג האחדות האלקית, וכל מעשיהם </w:t>
      </w:r>
      <w:r>
        <w:rPr>
          <w:rFonts w:hint="cs"/>
          <w:rtl/>
        </w:rPr>
        <w:t xml:space="preserve">הופכים להיות </w:t>
      </w:r>
      <w:r w:rsidRPr="00B46B4B">
        <w:rPr>
          <w:rtl/>
        </w:rPr>
        <w:t xml:space="preserve">משל </w:t>
      </w:r>
      <w:r>
        <w:rPr>
          <w:rFonts w:hint="cs"/>
          <w:rtl/>
        </w:rPr>
        <w:t xml:space="preserve">ורמז </w:t>
      </w:r>
      <w:r w:rsidRPr="00B46B4B">
        <w:rPr>
          <w:rtl/>
        </w:rPr>
        <w:t>לנמשל האלקי העליון</w:t>
      </w:r>
      <w:r>
        <w:rPr>
          <w:rFonts w:hint="cs"/>
          <w:rtl/>
        </w:rPr>
        <w:t>.</w:t>
      </w:r>
    </w:p>
    <w:p w:rsidR="00747073" w:rsidRPr="00B46B4B" w:rsidRDefault="00747073" w:rsidP="00747073">
      <w:pPr>
        <w:rPr>
          <w:rFonts w:hint="cs"/>
          <w:rtl/>
        </w:rPr>
      </w:pPr>
      <w:r w:rsidRPr="00B46B4B">
        <w:rPr>
          <w:rtl/>
        </w:rPr>
        <w:t xml:space="preserve">ורמז: שלש המערכות (המקבילות) שתוארו – </w:t>
      </w:r>
      <w:r w:rsidRPr="00B46B4B">
        <w:rPr>
          <w:b/>
          <w:bCs/>
          <w:sz w:val="28"/>
          <w:szCs w:val="28"/>
          <w:rtl/>
        </w:rPr>
        <w:t>יחס</w:t>
      </w:r>
      <w:r w:rsidRPr="00B46B4B">
        <w:rPr>
          <w:rtl/>
        </w:rPr>
        <w:t xml:space="preserve">, </w:t>
      </w:r>
      <w:r w:rsidRPr="00B46B4B">
        <w:rPr>
          <w:b/>
          <w:bCs/>
          <w:sz w:val="28"/>
          <w:szCs w:val="28"/>
          <w:rtl/>
        </w:rPr>
        <w:t>יחד</w:t>
      </w:r>
      <w:r w:rsidRPr="00B46B4B">
        <w:rPr>
          <w:rtl/>
        </w:rPr>
        <w:t xml:space="preserve">, </w:t>
      </w:r>
      <w:r w:rsidRPr="00B46B4B">
        <w:rPr>
          <w:b/>
          <w:bCs/>
          <w:sz w:val="28"/>
          <w:szCs w:val="28"/>
          <w:rtl/>
        </w:rPr>
        <w:t>אחד</w:t>
      </w:r>
      <w:r w:rsidRPr="00B46B4B">
        <w:rPr>
          <w:rtl/>
        </w:rPr>
        <w:t xml:space="preserve">; </w:t>
      </w:r>
      <w:r w:rsidRPr="00B46B4B">
        <w:rPr>
          <w:b/>
          <w:bCs/>
          <w:sz w:val="28"/>
          <w:szCs w:val="28"/>
          <w:rtl/>
        </w:rPr>
        <w:t>כבוד</w:t>
      </w:r>
      <w:r w:rsidRPr="00B46B4B">
        <w:rPr>
          <w:rtl/>
        </w:rPr>
        <w:t>,</w:t>
      </w:r>
      <w:r w:rsidRPr="00B46B4B">
        <w:rPr>
          <w:b/>
          <w:bCs/>
          <w:sz w:val="28"/>
          <w:szCs w:val="28"/>
          <w:rtl/>
        </w:rPr>
        <w:t xml:space="preserve"> אהבה</w:t>
      </w:r>
      <w:r w:rsidRPr="00B46B4B">
        <w:rPr>
          <w:rtl/>
        </w:rPr>
        <w:t>,</w:t>
      </w:r>
      <w:r w:rsidRPr="00B46B4B">
        <w:rPr>
          <w:b/>
          <w:bCs/>
          <w:sz w:val="28"/>
          <w:szCs w:val="28"/>
          <w:rtl/>
        </w:rPr>
        <w:t xml:space="preserve"> מסירת-נפש</w:t>
      </w:r>
      <w:r w:rsidRPr="00B46B4B">
        <w:rPr>
          <w:rtl/>
        </w:rPr>
        <w:t xml:space="preserve">; </w:t>
      </w:r>
      <w:r w:rsidRPr="00B46B4B">
        <w:rPr>
          <w:b/>
          <w:bCs/>
          <w:sz w:val="28"/>
          <w:szCs w:val="28"/>
          <w:rtl/>
        </w:rPr>
        <w:t>טוב</w:t>
      </w:r>
      <w:r w:rsidRPr="00B46B4B">
        <w:rPr>
          <w:rtl/>
        </w:rPr>
        <w:t>,</w:t>
      </w:r>
      <w:r w:rsidRPr="00B46B4B">
        <w:rPr>
          <w:b/>
          <w:bCs/>
          <w:sz w:val="28"/>
          <w:szCs w:val="28"/>
          <w:rtl/>
        </w:rPr>
        <w:t xml:space="preserve"> דבקות</w:t>
      </w:r>
      <w:r w:rsidRPr="00B46B4B">
        <w:rPr>
          <w:rtl/>
        </w:rPr>
        <w:t>,</w:t>
      </w:r>
      <w:r w:rsidRPr="00B46B4B">
        <w:rPr>
          <w:b/>
          <w:bCs/>
          <w:sz w:val="28"/>
          <w:szCs w:val="28"/>
          <w:rtl/>
        </w:rPr>
        <w:t xml:space="preserve"> התכללות</w:t>
      </w:r>
      <w:r w:rsidRPr="00B46B4B">
        <w:rPr>
          <w:rtl/>
        </w:rPr>
        <w:t xml:space="preserve"> – עולות בדיוק </w:t>
      </w:r>
      <w:r w:rsidRPr="00B46B4B">
        <w:rPr>
          <w:rFonts w:hint="cs"/>
          <w:rtl/>
        </w:rPr>
        <w:t xml:space="preserve">כמנין </w:t>
      </w:r>
      <w:r>
        <w:rPr>
          <w:rFonts w:hint="cs"/>
          <w:rtl/>
        </w:rPr>
        <w:t xml:space="preserve">הברכה המשולשת, </w:t>
      </w:r>
      <w:r w:rsidRPr="00B46B4B">
        <w:rPr>
          <w:rFonts w:hint="cs"/>
          <w:rtl/>
        </w:rPr>
        <w:t>ברכת כהנים (המברכת במיוחד, ב</w:t>
      </w:r>
      <w:r w:rsidRPr="00B04702">
        <w:rPr>
          <w:rStyle w:val="a3"/>
          <w:rFonts w:hint="cs"/>
          <w:rtl/>
        </w:rPr>
        <w:t>נשיאת</w:t>
      </w:r>
      <w:r w:rsidRPr="00B46B4B">
        <w:rPr>
          <w:rFonts w:hint="cs"/>
          <w:rtl/>
        </w:rPr>
        <w:t xml:space="preserve"> כפים, את ה</w:t>
      </w:r>
      <w:r w:rsidRPr="00B04702">
        <w:rPr>
          <w:rStyle w:val="a3"/>
          <w:rFonts w:hint="cs"/>
          <w:rtl/>
        </w:rPr>
        <w:t>נישואין</w:t>
      </w:r>
      <w:r>
        <w:rPr>
          <w:rFonts w:hint="cs"/>
          <w:rtl/>
        </w:rPr>
        <w:t>, כמבואר במ"א</w:t>
      </w:r>
      <w:r w:rsidRPr="00B46B4B">
        <w:rPr>
          <w:rFonts w:hint="cs"/>
          <w:rtl/>
        </w:rPr>
        <w:t xml:space="preserve">) </w:t>
      </w:r>
      <w:r w:rsidRPr="00B46B4B">
        <w:rPr>
          <w:rtl/>
        </w:rPr>
        <w:t>"</w:t>
      </w:r>
      <w:r w:rsidRPr="00B46B4B">
        <w:rPr>
          <w:b/>
          <w:bCs/>
          <w:sz w:val="28"/>
          <w:szCs w:val="28"/>
          <w:rtl/>
        </w:rPr>
        <w:t>יברכך הוי' וישמרך</w:t>
      </w:r>
      <w:r w:rsidRPr="00B46B4B">
        <w:rPr>
          <w:rtl/>
        </w:rPr>
        <w:t xml:space="preserve">. </w:t>
      </w:r>
      <w:r w:rsidRPr="00B46B4B">
        <w:rPr>
          <w:b/>
          <w:bCs/>
          <w:sz w:val="28"/>
          <w:szCs w:val="28"/>
          <w:rtl/>
        </w:rPr>
        <w:t>יאר הוי' פניו אליך ויחנך</w:t>
      </w:r>
      <w:r w:rsidRPr="00B46B4B">
        <w:rPr>
          <w:rtl/>
        </w:rPr>
        <w:t xml:space="preserve">. </w:t>
      </w:r>
      <w:r w:rsidRPr="00B46B4B">
        <w:rPr>
          <w:b/>
          <w:bCs/>
          <w:sz w:val="28"/>
          <w:szCs w:val="28"/>
          <w:rtl/>
        </w:rPr>
        <w:t>ישא הוי' פניו אליך וישם לך שלום</w:t>
      </w:r>
      <w:r w:rsidRPr="00B46B4B">
        <w:rPr>
          <w:rtl/>
        </w:rPr>
        <w:t>"</w:t>
      </w:r>
      <w:r w:rsidRPr="00C37DFC">
        <w:rPr>
          <w:rStyle w:val="a7"/>
          <w:rtl/>
        </w:rPr>
        <w:endnoteReference w:id="6"/>
      </w:r>
      <w:r w:rsidRPr="00B46B4B">
        <w:rPr>
          <w:rtl/>
        </w:rPr>
        <w:t>!</w:t>
      </w:r>
    </w:p>
    <w:p w:rsidR="005F4A47" w:rsidRDefault="00076679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679" w:rsidRDefault="00076679" w:rsidP="00747073">
      <w:pPr>
        <w:spacing w:after="0" w:line="240" w:lineRule="auto"/>
      </w:pPr>
      <w:r>
        <w:separator/>
      </w:r>
    </w:p>
  </w:endnote>
  <w:endnote w:type="continuationSeparator" w:id="0">
    <w:p w:rsidR="00076679" w:rsidRDefault="00076679" w:rsidP="00747073">
      <w:pPr>
        <w:spacing w:after="0" w:line="240" w:lineRule="auto"/>
      </w:pPr>
      <w:r>
        <w:continuationSeparator/>
      </w:r>
    </w:p>
  </w:endnote>
  <w:endnote w:id="1">
    <w:p w:rsidR="00747073" w:rsidRDefault="00747073" w:rsidP="00747073">
      <w:pPr>
        <w:pStyle w:val="a5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יח.</w:t>
      </w:r>
    </w:p>
  </w:endnote>
  <w:endnote w:id="2">
    <w:p w:rsidR="00747073" w:rsidRDefault="00747073" w:rsidP="00747073">
      <w:pPr>
        <w:pStyle w:val="a5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כד.</w:t>
      </w:r>
    </w:p>
  </w:endnote>
  <w:endnote w:id="3">
    <w:p w:rsidR="00747073" w:rsidRDefault="00747073" w:rsidP="00747073">
      <w:pPr>
        <w:pStyle w:val="a5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אודות ההתכללות הנדרשת לזיווג ראה לקוטי תורה ויקרא יט, ג ובאורך בספר מבוא לקבלת האריז"ל סימן ה פ"ב (בפרט עמ' רמט-רנג). ראה גם בספר בעתה אחישנה עמ' צו.</w:t>
      </w:r>
    </w:p>
  </w:endnote>
  <w:endnote w:id="4">
    <w:p w:rsidR="00747073" w:rsidRDefault="00747073" w:rsidP="00747073">
      <w:pPr>
        <w:pStyle w:val="a5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באורך במאמר "טהרת המשפחה" בספר ברית הנישואין.</w:t>
      </w:r>
    </w:p>
  </w:endnote>
  <w:endnote w:id="5">
    <w:p w:rsidR="00747073" w:rsidRDefault="00747073" w:rsidP="00747073">
      <w:pPr>
        <w:pStyle w:val="a5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ה</w:t>
      </w:r>
      <w:r w:rsidRPr="00B46B4B">
        <w:rPr>
          <w:rFonts w:hint="cs"/>
          <w:rtl/>
        </w:rPr>
        <w:t xml:space="preserve">מעבר </w:t>
      </w:r>
      <w:r>
        <w:rPr>
          <w:rFonts w:hint="cs"/>
          <w:rtl/>
        </w:rPr>
        <w:t xml:space="preserve">מדבקות לאחדות הוא על דרך המעבר </w:t>
      </w:r>
      <w:r w:rsidRPr="00B46B4B">
        <w:rPr>
          <w:rFonts w:hint="cs"/>
          <w:rtl/>
        </w:rPr>
        <w:t xml:space="preserve">מתחלת פרשת ואתחנן לסיומה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מ"ואתם </w:t>
      </w:r>
      <w:r w:rsidRPr="00B04702">
        <w:rPr>
          <w:rStyle w:val="a4"/>
          <w:rFonts w:hint="cs"/>
          <w:rtl/>
        </w:rPr>
        <w:t>הדבקים</w:t>
      </w:r>
      <w:r w:rsidRPr="00B46B4B">
        <w:rPr>
          <w:rFonts w:hint="cs"/>
          <w:rtl/>
        </w:rPr>
        <w:t xml:space="preserve"> בהוי' אלהיכם"</w:t>
      </w:r>
      <w:r>
        <w:rPr>
          <w:rFonts w:hint="cs"/>
          <w:rtl/>
        </w:rPr>
        <w:t xml:space="preserve"> (דברים ד, ד)</w:t>
      </w:r>
      <w:r w:rsidRPr="00B46B4B">
        <w:rPr>
          <w:rFonts w:hint="cs"/>
          <w:rtl/>
        </w:rPr>
        <w:t xml:space="preserve"> ל"שמע ישראל הוי' אלהינו הוי' </w:t>
      </w:r>
      <w:r w:rsidRPr="00B04702">
        <w:rPr>
          <w:rStyle w:val="a4"/>
          <w:rFonts w:hint="cs"/>
          <w:rtl/>
        </w:rPr>
        <w:t>אחד</w:t>
      </w:r>
      <w:r w:rsidRPr="00B46B4B">
        <w:rPr>
          <w:rFonts w:hint="cs"/>
          <w:rtl/>
        </w:rPr>
        <w:t>"</w:t>
      </w:r>
      <w:r>
        <w:rPr>
          <w:rFonts w:hint="cs"/>
          <w:rtl/>
        </w:rPr>
        <w:t xml:space="preserve"> (שם ו, ד).</w:t>
      </w:r>
      <w:r w:rsidRPr="00B46B4B">
        <w:rPr>
          <w:rFonts w:hint="cs"/>
          <w:rtl/>
        </w:rPr>
        <w:t xml:space="preserve"> חומש דברים</w:t>
      </w:r>
      <w:r>
        <w:rPr>
          <w:rFonts w:hint="cs"/>
          <w:rtl/>
        </w:rPr>
        <w:t xml:space="preserve"> ככלל</w:t>
      </w:r>
      <w:r w:rsidRPr="00B46B4B">
        <w:rPr>
          <w:rFonts w:hint="cs"/>
          <w:rtl/>
        </w:rPr>
        <w:t xml:space="preserve">, בו "שכינה מדברת מתוך גרונו של משה", </w:t>
      </w:r>
      <w:r>
        <w:rPr>
          <w:rFonts w:hint="cs"/>
          <w:rtl/>
        </w:rPr>
        <w:t>עומד</w:t>
      </w:r>
      <w:r w:rsidRPr="00B46B4B">
        <w:rPr>
          <w:rFonts w:hint="cs"/>
          <w:rtl/>
        </w:rPr>
        <w:t xml:space="preserve"> במעלה של "ודבק באשתו והיו לבשר אחד"</w:t>
      </w:r>
      <w:r>
        <w:rPr>
          <w:rFonts w:hint="cs"/>
          <w:rtl/>
        </w:rPr>
        <w:t xml:space="preserve"> ביחס ל</w:t>
      </w:r>
      <w:r w:rsidRPr="00B46B4B">
        <w:rPr>
          <w:rFonts w:hint="cs"/>
          <w:rtl/>
        </w:rPr>
        <w:t>שכינה, כלת משה</w:t>
      </w:r>
      <w:r>
        <w:rPr>
          <w:rFonts w:hint="cs"/>
          <w:rtl/>
        </w:rPr>
        <w:t xml:space="preserve"> (זהר ח"א רלו, ב ובריבוי מקומות בזהר, וראה גם תנחומא נשא כו ופסיקתא דרב כהנא א, א).</w:t>
      </w:r>
    </w:p>
  </w:endnote>
  <w:endnote w:id="6">
    <w:p w:rsidR="00747073" w:rsidRDefault="00747073" w:rsidP="00747073">
      <w:pPr>
        <w:pStyle w:val="a5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במדבר ו, כד-כו.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679" w:rsidRDefault="00076679" w:rsidP="00747073">
      <w:pPr>
        <w:spacing w:after="0" w:line="240" w:lineRule="auto"/>
      </w:pPr>
      <w:r>
        <w:separator/>
      </w:r>
    </w:p>
  </w:footnote>
  <w:footnote w:type="continuationSeparator" w:id="0">
    <w:p w:rsidR="00076679" w:rsidRDefault="00076679" w:rsidP="0074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0A04"/>
    <w:multiLevelType w:val="hybridMultilevel"/>
    <w:tmpl w:val="B790B42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35"/>
    <w:rsid w:val="00061E65"/>
    <w:rsid w:val="00076679"/>
    <w:rsid w:val="00401235"/>
    <w:rsid w:val="00747073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47073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47073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47073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747073"/>
    <w:rPr>
      <w:rFonts w:cs="MiriamMFO"/>
      <w:w w:val="100"/>
      <w:sz w:val="21"/>
      <w:szCs w:val="23"/>
    </w:rPr>
  </w:style>
  <w:style w:type="character" w:customStyle="1" w:styleId="a4">
    <w:name w:val="מרים הערות שוליים"/>
    <w:basedOn w:val="a0"/>
    <w:rsid w:val="00747073"/>
    <w:rPr>
      <w:rFonts w:cs="MiriamMFO"/>
      <w:sz w:val="20"/>
      <w:szCs w:val="19"/>
      <w:lang w:eastAsia="en-US"/>
    </w:rPr>
  </w:style>
  <w:style w:type="paragraph" w:styleId="a5">
    <w:name w:val="endnote text"/>
    <w:aliases w:val="Endnote Text"/>
    <w:basedOn w:val="a"/>
    <w:link w:val="a6"/>
    <w:semiHidden/>
    <w:rsid w:val="00747073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747073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7">
    <w:name w:val="endnote reference"/>
    <w:aliases w:val="Endnote Reference"/>
    <w:basedOn w:val="a8"/>
    <w:semiHidden/>
    <w:rsid w:val="00747073"/>
    <w:rPr>
      <w:noProof/>
      <w:position w:val="-4"/>
      <w:szCs w:val="27"/>
      <w:vertAlign w:val="superscript"/>
    </w:rPr>
  </w:style>
  <w:style w:type="paragraph" w:customStyle="1" w:styleId="a9">
    <w:name w:val="פתיח תו"/>
    <w:basedOn w:val="a"/>
    <w:link w:val="aa"/>
    <w:rsid w:val="00747073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a">
    <w:name w:val="פתיח תו תו"/>
    <w:basedOn w:val="a0"/>
    <w:link w:val="a9"/>
    <w:rsid w:val="00747073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8">
    <w:name w:val="footnote reference"/>
    <w:basedOn w:val="a0"/>
    <w:uiPriority w:val="99"/>
    <w:semiHidden/>
    <w:unhideWhenUsed/>
    <w:rsid w:val="0074707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47073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47073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47073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747073"/>
    <w:rPr>
      <w:rFonts w:cs="MiriamMFO"/>
      <w:w w:val="100"/>
      <w:sz w:val="21"/>
      <w:szCs w:val="23"/>
    </w:rPr>
  </w:style>
  <w:style w:type="character" w:customStyle="1" w:styleId="a4">
    <w:name w:val="מרים הערות שוליים"/>
    <w:basedOn w:val="a0"/>
    <w:rsid w:val="00747073"/>
    <w:rPr>
      <w:rFonts w:cs="MiriamMFO"/>
      <w:sz w:val="20"/>
      <w:szCs w:val="19"/>
      <w:lang w:eastAsia="en-US"/>
    </w:rPr>
  </w:style>
  <w:style w:type="paragraph" w:styleId="a5">
    <w:name w:val="endnote text"/>
    <w:aliases w:val="Endnote Text"/>
    <w:basedOn w:val="a"/>
    <w:link w:val="a6"/>
    <w:semiHidden/>
    <w:rsid w:val="00747073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747073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7">
    <w:name w:val="endnote reference"/>
    <w:aliases w:val="Endnote Reference"/>
    <w:basedOn w:val="a8"/>
    <w:semiHidden/>
    <w:rsid w:val="00747073"/>
    <w:rPr>
      <w:noProof/>
      <w:position w:val="-4"/>
      <w:szCs w:val="27"/>
      <w:vertAlign w:val="superscript"/>
    </w:rPr>
  </w:style>
  <w:style w:type="paragraph" w:customStyle="1" w:styleId="a9">
    <w:name w:val="פתיח תו"/>
    <w:basedOn w:val="a"/>
    <w:link w:val="aa"/>
    <w:rsid w:val="00747073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a">
    <w:name w:val="פתיח תו תו"/>
    <w:basedOn w:val="a0"/>
    <w:link w:val="a9"/>
    <w:rsid w:val="00747073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8">
    <w:name w:val="footnote reference"/>
    <w:basedOn w:val="a0"/>
    <w:uiPriority w:val="99"/>
    <w:semiHidden/>
    <w:unhideWhenUsed/>
    <w:rsid w:val="007470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2017-08-15T06:37:00Z</dcterms:created>
  <dcterms:modified xsi:type="dcterms:W3CDTF">2017-08-15T06:37:00Z</dcterms:modified>
</cp:coreProperties>
</file>