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A92" w:rsidRPr="00B46B4B" w:rsidRDefault="00B37A92" w:rsidP="00B37A92">
      <w:pPr>
        <w:pStyle w:val="2"/>
        <w:rPr>
          <w:rFonts w:hint="cs"/>
          <w:rtl/>
        </w:rPr>
      </w:pPr>
      <w:bookmarkStart w:id="0" w:name="_Toc188281724"/>
      <w:bookmarkStart w:id="1" w:name="_Ref188281962"/>
      <w:r w:rsidRPr="00B46B4B">
        <w:rPr>
          <w:rFonts w:hint="cs"/>
          <w:rtl/>
        </w:rPr>
        <w:t>תנועה של עליה</w:t>
      </w:r>
      <w:bookmarkEnd w:id="0"/>
      <w:bookmarkEnd w:id="1"/>
    </w:p>
    <w:p w:rsidR="00B37A92" w:rsidRPr="00330719" w:rsidRDefault="00B37A92" w:rsidP="00B37A92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330719">
        <w:rPr>
          <w:rStyle w:val="a9"/>
          <w:rFonts w:hint="cs"/>
          <w:rtl/>
        </w:rPr>
        <w:t>כ</w:t>
      </w:r>
    </w:p>
    <w:p w:rsidR="00B37A92" w:rsidRPr="00B46B4B" w:rsidRDefault="00B37A92" w:rsidP="00B37A92">
      <w:pPr>
        <w:rPr>
          <w:rFonts w:hint="cs"/>
          <w:rtl/>
        </w:rPr>
      </w:pPr>
      <w:r w:rsidRPr="00B46B4B">
        <w:rPr>
          <w:rFonts w:hint="cs"/>
          <w:rtl/>
        </w:rPr>
        <w:t>שמדרגים את הרמות בקשר הנישואין על הסולם של יחס-יחד-אחד</w:t>
      </w:r>
      <w:r w:rsidRPr="00C37DFC">
        <w:rPr>
          <w:rStyle w:val="a6"/>
          <w:rtl/>
        </w:rPr>
        <w:endnoteReference w:id="1"/>
      </w:r>
      <w:r w:rsidRPr="00B46B4B">
        <w:rPr>
          <w:rFonts w:hint="cs"/>
          <w:rtl/>
        </w:rPr>
        <w:t xml:space="preserve">, על פי הפסוקים "לא </w:t>
      </w:r>
      <w:r w:rsidRPr="00B04702">
        <w:rPr>
          <w:rStyle w:val="a3"/>
          <w:rFonts w:hint="cs"/>
          <w:rtl/>
        </w:rPr>
        <w:t>טוב</w:t>
      </w:r>
      <w:r w:rsidRPr="00B46B4B">
        <w:rPr>
          <w:rFonts w:hint="cs"/>
          <w:rtl/>
        </w:rPr>
        <w:t xml:space="preserve"> היות האדם לבדו [אעשה לו עזר כנגדו]"</w:t>
      </w:r>
      <w:r w:rsidRPr="00C37DFC">
        <w:rPr>
          <w:rStyle w:val="a6"/>
          <w:rtl/>
        </w:rPr>
        <w:endnoteReference w:id="2"/>
      </w:r>
      <w:r w:rsidRPr="00B46B4B">
        <w:rPr>
          <w:rFonts w:hint="cs"/>
          <w:rtl/>
        </w:rPr>
        <w:t xml:space="preserve"> (כשהיפוך ה"לא טוב" של ה"לבדו" הוא יחס טוב בין שנים) ו"</w:t>
      </w:r>
      <w:r w:rsidRPr="00B04702">
        <w:rPr>
          <w:rStyle w:val="a3"/>
          <w:rFonts w:hint="cs"/>
          <w:rtl/>
        </w:rPr>
        <w:t>דבק</w:t>
      </w:r>
      <w:r w:rsidRPr="00B46B4B">
        <w:rPr>
          <w:rFonts w:hint="cs"/>
          <w:rtl/>
        </w:rPr>
        <w:t xml:space="preserve"> באשתו, והיו לבשר </w:t>
      </w:r>
      <w:r w:rsidRPr="00B04702">
        <w:rPr>
          <w:rStyle w:val="a3"/>
          <w:rFonts w:hint="cs"/>
          <w:rtl/>
        </w:rPr>
        <w:t>אחד</w:t>
      </w:r>
      <w:r w:rsidRPr="00B46B4B">
        <w:rPr>
          <w:rFonts w:hint="cs"/>
          <w:rtl/>
        </w:rPr>
        <w:t>"</w:t>
      </w:r>
      <w:r w:rsidRPr="00C37DFC">
        <w:rPr>
          <w:rStyle w:val="a6"/>
          <w:rtl/>
        </w:rPr>
        <w:endnoteReference w:id="3"/>
      </w:r>
      <w:r w:rsidRPr="00244920">
        <w:rPr>
          <w:rFonts w:hint="cs"/>
          <w:rtl/>
        </w:rPr>
        <w:t>,</w:t>
      </w:r>
      <w:r w:rsidRPr="00B46B4B">
        <w:rPr>
          <w:rFonts w:hint="cs"/>
          <w:rtl/>
        </w:rPr>
        <w:t xml:space="preserve"> חשוב להדגיש כי בתוך כל הסולם הזה צריכה לפעם תנועה של עליה מתמדת, כשהשיא של כל מדרגה כבר מעביר למדרגה הבאה. </w:t>
      </w:r>
    </w:p>
    <w:p w:rsidR="00B37A92" w:rsidRDefault="00B37A92" w:rsidP="00B37A92">
      <w:pPr>
        <w:rPr>
          <w:rFonts w:hint="cs"/>
          <w:rtl/>
        </w:rPr>
      </w:pPr>
      <w:r w:rsidRPr="00B46B4B">
        <w:rPr>
          <w:rFonts w:hint="cs"/>
          <w:rtl/>
        </w:rPr>
        <w:t>כך, תכלית ה</w:t>
      </w:r>
      <w:r w:rsidRPr="00B04702">
        <w:rPr>
          <w:rStyle w:val="a3"/>
          <w:rFonts w:hint="cs"/>
          <w:rtl/>
        </w:rPr>
        <w:t>יחס</w:t>
      </w:r>
      <w:r w:rsidRPr="00B46B4B">
        <w:rPr>
          <w:rFonts w:hint="cs"/>
          <w:rtl/>
        </w:rPr>
        <w:t xml:space="preserve"> הטוב (שבעיקרו נועד רק למנוע את ה"לא טוב היות האדם לבדו") הוא להגיע ל</w:t>
      </w:r>
      <w:r w:rsidRPr="00B04702">
        <w:rPr>
          <w:rStyle w:val="a3"/>
          <w:rFonts w:hint="cs"/>
          <w:rtl/>
        </w:rPr>
        <w:t>דבקות</w:t>
      </w:r>
      <w:r w:rsidRPr="00B46B4B">
        <w:rPr>
          <w:rFonts w:hint="cs"/>
          <w:rtl/>
        </w:rPr>
        <w:t>, ל"א</w:t>
      </w:r>
      <w:r w:rsidRPr="009E0F14">
        <w:rPr>
          <w:rFonts w:hint="cs"/>
          <w:spacing w:val="-14"/>
          <w:rtl/>
        </w:rPr>
        <w:t>ֹ</w:t>
      </w:r>
      <w:r w:rsidRPr="009E0F14">
        <w:rPr>
          <w:rFonts w:hint="cs"/>
          <w:spacing w:val="-6"/>
          <w:rtl/>
        </w:rPr>
        <w:t>מ</w:t>
      </w:r>
      <w:r w:rsidRPr="00B46B4B">
        <w:rPr>
          <w:rFonts w:hint="cs"/>
          <w:rtl/>
        </w:rPr>
        <w:t>ר ל</w:t>
      </w:r>
      <w:r w:rsidRPr="00B04702">
        <w:rPr>
          <w:rStyle w:val="a3"/>
          <w:rFonts w:hint="cs"/>
          <w:rtl/>
        </w:rPr>
        <w:t>דבק</w:t>
      </w:r>
      <w:r w:rsidRPr="00B46B4B">
        <w:rPr>
          <w:rFonts w:hint="cs"/>
          <w:rtl/>
        </w:rPr>
        <w:t xml:space="preserve"> </w:t>
      </w:r>
      <w:r w:rsidRPr="00B04702">
        <w:rPr>
          <w:rStyle w:val="a3"/>
          <w:rFonts w:hint="cs"/>
          <w:rtl/>
        </w:rPr>
        <w:t>טוב</w:t>
      </w:r>
      <w:r w:rsidRPr="00B46B4B">
        <w:rPr>
          <w:rFonts w:hint="cs"/>
          <w:rtl/>
        </w:rPr>
        <w:t xml:space="preserve"> הוא"</w:t>
      </w:r>
      <w:r w:rsidRPr="00C37DFC">
        <w:rPr>
          <w:rStyle w:val="a6"/>
          <w:rtl/>
        </w:rPr>
        <w:endnoteReference w:id="4"/>
      </w:r>
      <w:r w:rsidRPr="00B46B4B">
        <w:rPr>
          <w:rFonts w:hint="cs"/>
          <w:rtl/>
        </w:rPr>
        <w:t>, והדבקות האמיתית באה לידי ביטוי ב"והיו לבשר אחד" (כפירושים השונים בכך</w:t>
      </w:r>
      <w:r w:rsidRPr="00C37DFC">
        <w:rPr>
          <w:rStyle w:val="a6"/>
          <w:rtl/>
        </w:rPr>
        <w:endnoteReference w:id="5"/>
      </w:r>
      <w:r w:rsidRPr="00B46B4B">
        <w:rPr>
          <w:rFonts w:hint="cs"/>
          <w:rtl/>
        </w:rPr>
        <w:t xml:space="preserve">). רמז לכך שמראשית היחס המטרה היא </w:t>
      </w:r>
      <w:r>
        <w:rPr>
          <w:rFonts w:hint="cs"/>
          <w:rtl/>
        </w:rPr>
        <w:t xml:space="preserve">דרגת </w:t>
      </w:r>
      <w:r w:rsidRPr="00B46B4B">
        <w:rPr>
          <w:rFonts w:hint="cs"/>
          <w:rtl/>
        </w:rPr>
        <w:t>ה"אחד" המוחלט יש בכך ש</w:t>
      </w:r>
      <w:r w:rsidRPr="00B46B4B">
        <w:rPr>
          <w:rFonts w:hint="cs"/>
          <w:b/>
          <w:bCs/>
          <w:sz w:val="28"/>
          <w:szCs w:val="28"/>
          <w:rtl/>
        </w:rPr>
        <w:t>יחס</w:t>
      </w:r>
      <w:r w:rsidRPr="00B46B4B">
        <w:rPr>
          <w:rFonts w:hint="cs"/>
          <w:rtl/>
        </w:rPr>
        <w:t xml:space="preserve"> עולה </w:t>
      </w:r>
      <w:r w:rsidRPr="00B46B4B">
        <w:rPr>
          <w:rFonts w:hint="cs"/>
          <w:b/>
          <w:bCs/>
          <w:sz w:val="28"/>
          <w:szCs w:val="28"/>
          <w:rtl/>
        </w:rPr>
        <w:t>ו</w:t>
      </w:r>
      <w:r w:rsidRPr="00B46B4B">
        <w:rPr>
          <w:rFonts w:hint="cs"/>
          <w:rtl/>
        </w:rPr>
        <w:t xml:space="preserve"> פעמים </w:t>
      </w:r>
      <w:r w:rsidRPr="00B46B4B">
        <w:rPr>
          <w:rFonts w:hint="cs"/>
          <w:b/>
          <w:bCs/>
          <w:sz w:val="28"/>
          <w:szCs w:val="28"/>
          <w:rtl/>
        </w:rPr>
        <w:t>אחד</w:t>
      </w:r>
      <w:r w:rsidRPr="00B46B4B">
        <w:rPr>
          <w:rFonts w:hint="cs"/>
          <w:rtl/>
        </w:rPr>
        <w:t xml:space="preserve"> (היינו שהוא כולל כבר את כל הצירופים האפשריים של אותיות </w:t>
      </w:r>
      <w:r w:rsidRPr="00B46B4B">
        <w:rPr>
          <w:rFonts w:hint="cs"/>
          <w:b/>
          <w:bCs/>
          <w:sz w:val="28"/>
          <w:szCs w:val="28"/>
          <w:rtl/>
        </w:rPr>
        <w:t>אחד</w:t>
      </w:r>
      <w:r w:rsidRPr="00B46B4B">
        <w:rPr>
          <w:rFonts w:hint="cs"/>
          <w:rtl/>
        </w:rPr>
        <w:t xml:space="preserve">, שהרי "שלש </w:t>
      </w:r>
      <w:r>
        <w:rPr>
          <w:rFonts w:hint="cs"/>
          <w:rtl/>
        </w:rPr>
        <w:t>אבנים [</w:t>
      </w:r>
      <w:r w:rsidRPr="00B46B4B">
        <w:rPr>
          <w:rFonts w:hint="cs"/>
          <w:rtl/>
        </w:rPr>
        <w:t>אותיות</w:t>
      </w:r>
      <w:r>
        <w:rPr>
          <w:rFonts w:hint="cs"/>
          <w:rtl/>
        </w:rPr>
        <w:t>]</w:t>
      </w:r>
      <w:r w:rsidRPr="00B46B4B">
        <w:rPr>
          <w:rFonts w:hint="cs"/>
          <w:rtl/>
        </w:rPr>
        <w:t xml:space="preserve"> בונות ששה בתים [צירופים]"</w:t>
      </w:r>
      <w:r w:rsidRPr="00C37DFC">
        <w:rPr>
          <w:rStyle w:val="a6"/>
          <w:rtl/>
        </w:rPr>
        <w:endnoteReference w:id="6"/>
      </w:r>
      <w:r w:rsidRPr="00B46B4B">
        <w:rPr>
          <w:rFonts w:hint="cs"/>
          <w:rtl/>
        </w:rPr>
        <w:t xml:space="preserve">). </w:t>
      </w:r>
    </w:p>
    <w:p w:rsidR="00B37A92" w:rsidRPr="00B46B4B" w:rsidRDefault="00B37A92" w:rsidP="00B37A92">
      <w:pPr>
        <w:rPr>
          <w:rFonts w:hint="cs"/>
          <w:rtl/>
        </w:rPr>
      </w:pPr>
      <w:r w:rsidRPr="00B46B4B">
        <w:rPr>
          <w:rFonts w:hint="cs"/>
          <w:rtl/>
        </w:rPr>
        <w:t xml:space="preserve">ורמז חשוב נוסף, המלמד על הצטרפות המדרגות ועל התוכן הפנימי של העליה: </w:t>
      </w:r>
      <w:r w:rsidRPr="00B46B4B">
        <w:rPr>
          <w:rFonts w:hint="cs"/>
          <w:b/>
          <w:bCs/>
          <w:sz w:val="28"/>
          <w:szCs w:val="28"/>
          <w:rtl/>
        </w:rPr>
        <w:t>יחס</w:t>
      </w:r>
      <w:r w:rsidRPr="00B46B4B">
        <w:rPr>
          <w:rFonts w:hint="cs"/>
          <w:rtl/>
        </w:rPr>
        <w:t xml:space="preserve"> עולה 78, שהוא ה'משולש' של 12</w:t>
      </w:r>
      <w:r>
        <w:rPr>
          <w:rFonts w:hint="cs"/>
          <w:rtl/>
        </w:rPr>
        <w:t xml:space="preserve"> (כלומר, סכום המספרים מ-1 עד 12); </w:t>
      </w:r>
      <w:r w:rsidRPr="00B46B4B">
        <w:rPr>
          <w:rFonts w:hint="cs"/>
          <w:b/>
          <w:bCs/>
          <w:sz w:val="28"/>
          <w:szCs w:val="28"/>
          <w:rtl/>
        </w:rPr>
        <w:t>יחס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יחד</w:t>
      </w:r>
      <w:r w:rsidRPr="00B46B4B">
        <w:rPr>
          <w:rFonts w:hint="cs"/>
          <w:rtl/>
        </w:rPr>
        <w:t xml:space="preserve"> עולה 100 </w:t>
      </w:r>
      <w:r w:rsidRPr="00B46B4B">
        <w:rPr>
          <w:rtl/>
        </w:rPr>
        <w:t>–</w:t>
      </w:r>
      <w:r>
        <w:rPr>
          <w:rFonts w:hint="cs"/>
          <w:rtl/>
        </w:rPr>
        <w:t xml:space="preserve"> עשר בריבוע; </w:t>
      </w:r>
      <w:r>
        <w:rPr>
          <w:rFonts w:hint="cs"/>
          <w:b/>
          <w:bCs/>
          <w:sz w:val="28"/>
          <w:szCs w:val="28"/>
          <w:rtl/>
        </w:rPr>
        <w:t>י</w:t>
      </w:r>
      <w:r w:rsidRPr="00B46B4B">
        <w:rPr>
          <w:rFonts w:hint="cs"/>
          <w:b/>
          <w:bCs/>
          <w:sz w:val="28"/>
          <w:szCs w:val="28"/>
          <w:rtl/>
        </w:rPr>
        <w:t>חס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יחד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אחד</w:t>
      </w:r>
      <w:r w:rsidRPr="00B46B4B">
        <w:rPr>
          <w:rFonts w:hint="cs"/>
          <w:rtl/>
        </w:rPr>
        <w:t xml:space="preserve"> עולה 113, שהוא 8 ב'השראה' (7 בריבוע ועוד 8 בריבוע; גם </w:t>
      </w:r>
      <w:r w:rsidRPr="00C63F48">
        <w:rPr>
          <w:rFonts w:hint="cs"/>
          <w:b/>
          <w:bCs/>
          <w:sz w:val="28"/>
          <w:szCs w:val="28"/>
          <w:rtl/>
        </w:rPr>
        <w:t>אחד</w:t>
      </w:r>
      <w:r w:rsidRPr="00B46B4B">
        <w:rPr>
          <w:rFonts w:hint="cs"/>
          <w:rtl/>
        </w:rPr>
        <w:t xml:space="preserve"> הוא מספר 'השראה'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2 בריבוע ועוד 3 בריבוע). מספרי הבסיס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12, 10, 8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יוצרים סדרה </w:t>
      </w:r>
      <w:r>
        <w:rPr>
          <w:rFonts w:hint="cs"/>
          <w:rtl/>
        </w:rPr>
        <w:t>אריתמטית</w:t>
      </w:r>
      <w:r w:rsidRPr="00B46B4B">
        <w:rPr>
          <w:rFonts w:hint="cs"/>
          <w:rtl/>
        </w:rPr>
        <w:t>, אך העיקר הוא שיש כאן, דווקא בהצטרפות המדרגות זו לזו, עליה של השתלשלות-התלבשות-השראה</w:t>
      </w:r>
      <w:r w:rsidRPr="00C37DFC">
        <w:rPr>
          <w:rStyle w:val="a6"/>
          <w:rtl/>
        </w:rPr>
        <w:endnoteReference w:id="7"/>
      </w:r>
      <w:r w:rsidRPr="00B46B4B">
        <w:rPr>
          <w:rFonts w:hint="cs"/>
          <w:rtl/>
        </w:rPr>
        <w:t xml:space="preserve"> (כמבואר במ"א שמספרים משולשים רומזים להשתלשלות, מספרים מרובעים להתלבשות, ומספרי השראה להשראה, כמובן), וד"ל.</w:t>
      </w:r>
    </w:p>
    <w:p w:rsidR="00B37A92" w:rsidRDefault="00B37A92" w:rsidP="00B37A92">
      <w:pPr>
        <w:rPr>
          <w:rFonts w:hint="cs"/>
          <w:rtl/>
        </w:rPr>
      </w:pPr>
      <w:r w:rsidRPr="00B46B4B">
        <w:rPr>
          <w:rFonts w:hint="cs"/>
          <w:rtl/>
        </w:rPr>
        <w:t>הדבר מודגש עוד יותר כשמתבוננים בכך שכבר בתוך המענה</w:t>
      </w:r>
      <w:r>
        <w:rPr>
          <w:rFonts w:hint="cs"/>
          <w:rtl/>
        </w:rPr>
        <w:t xml:space="preserve"> ל"לא טוב היות האדם לבדו" מונה התורה שלש דרגות של </w:t>
      </w:r>
      <w:r w:rsidRPr="00B46B4B">
        <w:rPr>
          <w:rFonts w:hint="cs"/>
          <w:rtl/>
        </w:rPr>
        <w:t xml:space="preserve">קשר בין האיש ואשתו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"[אעשה] </w:t>
      </w:r>
      <w:r w:rsidRPr="00B04702">
        <w:rPr>
          <w:rStyle w:val="a3"/>
          <w:rFonts w:hint="cs"/>
          <w:rtl/>
        </w:rPr>
        <w:t>לו</w:t>
      </w:r>
      <w:r w:rsidRPr="00B46B4B">
        <w:rPr>
          <w:rFonts w:hint="cs"/>
          <w:rtl/>
        </w:rPr>
        <w:t xml:space="preserve"> </w:t>
      </w:r>
      <w:r w:rsidRPr="00B04702">
        <w:rPr>
          <w:rStyle w:val="a3"/>
          <w:rFonts w:hint="cs"/>
          <w:rtl/>
        </w:rPr>
        <w:t>עזר</w:t>
      </w:r>
      <w:r w:rsidRPr="00B46B4B">
        <w:rPr>
          <w:rFonts w:hint="cs"/>
          <w:rtl/>
        </w:rPr>
        <w:t xml:space="preserve"> </w:t>
      </w:r>
      <w:r w:rsidRPr="00B04702">
        <w:rPr>
          <w:rStyle w:val="a3"/>
          <w:rFonts w:hint="cs"/>
          <w:rtl/>
        </w:rPr>
        <w:t>כנגדו</w:t>
      </w:r>
      <w:r w:rsidRPr="00B46B4B">
        <w:rPr>
          <w:rFonts w:hint="cs"/>
          <w:rtl/>
        </w:rPr>
        <w:t xml:space="preserve">". בפשטות, הביטוי כולו מדבר על מה שלעומת ה"לבדו", על יחסי עזרה וכבוד הדדיים בין שנים שעומדים זה כנגד זו, אך מדברי חז"ל עולה כי כל מלה כאן מרמזת לאשה ולרמת היחסים </w:t>
      </w:r>
      <w:r>
        <w:rPr>
          <w:rFonts w:hint="cs"/>
          <w:rtl/>
        </w:rPr>
        <w:t>אליה:</w:t>
      </w:r>
    </w:p>
    <w:p w:rsidR="00B37A92" w:rsidRPr="00B46B4B" w:rsidRDefault="00B37A92" w:rsidP="00B37A92">
      <w:pPr>
        <w:rPr>
          <w:rFonts w:hint="cs"/>
          <w:rtl/>
        </w:rPr>
      </w:pPr>
      <w:r w:rsidRPr="00B46B4B">
        <w:rPr>
          <w:rFonts w:hint="cs"/>
          <w:rtl/>
        </w:rPr>
        <w:t xml:space="preserve">"'עזר כנגדו'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זכה עוזרתו, לא זכה כנגדו להלחם בו"</w:t>
      </w:r>
      <w:bookmarkStart w:id="2" w:name="_Ref188090686"/>
      <w:r w:rsidRPr="00C37DFC">
        <w:rPr>
          <w:rStyle w:val="a6"/>
          <w:rtl/>
        </w:rPr>
        <w:endnoteReference w:id="8"/>
      </w:r>
      <w:bookmarkEnd w:id="2"/>
      <w:r w:rsidRPr="00B46B4B">
        <w:rPr>
          <w:rFonts w:hint="cs"/>
          <w:rtl/>
        </w:rPr>
        <w:t xml:space="preserve"> היינו תיאור של יחסי התנגדות ומלחמה בבית לעומת יחסי עזרה הדדית בין שנים, ו"'לו'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46B4B">
        <w:rPr>
          <w:rFonts w:hint="cs"/>
          <w:rtl/>
        </w:rPr>
        <w:t>זו אשה"</w:t>
      </w:r>
      <w:r w:rsidRPr="00C37DFC">
        <w:rPr>
          <w:rStyle w:val="a6"/>
          <w:rtl/>
        </w:rPr>
        <w:endnoteReference w:id="9"/>
      </w:r>
      <w:r w:rsidRPr="00B46B4B">
        <w:rPr>
          <w:rFonts w:hint="cs"/>
          <w:rtl/>
        </w:rPr>
        <w:t xml:space="preserve"> היינו תיאור של התמסרות מוחלטת בין בני הזוג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כשכל מציאות האשה היא רק "לו", רק התמסרות לאישהּ, וכך גם יחסו של האי</w:t>
      </w:r>
      <w:r>
        <w:rPr>
          <w:rFonts w:hint="cs"/>
          <w:rtl/>
        </w:rPr>
        <w:t>ש כלפי אשתו</w:t>
      </w:r>
      <w:r w:rsidRPr="00C37DFC">
        <w:rPr>
          <w:rStyle w:val="a6"/>
          <w:rtl/>
        </w:rPr>
        <w:endnoteReference w:id="10"/>
      </w:r>
      <w:r w:rsidRPr="00B46B4B">
        <w:rPr>
          <w:rFonts w:hint="cs"/>
          <w:rtl/>
        </w:rPr>
        <w:t xml:space="preserve">. הופעת שלש הדרגות הללו, המגיעות עד </w:t>
      </w:r>
      <w:r>
        <w:rPr>
          <w:rFonts w:hint="cs"/>
          <w:rtl/>
        </w:rPr>
        <w:t xml:space="preserve">להתמסרות המוחלטת, למציאות של "אחד" ממש, כבר </w:t>
      </w:r>
      <w:r w:rsidRPr="00B46B4B">
        <w:rPr>
          <w:rFonts w:hint="cs"/>
          <w:rtl/>
        </w:rPr>
        <w:t>בתוך דרגת היחס הראשונה היא נתינת הכח והדחיפה המחייבת לעליה מתמדת בקשר.</w:t>
      </w:r>
    </w:p>
    <w:p w:rsidR="00B37A92" w:rsidRDefault="00B37A92" w:rsidP="00B37A92">
      <w:pPr>
        <w:rPr>
          <w:rFonts w:hint="cs"/>
          <w:rtl/>
        </w:rPr>
      </w:pPr>
      <w:r w:rsidRPr="00B46B4B">
        <w:rPr>
          <w:rFonts w:hint="cs"/>
          <w:rtl/>
        </w:rPr>
        <w:t xml:space="preserve">הקבלת שתי המדרגות של "עזר [זכה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46B4B">
        <w:rPr>
          <w:rFonts w:hint="cs"/>
          <w:rtl/>
        </w:rPr>
        <w:t xml:space="preserve">עוזרתו] כנגדו [לא זכה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46B4B">
        <w:rPr>
          <w:rFonts w:hint="cs"/>
          <w:rtl/>
        </w:rPr>
        <w:t xml:space="preserve">כנגדו]" למדרגות של יחס-יחד ממחישה מה קורה כשאין עליה: בפשטות, "עזר" מתאים בעיקר למושג יחס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היחס הבסיסי בנישואין הוא עזרה הדדית נכונה ומכבדת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והוא יכול גם להגיע למדרגה של יחד, אם העזרה באה </w:t>
      </w:r>
      <w:r w:rsidRPr="00B46B4B">
        <w:rPr>
          <w:rFonts w:hint="cs"/>
          <w:rtl/>
        </w:rPr>
        <w:lastRenderedPageBreak/>
        <w:t xml:space="preserve">ממניע נפשי עמוק יותר והיא מתמקדת בביצוע משימה משותפת (של המצוות המשותפות לבני הזוג), ולא עזרה הדדית במימוש האינטרסים פרטיים של כל אחד מבני הזוג. אבל היכן משתלב כאן ה"כנגדו"? </w:t>
      </w:r>
    </w:p>
    <w:p w:rsidR="00B37A92" w:rsidRPr="00B46B4B" w:rsidRDefault="00B37A92" w:rsidP="00B37A92">
      <w:pPr>
        <w:rPr>
          <w:rFonts w:hint="cs"/>
          <w:rtl/>
        </w:rPr>
      </w:pPr>
      <w:r>
        <w:rPr>
          <w:rFonts w:hint="cs"/>
          <w:rtl/>
        </w:rPr>
        <w:t xml:space="preserve">מתברר שאם ה"עזר" </w:t>
      </w:r>
      <w:r w:rsidRPr="00B46B4B">
        <w:rPr>
          <w:rFonts w:hint="cs"/>
          <w:rtl/>
        </w:rPr>
        <w:t>נתקע במדרגה של יחס בלבד, בלי שאיפה לשיתוף פנימי עמוק יותר, הופכים הכבוד ההדדי והיחס המנומס לחומות מפרידות של ניכור, במקום למסגרת מתאימה לדבקות ורגשות משותפים, וסופם להתדרדר ל"כנגדו"</w:t>
      </w:r>
      <w:r w:rsidRPr="00C37DFC">
        <w:rPr>
          <w:rStyle w:val="a6"/>
          <w:rtl/>
        </w:rPr>
        <w:endnoteReference w:id="11"/>
      </w:r>
      <w:r w:rsidRPr="00B46B4B">
        <w:rPr>
          <w:rFonts w:hint="cs"/>
          <w:rtl/>
        </w:rPr>
        <w:t xml:space="preserve"> (ובלשון אחרת, חיובית יותר, ה"כנגדו" דוחק ב"עזר" להתקדם קדימה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האיום ש"שלום [בית] קר" יהפוך ל</w:t>
      </w:r>
      <w:r>
        <w:rPr>
          <w:rFonts w:hint="cs"/>
          <w:rtl/>
        </w:rPr>
        <w:t>"</w:t>
      </w:r>
      <w:r w:rsidRPr="00B46B4B">
        <w:rPr>
          <w:rFonts w:hint="cs"/>
          <w:rtl/>
        </w:rPr>
        <w:t xml:space="preserve">מלחמה </w:t>
      </w:r>
      <w:r>
        <w:rPr>
          <w:rFonts w:hint="cs"/>
          <w:rtl/>
        </w:rPr>
        <w:t xml:space="preserve">קרה" </w:t>
      </w:r>
      <w:r w:rsidRPr="00B46B4B">
        <w:rPr>
          <w:rFonts w:hint="cs"/>
          <w:rtl/>
        </w:rPr>
        <w:t>מדרבן לשכלל ולחמם את היחסים</w:t>
      </w:r>
      <w:r w:rsidRPr="00C37DFC">
        <w:rPr>
          <w:rStyle w:val="a6"/>
          <w:rtl/>
        </w:rPr>
        <w:endnoteReference w:id="12"/>
      </w:r>
      <w:r w:rsidRPr="00B46B4B">
        <w:rPr>
          <w:rFonts w:hint="cs"/>
          <w:rtl/>
        </w:rPr>
        <w:t>). תנועת העליה הדוחקת הזו מבטיחה, בסופו של דבר, שה"עזר" ימשיך גם הלאה, מעבר לחוית היחד, ויגיע להתמסרות המוחלטת "לו", למדרגה של "אחד" ממש.</w:t>
      </w:r>
    </w:p>
    <w:p w:rsidR="005F4A47" w:rsidRDefault="00B37A92" w:rsidP="00B37A92">
      <w:r w:rsidRPr="00B46B4B">
        <w:rPr>
          <w:rFonts w:hint="cs"/>
          <w:rtl/>
        </w:rPr>
        <w:t>[</w:t>
      </w:r>
      <w:r>
        <w:rPr>
          <w:rFonts w:hint="cs"/>
          <w:rtl/>
        </w:rPr>
        <w:t xml:space="preserve">בשולי הדברים </w:t>
      </w:r>
      <w:r w:rsidRPr="00B46B4B">
        <w:rPr>
          <w:rFonts w:hint="cs"/>
          <w:rtl/>
        </w:rPr>
        <w:t xml:space="preserve">יש להעיר כי </w:t>
      </w:r>
      <w:r>
        <w:rPr>
          <w:rFonts w:hint="cs"/>
          <w:rtl/>
        </w:rPr>
        <w:t>יש בגמרא</w:t>
      </w:r>
      <w:r w:rsidRPr="000C6E1A">
        <w:rPr>
          <w:rStyle w:val="a6"/>
          <w:rtl/>
        </w:rPr>
        <w:fldChar w:fldCharType="begin"/>
      </w:r>
      <w:r w:rsidRPr="000C6E1A">
        <w:rPr>
          <w:rStyle w:val="a6"/>
          <w:rtl/>
        </w:rPr>
        <w:instrText xml:space="preserve"> </w:instrText>
      </w:r>
      <w:r w:rsidRPr="000C6E1A">
        <w:rPr>
          <w:rStyle w:val="a6"/>
          <w:rFonts w:hint="cs"/>
        </w:rPr>
        <w:instrText>NOTEREF</w:instrText>
      </w:r>
      <w:r w:rsidRPr="000C6E1A">
        <w:rPr>
          <w:rStyle w:val="a6"/>
          <w:rFonts w:hint="cs"/>
          <w:rtl/>
        </w:rPr>
        <w:instrText xml:space="preserve"> _</w:instrText>
      </w:r>
      <w:r w:rsidRPr="000C6E1A">
        <w:rPr>
          <w:rStyle w:val="a6"/>
          <w:rFonts w:hint="cs"/>
        </w:rPr>
        <w:instrText>Ref188090686 \h</w:instrText>
      </w:r>
      <w:r w:rsidRPr="000C6E1A">
        <w:rPr>
          <w:rStyle w:val="a6"/>
          <w:rtl/>
        </w:rPr>
        <w:instrText xml:space="preserve"> </w:instrText>
      </w:r>
      <w:r w:rsidRPr="000C6E1A">
        <w:rPr>
          <w:rStyle w:val="a6"/>
        </w:rPr>
      </w:r>
      <w:r>
        <w:rPr>
          <w:rStyle w:val="a6"/>
          <w:rtl/>
        </w:rPr>
        <w:instrText xml:space="preserve"> \* </w:instrText>
      </w:r>
      <w:r>
        <w:rPr>
          <w:rStyle w:val="a6"/>
        </w:rPr>
        <w:instrText>MERGEFORMAT</w:instrText>
      </w:r>
      <w:r>
        <w:rPr>
          <w:rStyle w:val="a6"/>
          <w:rtl/>
        </w:rPr>
        <w:instrText xml:space="preserve"> </w:instrText>
      </w:r>
      <w:r w:rsidRPr="000C6E1A">
        <w:rPr>
          <w:rStyle w:val="a6"/>
          <w:rtl/>
        </w:rPr>
        <w:fldChar w:fldCharType="separate"/>
      </w:r>
      <w:r>
        <w:rPr>
          <w:rStyle w:val="a6"/>
          <w:rtl/>
        </w:rPr>
        <w:t>ח</w:t>
      </w:r>
      <w:r w:rsidRPr="000C6E1A">
        <w:rPr>
          <w:rStyle w:val="a6"/>
          <w:rtl/>
        </w:rPr>
        <w:fldChar w:fldCharType="end"/>
      </w:r>
      <w:r>
        <w:rPr>
          <w:rFonts w:hint="cs"/>
          <w:rtl/>
        </w:rPr>
        <w:t xml:space="preserve"> </w:t>
      </w:r>
      <w:r w:rsidRPr="00B46B4B">
        <w:rPr>
          <w:rFonts w:hint="cs"/>
          <w:rtl/>
        </w:rPr>
        <w:t xml:space="preserve">מימרא </w:t>
      </w:r>
      <w:r>
        <w:rPr>
          <w:rFonts w:hint="cs"/>
          <w:rtl/>
        </w:rPr>
        <w:t>נוספת:</w:t>
      </w:r>
      <w:r w:rsidRPr="00B46B4B">
        <w:rPr>
          <w:rFonts w:hint="cs"/>
          <w:rtl/>
        </w:rPr>
        <w:t xml:space="preserve"> "זכה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46B4B">
        <w:rPr>
          <w:rFonts w:hint="cs"/>
          <w:rtl/>
        </w:rPr>
        <w:t>'כנגדו'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לא זכה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46B4B">
        <w:rPr>
          <w:rFonts w:hint="cs"/>
          <w:rtl/>
        </w:rPr>
        <w:t xml:space="preserve">'מנגדתו'" (במובן של מלקה אותו, כמשמעות שרש </w:t>
      </w:r>
      <w:r w:rsidRPr="00B46B4B">
        <w:rPr>
          <w:rFonts w:hint="cs"/>
          <w:b/>
          <w:bCs/>
          <w:sz w:val="28"/>
          <w:szCs w:val="28"/>
          <w:rtl/>
        </w:rPr>
        <w:t>נגד</w:t>
      </w:r>
      <w:r>
        <w:rPr>
          <w:rFonts w:hint="cs"/>
          <w:rtl/>
        </w:rPr>
        <w:t xml:space="preserve"> בארמית). לפי מימרא זו</w:t>
      </w:r>
      <w:r w:rsidRPr="00B46B4B">
        <w:rPr>
          <w:rFonts w:hint="cs"/>
          <w:rtl/>
        </w:rPr>
        <w:t xml:space="preserve"> ניתן להקביל עוד יותר בפשטות: "זכה '</w:t>
      </w:r>
      <w:r w:rsidRPr="00B04702">
        <w:rPr>
          <w:rStyle w:val="a3"/>
          <w:rFonts w:hint="cs"/>
          <w:rtl/>
        </w:rPr>
        <w:t>כנגדו</w:t>
      </w:r>
      <w:r w:rsidRPr="00B46B4B">
        <w:rPr>
          <w:rFonts w:hint="cs"/>
          <w:rtl/>
        </w:rPr>
        <w:t xml:space="preserve">'" היינו </w:t>
      </w:r>
      <w:r w:rsidRPr="00B04702">
        <w:rPr>
          <w:rStyle w:val="a3"/>
          <w:rFonts w:hint="cs"/>
          <w:rtl/>
        </w:rPr>
        <w:t>יחס</w:t>
      </w:r>
      <w:r w:rsidRPr="00B46B4B">
        <w:rPr>
          <w:rFonts w:hint="cs"/>
          <w:rtl/>
        </w:rPr>
        <w:t xml:space="preserve"> טוב בין שנים העומדים זה כנגד זו, "</w:t>
      </w:r>
      <w:r w:rsidRPr="00B04702">
        <w:rPr>
          <w:rStyle w:val="a3"/>
          <w:rFonts w:hint="cs"/>
          <w:rtl/>
        </w:rPr>
        <w:t>עזר</w:t>
      </w:r>
      <w:r w:rsidRPr="00B46B4B">
        <w:rPr>
          <w:rFonts w:hint="cs"/>
          <w:rtl/>
        </w:rPr>
        <w:t>" הוא תחושת ה</w:t>
      </w:r>
      <w:r w:rsidRPr="00B04702">
        <w:rPr>
          <w:rStyle w:val="a3"/>
          <w:rFonts w:hint="cs"/>
          <w:rtl/>
        </w:rPr>
        <w:t>יחד</w:t>
      </w:r>
      <w:r w:rsidRPr="00B46B4B">
        <w:rPr>
          <w:rFonts w:hint="cs"/>
          <w:rtl/>
        </w:rPr>
        <w:t xml:space="preserve"> שיש בעשיה משותפת ו"</w:t>
      </w:r>
      <w:r w:rsidRPr="00B04702">
        <w:rPr>
          <w:rStyle w:val="a3"/>
          <w:rFonts w:hint="cs"/>
          <w:rtl/>
        </w:rPr>
        <w:t>לו</w:t>
      </w:r>
      <w:r w:rsidRPr="00B46B4B">
        <w:rPr>
          <w:rFonts w:hint="cs"/>
          <w:rtl/>
        </w:rPr>
        <w:t xml:space="preserve">" היינו מסירת הנפש של שנים שהם </w:t>
      </w:r>
      <w:r w:rsidRPr="00B04702">
        <w:rPr>
          <w:rStyle w:val="a3"/>
          <w:rFonts w:hint="cs"/>
          <w:rtl/>
        </w:rPr>
        <w:t>אחד</w:t>
      </w:r>
      <w:r w:rsidRPr="00B46B4B">
        <w:rPr>
          <w:rFonts w:hint="cs"/>
          <w:rtl/>
        </w:rPr>
        <w:t xml:space="preserve"> ממש. עם זאת, גם כאן, הדחיפה להתקדם בסולם המדרגות מתחילה מההקפדה על היחס הטוב והחשש מפני ניכור שיוביל לסכסוך של "לא זכה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46B4B">
        <w:rPr>
          <w:rFonts w:hint="cs"/>
          <w:rtl/>
        </w:rPr>
        <w:t>'מנגדתו'".]</w:t>
      </w:r>
      <w:bookmarkStart w:id="3" w:name="_GoBack"/>
      <w:bookmarkEnd w:id="3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825" w:rsidRDefault="00E91825" w:rsidP="00B37A92">
      <w:pPr>
        <w:spacing w:after="0" w:line="240" w:lineRule="auto"/>
      </w:pPr>
      <w:r>
        <w:separator/>
      </w:r>
    </w:p>
  </w:endnote>
  <w:endnote w:type="continuationSeparator" w:id="0">
    <w:p w:rsidR="00E91825" w:rsidRDefault="00E91825" w:rsidP="00B37A92">
      <w:pPr>
        <w:spacing w:after="0" w:line="240" w:lineRule="auto"/>
      </w:pPr>
      <w:r>
        <w:continuationSeparator/>
      </w:r>
    </w:p>
  </w:endnote>
  <w:endnote w:id="1">
    <w:p w:rsidR="00B37A92" w:rsidRDefault="00B37A92" w:rsidP="00B37A92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בכל זה בתורה הקודמת.</w:t>
      </w:r>
    </w:p>
  </w:endnote>
  <w:endnote w:id="2">
    <w:p w:rsidR="00B37A92" w:rsidRDefault="00B37A92" w:rsidP="00B37A92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ב, יח.</w:t>
      </w:r>
    </w:p>
  </w:endnote>
  <w:endnote w:id="3">
    <w:p w:rsidR="00B37A92" w:rsidRDefault="00B37A92" w:rsidP="00B37A92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שם פסוק כד.</w:t>
      </w:r>
    </w:p>
  </w:endnote>
  <w:endnote w:id="4">
    <w:p w:rsidR="00B37A92" w:rsidRDefault="00B37A92" w:rsidP="00B37A92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ישעיה מא, ז (ובפסוק זה נוהגים להשתמש כברכה לשידוך בשטר התנאים). ראה עוד יין משמח ח"ג שער ב בתורה "הולם פעם", שער ג בתורה "לארקא ולאמשכא ולאנהרא ושער ו בתורה "לעולם הוי' דברך נצב בשמים".</w:t>
      </w:r>
    </w:p>
  </w:endnote>
  <w:endnote w:id="5">
    <w:p w:rsidR="00B37A92" w:rsidRDefault="00B37A92" w:rsidP="00B37A92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לקמן בתורה "והיו לבשר אחד".</w:t>
      </w:r>
    </w:p>
  </w:endnote>
  <w:endnote w:id="6">
    <w:p w:rsidR="00B37A92" w:rsidRDefault="00B37A92" w:rsidP="00B37A92">
      <w:pPr>
        <w:pStyle w:val="a4"/>
        <w:rPr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ספר יצירה פ"ד מט"ז.</w:t>
      </w:r>
    </w:p>
  </w:endnote>
  <w:endnote w:id="7">
    <w:p w:rsidR="00B37A92" w:rsidRDefault="00B37A92" w:rsidP="00B37A92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מושגים המוזכרים בתניא ונתבארו במאמר השפלות והשמחה לרבי אייזיק מהומיל זצ"ל פרק עב (ובכ"ד בספרינו, ראה לדוגמה: מבוא לקבלת האריז"ל סימן א פ"ח, בעתה אחישנה פ"א, הטבע היהודי עמ' מה ואילך).</w:t>
      </w:r>
    </w:p>
  </w:endnote>
  <w:endnote w:id="8">
    <w:p w:rsidR="00B37A92" w:rsidRDefault="00B37A92" w:rsidP="00B37A92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יבמות סג, א.</w:t>
      </w:r>
    </w:p>
  </w:endnote>
  <w:endnote w:id="9">
    <w:p w:rsidR="00B37A92" w:rsidRDefault="00B37A92" w:rsidP="00B37A92">
      <w:pPr>
        <w:pStyle w:val="a4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כתובות סז, ב.</w:t>
      </w:r>
    </w:p>
  </w:endnote>
  <w:endnote w:id="10">
    <w:p w:rsidR="00B37A92" w:rsidRDefault="00B37A92" w:rsidP="00B37A92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באורך בכל זה בהערה א להקדמת הספר שכינה ביניהם.</w:t>
      </w:r>
    </w:p>
  </w:endnote>
  <w:endnote w:id="11">
    <w:p w:rsidR="00B37A92" w:rsidRDefault="00B37A92" w:rsidP="00B37A92">
      <w:pPr>
        <w:pStyle w:val="a4"/>
        <w:rPr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בספר אני לדודי ודודי לי מאמר "אבינו מלכנו דודנו" עמ' מו-מח, ובפרט בהערה יז.</w:t>
      </w:r>
    </w:p>
  </w:endnote>
  <w:endnote w:id="12">
    <w:p w:rsidR="00B37A92" w:rsidRDefault="00B37A92" w:rsidP="00B37A92">
      <w:pPr>
        <w:pStyle w:val="a4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עוד במעלת ה"כנגדו" בהקדמת הספר שכינה ביניהם הערה א.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Guttman-Soncino"/>
    <w:charset w:val="B1"/>
    <w:family w:val="auto"/>
    <w:pitch w:val="variable"/>
    <w:sig w:usb0="00001801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825" w:rsidRDefault="00E91825" w:rsidP="00B37A92">
      <w:pPr>
        <w:spacing w:after="0" w:line="240" w:lineRule="auto"/>
      </w:pPr>
      <w:r>
        <w:separator/>
      </w:r>
    </w:p>
  </w:footnote>
  <w:footnote w:type="continuationSeparator" w:id="0">
    <w:p w:rsidR="00E91825" w:rsidRDefault="00E91825" w:rsidP="00B37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CBF"/>
    <w:rsid w:val="00061E65"/>
    <w:rsid w:val="00AC2310"/>
    <w:rsid w:val="00B37A92"/>
    <w:rsid w:val="00C87CBF"/>
    <w:rsid w:val="00E9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B37A92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B37A92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B37A92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B37A92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B37A92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B37A92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B37A92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B37A92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B37A92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B37A9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B37A92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B37A92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B37A92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B37A92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B37A92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B37A92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B37A92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B37A92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B37A92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B37A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2017-08-15T06:38:00Z</dcterms:created>
  <dcterms:modified xsi:type="dcterms:W3CDTF">2017-08-15T06:38:00Z</dcterms:modified>
</cp:coreProperties>
</file>