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A5" w:rsidRPr="00B46B4B" w:rsidRDefault="007066A5" w:rsidP="007066A5">
      <w:pPr>
        <w:pStyle w:val="2"/>
        <w:rPr>
          <w:rFonts w:hint="cs"/>
          <w:rtl/>
        </w:rPr>
      </w:pPr>
      <w:bookmarkStart w:id="0" w:name="_Toc188281725"/>
      <w:bookmarkStart w:id="1" w:name="_Ref188281963"/>
      <w:r w:rsidRPr="00B46B4B">
        <w:rPr>
          <w:rFonts w:hint="cs"/>
          <w:rtl/>
        </w:rPr>
        <w:t>מעגלים של קשר</w:t>
      </w:r>
      <w:bookmarkEnd w:id="0"/>
      <w:bookmarkEnd w:id="1"/>
    </w:p>
    <w:p w:rsidR="007066A5" w:rsidRPr="00A93DFB" w:rsidRDefault="007066A5" w:rsidP="007066A5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A93DFB">
        <w:rPr>
          <w:rStyle w:val="a9"/>
          <w:rFonts w:hint="cs"/>
          <w:rtl/>
        </w:rPr>
        <w:t>א</w:t>
      </w:r>
    </w:p>
    <w:p w:rsidR="007066A5" w:rsidRPr="00B46B4B" w:rsidRDefault="007066A5" w:rsidP="007066A5">
      <w:pPr>
        <w:rPr>
          <w:rFonts w:hint="cs"/>
          <w:rtl/>
        </w:rPr>
      </w:pPr>
      <w:r w:rsidRPr="00B46B4B">
        <w:rPr>
          <w:rFonts w:hint="cs"/>
          <w:rtl/>
        </w:rPr>
        <w:t>ת הרמות השונות של קשר הנישואין, יחס-יחד-אחד</w:t>
      </w:r>
      <w:r w:rsidRPr="00C37DFC">
        <w:rPr>
          <w:rStyle w:val="a6"/>
          <w:rtl/>
        </w:rPr>
        <w:endnoteReference w:id="1"/>
      </w:r>
      <w:r w:rsidRPr="00B46B4B">
        <w:rPr>
          <w:rFonts w:hint="cs"/>
          <w:rtl/>
        </w:rPr>
        <w:t xml:space="preserve">, אפשר לזהות במעגלים שונים הסובבים את חיי הנישואין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החל מהתהליך שבין השידוך לחתונה, דרך שלבים שונים בחיי הנישואין, ועד לקומות הקיימות במקביל, לאורך ימים ושנים, בחיי הנישואין היום-יומיים:</w:t>
      </w:r>
    </w:p>
    <w:p w:rsidR="007066A5" w:rsidRPr="00B46B4B" w:rsidRDefault="007066A5" w:rsidP="007066A5">
      <w:pPr>
        <w:rPr>
          <w:rFonts w:hint="cs"/>
          <w:rtl/>
        </w:rPr>
      </w:pPr>
      <w:r w:rsidRPr="00B46B4B">
        <w:rPr>
          <w:rFonts w:hint="cs"/>
          <w:rtl/>
        </w:rPr>
        <w:t>הבירורים שקודמים לפגישה בין בחור ובחורה עוסקים, בדרך כלל, בעיקר בתחום ששייך ל</w:t>
      </w:r>
      <w:r w:rsidRPr="00B04702">
        <w:rPr>
          <w:rStyle w:val="a3"/>
          <w:rFonts w:hint="cs"/>
          <w:rtl/>
        </w:rPr>
        <w:t>יחס</w:t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במסגרת החיים החיצונית, שחלק בלתי מבוטל ממנה הוא </w:t>
      </w:r>
      <w:proofErr w:type="spellStart"/>
      <w:r w:rsidRPr="00B46B4B">
        <w:rPr>
          <w:rFonts w:hint="cs"/>
          <w:rtl/>
        </w:rPr>
        <w:t>ה</w:t>
      </w:r>
      <w:r w:rsidRPr="00B04702">
        <w:rPr>
          <w:rStyle w:val="a3"/>
          <w:rFonts w:hint="cs"/>
          <w:rtl/>
        </w:rPr>
        <w:t>יחוס</w:t>
      </w:r>
      <w:proofErr w:type="spellEnd"/>
      <w:r w:rsidRPr="00B46B4B">
        <w:rPr>
          <w:rFonts w:hint="cs"/>
          <w:rtl/>
        </w:rPr>
        <w:t xml:space="preserve"> המשפחתי</w:t>
      </w:r>
      <w:r>
        <w:rPr>
          <w:rFonts w:hint="cs"/>
          <w:rtl/>
        </w:rPr>
        <w:t xml:space="preserve"> והמעמד החברתי</w:t>
      </w:r>
      <w:r w:rsidRPr="00B46B4B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שעל פי רוב הם היוצרים </w:t>
      </w:r>
      <w:r w:rsidRPr="00B46B4B">
        <w:rPr>
          <w:rFonts w:hint="cs"/>
          <w:rtl/>
        </w:rPr>
        <w:t>תנאים מתאימים ליחסי כבוד הדדיים. כך</w:t>
      </w:r>
      <w:r>
        <w:rPr>
          <w:rFonts w:hint="cs"/>
          <w:rtl/>
        </w:rPr>
        <w:t xml:space="preserve"> רבי גרשון מקיטוב, לאחר שעלה לארץ, </w:t>
      </w:r>
      <w:r w:rsidRPr="00B46B4B">
        <w:rPr>
          <w:rFonts w:hint="cs"/>
          <w:rtl/>
        </w:rPr>
        <w:t>ב</w:t>
      </w:r>
      <w:r>
        <w:rPr>
          <w:rFonts w:hint="cs"/>
          <w:rtl/>
        </w:rPr>
        <w:t>י</w:t>
      </w:r>
      <w:r w:rsidRPr="00B46B4B">
        <w:rPr>
          <w:rFonts w:hint="cs"/>
          <w:rtl/>
        </w:rPr>
        <w:t xml:space="preserve">קש מגיסו הבעל שם טוב להציע לו שידוך מבנות אשכנז, תוך התנצלות שאינו רואה כיצד יוכל לבנות יחס תקין עם </w:t>
      </w:r>
      <w:proofErr w:type="spellStart"/>
      <w:r w:rsidRPr="00B46B4B">
        <w:rPr>
          <w:rFonts w:hint="cs"/>
          <w:rtl/>
        </w:rPr>
        <w:t>אשה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ספרדיה</w:t>
      </w:r>
      <w:proofErr w:type="spellEnd"/>
      <w:r w:rsidRPr="00B46B4B">
        <w:rPr>
          <w:rFonts w:hint="cs"/>
          <w:rtl/>
        </w:rPr>
        <w:t xml:space="preserve"> מיושבות ארץ ישראל</w:t>
      </w:r>
      <w:r>
        <w:rPr>
          <w:rFonts w:hint="cs"/>
          <w:rtl/>
        </w:rPr>
        <w:t xml:space="preserve"> (לפי ש"אין </w:t>
      </w:r>
      <w:proofErr w:type="spellStart"/>
      <w:r>
        <w:rPr>
          <w:rFonts w:hint="cs"/>
          <w:rtl/>
        </w:rPr>
        <w:t>הטבעים</w:t>
      </w:r>
      <w:proofErr w:type="spellEnd"/>
      <w:r>
        <w:rPr>
          <w:rFonts w:hint="cs"/>
          <w:rtl/>
        </w:rPr>
        <w:t xml:space="preserve"> שוות ואין הלשונות שוות")</w:t>
      </w:r>
      <w:r w:rsidRPr="00C37DFC">
        <w:rPr>
          <w:rStyle w:val="a6"/>
          <w:rtl/>
        </w:rPr>
        <w:endnoteReference w:id="2"/>
      </w:r>
      <w:r w:rsidRPr="00B46B4B">
        <w:rPr>
          <w:rFonts w:hint="cs"/>
          <w:rtl/>
        </w:rPr>
        <w:t>. גם בדורנו, בו השתנה הדבר לחלוטין, ואלפי שידוכים בין בני עדות שונות עולים בטוב ובנעימים</w:t>
      </w:r>
      <w:r w:rsidRPr="00C37DFC">
        <w:rPr>
          <w:rStyle w:val="a6"/>
          <w:rtl/>
        </w:rPr>
        <w:endnoteReference w:id="3"/>
      </w:r>
      <w:r w:rsidRPr="00B46B4B">
        <w:rPr>
          <w:rFonts w:hint="cs"/>
          <w:rtl/>
        </w:rPr>
        <w:t xml:space="preserve">, עדיין מייחסים משמעות רבה </w:t>
      </w:r>
      <w:proofErr w:type="spellStart"/>
      <w:r w:rsidRPr="00B46B4B">
        <w:rPr>
          <w:rFonts w:hint="cs"/>
          <w:rtl/>
        </w:rPr>
        <w:t>ליחוס</w:t>
      </w:r>
      <w:proofErr w:type="spellEnd"/>
      <w:r w:rsidRPr="00B46B4B">
        <w:rPr>
          <w:rFonts w:hint="cs"/>
          <w:rtl/>
        </w:rPr>
        <w:t xml:space="preserve"> המשפחתי הקרוב ולקרבה מנטאלית, המהווים תשתית טובה ליחסי כבוד ולשפה משותפת. בשלב השני מזמנים פגישה של הבחור והבחורה </w:t>
      </w:r>
      <w:r w:rsidRPr="00B04702">
        <w:rPr>
          <w:rStyle w:val="a3"/>
          <w:rFonts w:hint="cs"/>
          <w:rtl/>
        </w:rPr>
        <w:t>יחד</w:t>
      </w:r>
      <w:r w:rsidRPr="00B46B4B">
        <w:rPr>
          <w:rFonts w:hint="cs"/>
          <w:rtl/>
        </w:rPr>
        <w:t>, כשהתכלית היא בדיקת היעדים המשותפים והקשר הרגשי שיכול להתפתח</w:t>
      </w:r>
      <w:r w:rsidRPr="00C37DFC">
        <w:rPr>
          <w:rStyle w:val="a6"/>
          <w:rtl/>
        </w:rPr>
        <w:endnoteReference w:id="4"/>
      </w:r>
      <w:r w:rsidRPr="00B46B4B">
        <w:rPr>
          <w:rFonts w:hint="cs"/>
          <w:rtl/>
        </w:rPr>
        <w:t>. אם השידוך נגמר בכי טוב, הרי שבסולם הערכים הזה, בחתונה עצמה נעשים בני הזוג ל</w:t>
      </w:r>
      <w:r w:rsidRPr="00B04702">
        <w:rPr>
          <w:rStyle w:val="a3"/>
          <w:rFonts w:hint="cs"/>
          <w:rtl/>
        </w:rPr>
        <w:t>אחד</w:t>
      </w:r>
      <w:r w:rsidRPr="00B46B4B">
        <w:rPr>
          <w:rFonts w:hint="cs"/>
          <w:rtl/>
        </w:rPr>
        <w:t>.</w:t>
      </w:r>
    </w:p>
    <w:p w:rsidR="007066A5" w:rsidRPr="00B46B4B" w:rsidRDefault="007066A5" w:rsidP="007066A5">
      <w:pPr>
        <w:rPr>
          <w:rFonts w:hint="cs"/>
          <w:rtl/>
        </w:rPr>
      </w:pPr>
      <w:r w:rsidRPr="00B46B4B">
        <w:rPr>
          <w:rFonts w:hint="cs"/>
          <w:rtl/>
        </w:rPr>
        <w:t xml:space="preserve">אחרי החתונה נכנסים שוב לתהליך </w:t>
      </w:r>
      <w:r>
        <w:rPr>
          <w:rFonts w:hint="cs"/>
          <w:rtl/>
        </w:rPr>
        <w:t>דומה</w:t>
      </w:r>
      <w:r w:rsidRPr="00C37DFC">
        <w:rPr>
          <w:rStyle w:val="a6"/>
          <w:rtl/>
        </w:rPr>
        <w:endnoteReference w:id="5"/>
      </w:r>
      <w:r>
        <w:rPr>
          <w:rFonts w:hint="cs"/>
          <w:rtl/>
        </w:rPr>
        <w:t>:</w:t>
      </w:r>
      <w:r w:rsidRPr="00B46B4B">
        <w:rPr>
          <w:rFonts w:hint="cs"/>
          <w:rtl/>
        </w:rPr>
        <w:t xml:space="preserve"> ראשית יש להשקיע הרבה </w:t>
      </w:r>
      <w:proofErr w:type="spellStart"/>
      <w:r w:rsidRPr="00B46B4B">
        <w:rPr>
          <w:rFonts w:hint="cs"/>
          <w:rtl/>
        </w:rPr>
        <w:t>בבנין</w:t>
      </w:r>
      <w:proofErr w:type="spellEnd"/>
      <w:r w:rsidRPr="00B46B4B">
        <w:rPr>
          <w:rFonts w:hint="cs"/>
          <w:rtl/>
        </w:rPr>
        <w:t xml:space="preserve"> ה</w:t>
      </w:r>
      <w:r w:rsidRPr="00B04702">
        <w:rPr>
          <w:rStyle w:val="a3"/>
          <w:rFonts w:hint="cs"/>
          <w:rtl/>
        </w:rPr>
        <w:t>יחס</w:t>
      </w:r>
      <w:r w:rsidRPr="00B46B4B">
        <w:rPr>
          <w:rFonts w:hint="cs"/>
          <w:rtl/>
        </w:rPr>
        <w:t>, ולכך מוקדשת השנה הראשונה. זו המשמעות של מצות "נקי יהיה לביתו שנה אחת ושמח את אשתו אשר לקח"</w:t>
      </w:r>
      <w:r w:rsidRPr="00C37DFC">
        <w:rPr>
          <w:rStyle w:val="a6"/>
          <w:rtl/>
        </w:rPr>
        <w:endnoteReference w:id="6"/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בנין יחס תקין דורש התפנות נפשית מעיסוקים אחרים</w:t>
      </w:r>
      <w:r>
        <w:rPr>
          <w:rFonts w:hint="cs"/>
          <w:rtl/>
        </w:rPr>
        <w:t>, כולל עיסוקים של מצוה ושליחות,</w:t>
      </w:r>
      <w:r w:rsidRPr="00B46B4B">
        <w:rPr>
          <w:rFonts w:hint="cs"/>
          <w:rtl/>
        </w:rPr>
        <w:t xml:space="preserve"> והשקעת זמן ואמצעים לא מבוטלים בהענקת כבוד ויקר לבן הזוג. על גבי היחס התקין ניתן להתבגר ולהגיע </w:t>
      </w:r>
      <w:proofErr w:type="spellStart"/>
      <w:r w:rsidRPr="00B46B4B">
        <w:rPr>
          <w:rFonts w:hint="cs"/>
          <w:rtl/>
        </w:rPr>
        <w:t>לחוית</w:t>
      </w:r>
      <w:proofErr w:type="spellEnd"/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יחד</w:t>
      </w:r>
      <w:r w:rsidRPr="00B46B4B">
        <w:rPr>
          <w:rFonts w:hint="cs"/>
          <w:rtl/>
        </w:rPr>
        <w:t xml:space="preserve">, כאשר כעבור שנה (לערך) נרתמים לשליחות המשותפת, החל מטיפול בילד שנולד בינתיים, בע"ה, ועיצוב בית יהודי-חסידי עבורו. ההתמקדות בתוצאות העבודה המשותפת, עבודת </w:t>
      </w:r>
      <w:proofErr w:type="spellStart"/>
      <w:r w:rsidRPr="00B46B4B">
        <w:rPr>
          <w:rFonts w:hint="cs"/>
          <w:rtl/>
        </w:rPr>
        <w:t>היחד</w:t>
      </w:r>
      <w:proofErr w:type="spellEnd"/>
      <w:r w:rsidRPr="00B46B4B">
        <w:rPr>
          <w:rFonts w:hint="cs"/>
          <w:rtl/>
        </w:rPr>
        <w:t xml:space="preserve">, בתולדות (הגשמיים והרוחניים) בהם "נעשה בשרם [של האיש </w:t>
      </w:r>
      <w:proofErr w:type="spellStart"/>
      <w:r w:rsidRPr="00B46B4B">
        <w:rPr>
          <w:rFonts w:hint="cs"/>
          <w:rtl/>
        </w:rPr>
        <w:t>והאשה</w:t>
      </w:r>
      <w:proofErr w:type="spellEnd"/>
      <w:r w:rsidRPr="00B46B4B">
        <w:rPr>
          <w:rFonts w:hint="cs"/>
          <w:rtl/>
        </w:rPr>
        <w:t xml:space="preserve">] </w:t>
      </w:r>
      <w:r w:rsidRPr="00B04702">
        <w:rPr>
          <w:rStyle w:val="a3"/>
          <w:rFonts w:hint="cs"/>
          <w:rtl/>
        </w:rPr>
        <w:t>אחד</w:t>
      </w:r>
      <w:r w:rsidRPr="00B46B4B">
        <w:rPr>
          <w:rFonts w:hint="cs"/>
          <w:rtl/>
        </w:rPr>
        <w:t>"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מקפיצה אותם לאחדות והתמסרות מלא</w:t>
      </w:r>
      <w:r>
        <w:rPr>
          <w:rFonts w:hint="cs"/>
          <w:rtl/>
        </w:rPr>
        <w:t>ה, הופכת אותם לחטיבה אחת בעולם.</w:t>
      </w:r>
    </w:p>
    <w:p w:rsidR="007066A5" w:rsidRPr="00B46B4B" w:rsidRDefault="007066A5" w:rsidP="007066A5">
      <w:pPr>
        <w:rPr>
          <w:rFonts w:hint="cs"/>
          <w:rtl/>
        </w:rPr>
      </w:pPr>
      <w:r w:rsidRPr="00B46B4B">
        <w:rPr>
          <w:rFonts w:hint="cs"/>
          <w:rtl/>
        </w:rPr>
        <w:t xml:space="preserve">אחרי כל ההתקדמות הזאת, </w:t>
      </w:r>
      <w:r>
        <w:rPr>
          <w:rFonts w:hint="cs"/>
          <w:rtl/>
        </w:rPr>
        <w:t>חוזרות</w:t>
      </w:r>
      <w:r w:rsidRPr="00B46B4B">
        <w:rPr>
          <w:rFonts w:hint="cs"/>
          <w:rtl/>
        </w:rPr>
        <w:t xml:space="preserve"> הקומות של יחס-יחד-אחד </w:t>
      </w:r>
      <w:r>
        <w:rPr>
          <w:rFonts w:hint="cs"/>
          <w:rtl/>
        </w:rPr>
        <w:t>גם כחובות הקבועים</w:t>
      </w:r>
      <w:r w:rsidRPr="00B46B4B">
        <w:rPr>
          <w:rFonts w:hint="cs"/>
          <w:rtl/>
        </w:rPr>
        <w:t xml:space="preserve"> של איש </w:t>
      </w:r>
      <w:r>
        <w:rPr>
          <w:rFonts w:hint="cs"/>
          <w:rtl/>
        </w:rPr>
        <w:t>ל</w:t>
      </w:r>
      <w:r w:rsidRPr="00B46B4B">
        <w:rPr>
          <w:rFonts w:hint="cs"/>
          <w:rtl/>
        </w:rPr>
        <w:t xml:space="preserve">אשתו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"שארה כסותה וע</w:t>
      </w:r>
      <w:r w:rsidRPr="009E0F14">
        <w:rPr>
          <w:rFonts w:hint="cs"/>
          <w:spacing w:val="-14"/>
          <w:rtl/>
        </w:rPr>
        <w:t>ֹ</w:t>
      </w:r>
      <w:r w:rsidRPr="009E0F14">
        <w:rPr>
          <w:rFonts w:hint="cs"/>
          <w:spacing w:val="-6"/>
          <w:rtl/>
        </w:rPr>
        <w:t>נ</w:t>
      </w:r>
      <w:r w:rsidRPr="00B46B4B">
        <w:rPr>
          <w:rFonts w:hint="cs"/>
          <w:rtl/>
        </w:rPr>
        <w:t>תה לא יגרע"</w:t>
      </w:r>
      <w:r w:rsidRPr="00C37DFC">
        <w:rPr>
          <w:rStyle w:val="a6"/>
          <w:rtl/>
        </w:rPr>
        <w:endnoteReference w:id="7"/>
      </w:r>
      <w:r w:rsidRPr="00B46B4B">
        <w:rPr>
          <w:rFonts w:hint="cs"/>
          <w:rtl/>
        </w:rPr>
        <w:t>: חיוב הכסות הוא ביטוי ל</w:t>
      </w:r>
      <w:r w:rsidRPr="00B04702">
        <w:rPr>
          <w:rStyle w:val="a3"/>
          <w:rFonts w:hint="cs"/>
          <w:rtl/>
        </w:rPr>
        <w:t>יחס</w:t>
      </w:r>
      <w:r w:rsidRPr="00B46B4B">
        <w:rPr>
          <w:rFonts w:hint="cs"/>
          <w:rtl/>
        </w:rPr>
        <w:t xml:space="preserve"> נכון, שהרי לבושו של האדם הוא כבודו</w:t>
      </w:r>
      <w:r w:rsidRPr="00C37DFC">
        <w:rPr>
          <w:rStyle w:val="a6"/>
          <w:rtl/>
        </w:rPr>
        <w:endnoteReference w:id="8"/>
      </w:r>
      <w:r w:rsidRPr="00B46B4B">
        <w:rPr>
          <w:rFonts w:hint="cs"/>
          <w:rtl/>
        </w:rPr>
        <w:t>, וביטוי כבוד עיקרי של איש כלפי אשתו הוא הכסות הנאה והתכשיטים שהוא קונה לה</w:t>
      </w:r>
      <w:r>
        <w:rPr>
          <w:rFonts w:hint="cs"/>
          <w:rtl/>
        </w:rPr>
        <w:t xml:space="preserve">. </w:t>
      </w:r>
      <w:proofErr w:type="spellStart"/>
      <w:r w:rsidRPr="00B46B4B">
        <w:rPr>
          <w:rFonts w:hint="cs"/>
          <w:rtl/>
        </w:rPr>
        <w:t>מכיון</w:t>
      </w:r>
      <w:proofErr w:type="spellEnd"/>
      <w:r w:rsidRPr="00B46B4B">
        <w:rPr>
          <w:rFonts w:hint="cs"/>
          <w:rtl/>
        </w:rPr>
        <w:t xml:space="preserve"> ש"אשה בעלה משמחה"</w:t>
      </w:r>
      <w:r w:rsidRPr="00C37DFC">
        <w:rPr>
          <w:rStyle w:val="a6"/>
          <w:rtl/>
        </w:rPr>
        <w:endnoteReference w:id="9"/>
      </w:r>
      <w:r w:rsidRPr="00B46B4B">
        <w:rPr>
          <w:rFonts w:hint="cs"/>
          <w:rtl/>
        </w:rPr>
        <w:t xml:space="preserve"> בבגדים ובתכשיטים</w:t>
      </w:r>
      <w:r w:rsidRPr="00C37DFC">
        <w:rPr>
          <w:rStyle w:val="a6"/>
          <w:rtl/>
        </w:rPr>
        <w:endnoteReference w:id="10"/>
      </w:r>
      <w:r w:rsidRPr="00B46B4B">
        <w:rPr>
          <w:rFonts w:hint="cs"/>
          <w:rtl/>
        </w:rPr>
        <w:t>, זהו המשך ישיר למצות "ושמח את אשתו"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שענינה</w:t>
      </w:r>
      <w:proofErr w:type="spellEnd"/>
      <w:r>
        <w:rPr>
          <w:rFonts w:hint="cs"/>
          <w:rtl/>
        </w:rPr>
        <w:t xml:space="preserve"> בנין יחס נכון, כפי שהוזכר</w:t>
      </w:r>
      <w:r w:rsidRPr="00B46B4B">
        <w:rPr>
          <w:rFonts w:hint="cs"/>
          <w:rtl/>
        </w:rPr>
        <w:t xml:space="preserve">. חיוב המזונות (שאר) מבטא את </w:t>
      </w:r>
      <w:proofErr w:type="spellStart"/>
      <w:r w:rsidRPr="00B46B4B">
        <w:rPr>
          <w:rFonts w:hint="cs"/>
          <w:rtl/>
        </w:rPr>
        <w:t>חוית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ה</w:t>
      </w:r>
      <w:r w:rsidRPr="00B04702">
        <w:rPr>
          <w:rStyle w:val="a3"/>
          <w:rFonts w:hint="cs"/>
          <w:rtl/>
        </w:rPr>
        <w:t>יחד</w:t>
      </w:r>
      <w:proofErr w:type="spellEnd"/>
      <w:r w:rsidRPr="00B46B4B">
        <w:rPr>
          <w:rFonts w:hint="cs"/>
          <w:rtl/>
        </w:rPr>
        <w:t>, כאשר בני הזוג אוכלים את ארוחתם ביחד (מה טוב בכל יום, ולכל הפחות ביום השבת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 xml:space="preserve">), תוך כדי החלפת </w:t>
      </w:r>
      <w:proofErr w:type="spellStart"/>
      <w:r w:rsidRPr="00B46B4B">
        <w:rPr>
          <w:rFonts w:hint="cs"/>
          <w:rtl/>
        </w:rPr>
        <w:t>חויות</w:t>
      </w:r>
      <w:proofErr w:type="spellEnd"/>
      <w:r w:rsidRPr="00B46B4B">
        <w:rPr>
          <w:rFonts w:hint="cs"/>
          <w:rtl/>
        </w:rPr>
        <w:t xml:space="preserve"> ותכניות משותפות ("שמתוך סעודה </w:t>
      </w:r>
      <w:proofErr w:type="spellStart"/>
      <w:r w:rsidRPr="00B46B4B">
        <w:rPr>
          <w:rFonts w:hint="cs"/>
          <w:rtl/>
        </w:rPr>
        <w:t>מתפייסין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ומרגילין</w:t>
      </w:r>
      <w:proofErr w:type="spellEnd"/>
      <w:r w:rsidRPr="00B46B4B">
        <w:rPr>
          <w:rFonts w:hint="cs"/>
          <w:rtl/>
        </w:rPr>
        <w:t xml:space="preserve"> זה עם זה"</w:t>
      </w:r>
      <w:r w:rsidRPr="00C37DFC">
        <w:rPr>
          <w:rStyle w:val="a6"/>
          <w:rtl/>
        </w:rPr>
        <w:endnoteReference w:id="12"/>
      </w:r>
      <w:r w:rsidRPr="00B46B4B">
        <w:rPr>
          <w:rFonts w:hint="cs"/>
          <w:rtl/>
        </w:rPr>
        <w:t xml:space="preserve">). עצם </w:t>
      </w:r>
      <w:proofErr w:type="spellStart"/>
      <w:r w:rsidRPr="00B46B4B">
        <w:rPr>
          <w:rFonts w:hint="cs"/>
          <w:rtl/>
        </w:rPr>
        <w:t>חוית</w:t>
      </w:r>
      <w:proofErr w:type="spellEnd"/>
      <w:r w:rsidRPr="00B46B4B">
        <w:rPr>
          <w:rFonts w:hint="cs"/>
          <w:rtl/>
        </w:rPr>
        <w:t xml:space="preserve"> ה</w:t>
      </w:r>
      <w:r w:rsidRPr="00B04702">
        <w:rPr>
          <w:rStyle w:val="a3"/>
          <w:rFonts w:hint="cs"/>
          <w:rtl/>
        </w:rPr>
        <w:t>אחדות</w:t>
      </w:r>
      <w:r w:rsidRPr="00B46B4B">
        <w:rPr>
          <w:rFonts w:hint="cs"/>
          <w:rtl/>
        </w:rPr>
        <w:t xml:space="preserve"> באה לידי ביטוי במצות עונה, בקיום של "והיו לבשר אחד"</w:t>
      </w:r>
      <w:r w:rsidRPr="00C37DFC">
        <w:rPr>
          <w:rStyle w:val="a6"/>
          <w:rtl/>
        </w:rPr>
        <w:endnoteReference w:id="13"/>
      </w:r>
      <w:r>
        <w:rPr>
          <w:rFonts w:hint="cs"/>
          <w:rtl/>
        </w:rPr>
        <w:t xml:space="preserve"> בפועל ממש.</w:t>
      </w:r>
    </w:p>
    <w:p w:rsidR="007066A5" w:rsidRPr="00B46B4B" w:rsidRDefault="007066A5" w:rsidP="007066A5">
      <w:pPr>
        <w:rPr>
          <w:rFonts w:hint="cs"/>
          <w:rtl/>
        </w:rPr>
      </w:pPr>
      <w:r w:rsidRPr="00B46B4B">
        <w:rPr>
          <w:rFonts w:hint="cs"/>
          <w:rtl/>
        </w:rPr>
        <w:lastRenderedPageBreak/>
        <w:t>[</w:t>
      </w:r>
      <w:proofErr w:type="spellStart"/>
      <w:r w:rsidRPr="00B46B4B">
        <w:rPr>
          <w:rFonts w:hint="cs"/>
          <w:rtl/>
        </w:rPr>
        <w:t>מכיון</w:t>
      </w:r>
      <w:proofErr w:type="spellEnd"/>
      <w:r w:rsidRPr="00B46B4B">
        <w:rPr>
          <w:rFonts w:hint="cs"/>
          <w:rtl/>
        </w:rPr>
        <w:t xml:space="preserve"> שהאחדות היא תכלית הקשר, כפי שהעונה היא התכלית של "שארה כסותה וע</w:t>
      </w:r>
      <w:r w:rsidRPr="009E0F14">
        <w:rPr>
          <w:rFonts w:hint="cs"/>
          <w:spacing w:val="-14"/>
          <w:rtl/>
        </w:rPr>
        <w:t>ֹ</w:t>
      </w:r>
      <w:r w:rsidRPr="009E0F14">
        <w:rPr>
          <w:rFonts w:hint="cs"/>
          <w:rtl/>
        </w:rPr>
        <w:t>נ</w:t>
      </w:r>
      <w:r w:rsidRPr="00B46B4B">
        <w:rPr>
          <w:rFonts w:hint="cs"/>
          <w:rtl/>
        </w:rPr>
        <w:t>תה"</w:t>
      </w:r>
      <w:r w:rsidRPr="00C37DFC">
        <w:rPr>
          <w:rStyle w:val="a6"/>
          <w:rtl/>
        </w:rPr>
        <w:endnoteReference w:id="14"/>
      </w:r>
      <w:r w:rsidRPr="00B46B4B">
        <w:rPr>
          <w:rFonts w:hint="cs"/>
          <w:rtl/>
        </w:rPr>
        <w:t>, יש לדרוש כי ה</w:t>
      </w:r>
      <w:r w:rsidRPr="00B04702">
        <w:rPr>
          <w:rStyle w:val="a3"/>
          <w:rFonts w:hint="cs"/>
          <w:rtl/>
        </w:rPr>
        <w:t>כסות</w:t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היחס הטוב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מכסה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במדת</w:t>
      </w:r>
      <w:proofErr w:type="spellEnd"/>
      <w:r w:rsidRPr="00B46B4B">
        <w:rPr>
          <w:rFonts w:hint="cs"/>
          <w:rtl/>
        </w:rPr>
        <w:t xml:space="preserve"> מה על תכלית הכוונה, והיא עלולה להתדרדר</w:t>
      </w:r>
      <w:r w:rsidRPr="00C37DFC">
        <w:rPr>
          <w:rStyle w:val="a6"/>
          <w:rtl/>
        </w:rPr>
        <w:endnoteReference w:id="15"/>
      </w:r>
      <w:r w:rsidRPr="00B46B4B">
        <w:rPr>
          <w:rFonts w:hint="cs"/>
          <w:rtl/>
        </w:rPr>
        <w:t xml:space="preserve"> למצב של "</w:t>
      </w:r>
      <w:proofErr w:type="spellStart"/>
      <w:r w:rsidRPr="00B46B4B">
        <w:rPr>
          <w:rFonts w:hint="cs"/>
          <w:rtl/>
        </w:rPr>
        <w:t>העטֻפים</w:t>
      </w:r>
      <w:proofErr w:type="spellEnd"/>
      <w:r w:rsidRPr="00B46B4B">
        <w:rPr>
          <w:rFonts w:hint="cs"/>
          <w:rtl/>
        </w:rPr>
        <w:t xml:space="preserve"> ללבן"</w:t>
      </w:r>
      <w:r w:rsidRPr="00C37DFC">
        <w:rPr>
          <w:rStyle w:val="a6"/>
          <w:rtl/>
        </w:rPr>
        <w:endnoteReference w:id="16"/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התעטפות כל אחד לכשעצמו</w:t>
      </w:r>
      <w:r w:rsidRPr="00C37DFC">
        <w:rPr>
          <w:rStyle w:val="a6"/>
          <w:rtl/>
        </w:rPr>
        <w:endnoteReference w:id="17"/>
      </w:r>
      <w:r w:rsidRPr="00B46B4B">
        <w:rPr>
          <w:rFonts w:hint="cs"/>
          <w:rtl/>
        </w:rPr>
        <w:t xml:space="preserve"> בכסות לבנה ונקיה וחשש 'להתלכלך' בקשר עמוק וחי יותר, כדוגמת דברי הרעיה המתעצלת לקום לפתוח לדודה "רחצתי את רגלי איככה אטנפם"</w:t>
      </w:r>
      <w:r w:rsidRPr="00C37DFC">
        <w:rPr>
          <w:rStyle w:val="a6"/>
          <w:rtl/>
        </w:rPr>
        <w:endnoteReference w:id="18"/>
      </w:r>
      <w:r w:rsidRPr="00B46B4B">
        <w:rPr>
          <w:rFonts w:hint="cs"/>
          <w:rtl/>
        </w:rPr>
        <w:t xml:space="preserve"> (עד לרתיעה מהזולת בדרישה '</w:t>
      </w:r>
      <w:r w:rsidRPr="00B46B4B">
        <w:rPr>
          <w:rFonts w:hint="cs"/>
          <w:b/>
          <w:bCs/>
          <w:sz w:val="28"/>
          <w:szCs w:val="28"/>
          <w:rtl/>
        </w:rPr>
        <w:t>אל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תלכלך</w:t>
      </w:r>
      <w:r w:rsidRPr="00B46B4B">
        <w:rPr>
          <w:rFonts w:hint="cs"/>
          <w:rtl/>
        </w:rPr>
        <w:t xml:space="preserve"> אותי!', ה"לעומת זה" של קשר </w:t>
      </w:r>
      <w:proofErr w:type="spellStart"/>
      <w:r w:rsidRPr="00B46B4B">
        <w:rPr>
          <w:rFonts w:hint="cs"/>
          <w:rtl/>
        </w:rPr>
        <w:t>ה"</w:t>
      </w:r>
      <w:r w:rsidRPr="00B46B4B">
        <w:rPr>
          <w:rFonts w:hint="cs"/>
          <w:b/>
          <w:bCs/>
          <w:sz w:val="28"/>
          <w:szCs w:val="28"/>
          <w:rtl/>
        </w:rPr>
        <w:t>וע</w:t>
      </w:r>
      <w:r w:rsidRPr="009E0F14">
        <w:rPr>
          <w:rFonts w:hint="cs"/>
          <w:spacing w:val="-10"/>
          <w:rtl/>
        </w:rPr>
        <w:t>ֹ</w:t>
      </w:r>
      <w:r w:rsidRPr="009E0F14">
        <w:rPr>
          <w:rFonts w:hint="cs"/>
          <w:b/>
          <w:bCs/>
          <w:spacing w:val="-4"/>
          <w:sz w:val="28"/>
          <w:szCs w:val="28"/>
          <w:rtl/>
        </w:rPr>
        <w:t>נ</w:t>
      </w:r>
      <w:r w:rsidRPr="00B46B4B">
        <w:rPr>
          <w:rFonts w:hint="cs"/>
          <w:b/>
          <w:bCs/>
          <w:sz w:val="28"/>
          <w:szCs w:val="28"/>
          <w:rtl/>
        </w:rPr>
        <w:t>תה</w:t>
      </w:r>
      <w:proofErr w:type="spellEnd"/>
      <w:r w:rsidRPr="00B46B4B">
        <w:rPr>
          <w:rFonts w:hint="cs"/>
          <w:rtl/>
        </w:rPr>
        <w:t>"). גם ה</w:t>
      </w:r>
      <w:r w:rsidRPr="00B04702">
        <w:rPr>
          <w:rStyle w:val="a3"/>
          <w:rFonts w:hint="cs"/>
          <w:rtl/>
        </w:rPr>
        <w:t>שאר</w:t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חוית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היחד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משאיר</w:t>
      </w:r>
      <w:r w:rsidRPr="00B46B4B">
        <w:rPr>
          <w:rFonts w:hint="cs"/>
          <w:rtl/>
        </w:rPr>
        <w:t xml:space="preserve"> את הצורך למימוש התכלית בפועל חסר במודע. רק מצות </w:t>
      </w:r>
      <w:r w:rsidRPr="00B04702">
        <w:rPr>
          <w:rStyle w:val="a3"/>
          <w:rFonts w:hint="cs"/>
          <w:rtl/>
        </w:rPr>
        <w:t>עונה</w:t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הגעה למצב של אחד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נותנת </w:t>
      </w:r>
      <w:r w:rsidRPr="00B04702">
        <w:rPr>
          <w:rStyle w:val="a3"/>
          <w:rFonts w:hint="cs"/>
          <w:rtl/>
        </w:rPr>
        <w:t>מענה</w:t>
      </w:r>
      <w:r w:rsidRPr="00B46B4B">
        <w:rPr>
          <w:rFonts w:hint="cs"/>
          <w:rtl/>
        </w:rPr>
        <w:t xml:space="preserve"> טוב ושלם למבוקש הפנימי והעצמי של הנישואין.]</w:t>
      </w:r>
    </w:p>
    <w:p w:rsidR="005F4A47" w:rsidRDefault="00AD0C40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C40" w:rsidRDefault="00AD0C40" w:rsidP="007066A5">
      <w:pPr>
        <w:spacing w:after="0" w:line="240" w:lineRule="auto"/>
      </w:pPr>
      <w:r>
        <w:separator/>
      </w:r>
    </w:p>
  </w:endnote>
  <w:endnote w:type="continuationSeparator" w:id="0">
    <w:p w:rsidR="00AD0C40" w:rsidRDefault="00AD0C40" w:rsidP="007066A5">
      <w:pPr>
        <w:spacing w:after="0" w:line="240" w:lineRule="auto"/>
      </w:pPr>
      <w:r>
        <w:continuationSeparator/>
      </w:r>
    </w:p>
  </w:endnote>
  <w:endnote w:id="1">
    <w:p w:rsidR="007066A5" w:rsidRDefault="007066A5" w:rsidP="007066A5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שנתבארו בתורות הקודמות.</w:t>
      </w:r>
    </w:p>
  </w:endnote>
  <w:endnote w:id="2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אגרתו שנדפסה בספר ברכת הארץ סימן של"ב.</w:t>
      </w:r>
    </w:p>
  </w:endnote>
  <w:endnote w:id="3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בספר מחול הכרמים פ"ב הערה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4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כהדרכת הרבי </w:t>
      </w:r>
      <w:proofErr w:type="spellStart"/>
      <w:r>
        <w:rPr>
          <w:rFonts w:hint="cs"/>
          <w:rtl/>
        </w:rPr>
        <w:t>מליובאוויטש</w:t>
      </w:r>
      <w:proofErr w:type="spellEnd"/>
      <w:r>
        <w:rPr>
          <w:rFonts w:hint="cs"/>
          <w:rtl/>
        </w:rPr>
        <w:t xml:space="preserve"> באגרות קדש רבות (ראה גם מחול הכרמים פ"ו הערה ו).</w:t>
      </w:r>
    </w:p>
  </w:endnote>
  <w:endnote w:id="5">
    <w:p w:rsidR="007066A5" w:rsidRDefault="007066A5" w:rsidP="007066A5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לקמן בתורה "התבגרות ונישואין".</w:t>
      </w:r>
    </w:p>
  </w:endnote>
  <w:endnote w:id="6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כד, ה.</w:t>
      </w:r>
    </w:p>
  </w:endnote>
  <w:endnote w:id="7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 xml:space="preserve">, י (וראה עוד יין משמח ח"א שער ה </w:t>
      </w:r>
      <w:proofErr w:type="spellStart"/>
      <w:r>
        <w:rPr>
          <w:rFonts w:hint="cs"/>
          <w:rtl/>
        </w:rPr>
        <w:t>וח"ב</w:t>
      </w:r>
      <w:proofErr w:type="spellEnd"/>
      <w:r>
        <w:rPr>
          <w:rFonts w:hint="cs"/>
          <w:rtl/>
        </w:rPr>
        <w:t xml:space="preserve"> שער ד).</w:t>
      </w:r>
    </w:p>
  </w:endnote>
  <w:endnote w:id="8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שבת </w:t>
      </w:r>
      <w:proofErr w:type="spellStart"/>
      <w:r>
        <w:rPr>
          <w:rFonts w:hint="cs"/>
          <w:rtl/>
        </w:rPr>
        <w:t>קיג</w:t>
      </w:r>
      <w:proofErr w:type="spellEnd"/>
      <w:r>
        <w:rPr>
          <w:rFonts w:hint="cs"/>
          <w:rtl/>
        </w:rPr>
        <w:t>, א.</w:t>
      </w:r>
    </w:p>
  </w:endnote>
  <w:endnote w:id="9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קידושין לד, ב.</w:t>
      </w:r>
    </w:p>
  </w:endnote>
  <w:endnote w:id="10">
    <w:p w:rsidR="007066A5" w:rsidRDefault="007066A5" w:rsidP="007066A5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פסחים קט, א.</w:t>
      </w:r>
    </w:p>
  </w:endnote>
  <w:endnote w:id="11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אבהע"ז</w:t>
      </w:r>
      <w:proofErr w:type="spellEnd"/>
      <w:r>
        <w:rPr>
          <w:rFonts w:hint="cs"/>
          <w:rtl/>
        </w:rPr>
        <w:t xml:space="preserve"> סימן ע סעיף ב (ובדעת החולקים שהביא שם).</w:t>
      </w:r>
    </w:p>
  </w:endnote>
  <w:endnote w:id="12">
    <w:p w:rsidR="007066A5" w:rsidRDefault="007066A5" w:rsidP="007066A5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חידושי הרמב"ן לכתובות סה, ב.</w:t>
      </w:r>
    </w:p>
  </w:endnote>
  <w:endnote w:id="13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ב, כד (וראה עוד לקמן בתורה "והיו לבשר אחד").</w:t>
      </w:r>
    </w:p>
  </w:endnote>
  <w:endnote w:id="14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ודוק בדברי הרמב"ן על הפסוק (בהם הורחב ביין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ד, כנ"ל).</w:t>
      </w:r>
    </w:p>
  </w:endnote>
  <w:endnote w:id="15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בתורה הקודמת.</w:t>
      </w:r>
    </w:p>
  </w:endnote>
  <w:endnote w:id="16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ל, </w:t>
      </w:r>
      <w:proofErr w:type="spellStart"/>
      <w:r>
        <w:rPr>
          <w:rFonts w:hint="cs"/>
          <w:rtl/>
        </w:rPr>
        <w:t>מב</w:t>
      </w:r>
      <w:proofErr w:type="spellEnd"/>
      <w:r>
        <w:rPr>
          <w:rFonts w:hint="cs"/>
          <w:rtl/>
        </w:rPr>
        <w:t>.</w:t>
      </w:r>
    </w:p>
  </w:endnote>
  <w:endnote w:id="17">
    <w:p w:rsidR="007066A5" w:rsidRDefault="007066A5" w:rsidP="007066A5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ד"ה "והיה </w:t>
      </w:r>
      <w:proofErr w:type="spellStart"/>
      <w:r>
        <w:rPr>
          <w:rFonts w:hint="cs"/>
          <w:rtl/>
        </w:rPr>
        <w:t>העטפים</w:t>
      </w:r>
      <w:proofErr w:type="spellEnd"/>
      <w:r>
        <w:rPr>
          <w:rFonts w:hint="cs"/>
          <w:rtl/>
        </w:rPr>
        <w:t xml:space="preserve"> ללבן" תקס"ה (</w:t>
      </w:r>
      <w:proofErr w:type="spellStart"/>
      <w:r>
        <w:rPr>
          <w:rFonts w:hint="cs"/>
          <w:rtl/>
        </w:rPr>
        <w:t>סה"מ</w:t>
      </w:r>
      <w:proofErr w:type="spellEnd"/>
      <w:r>
        <w:rPr>
          <w:rFonts w:hint="cs"/>
          <w:rtl/>
        </w:rPr>
        <w:t xml:space="preserve"> תקס"ה ח"א עמ' </w:t>
      </w:r>
      <w:proofErr w:type="spellStart"/>
      <w:r>
        <w:rPr>
          <w:rFonts w:hint="cs"/>
          <w:rtl/>
        </w:rPr>
        <w:t>מז</w:t>
      </w:r>
      <w:proofErr w:type="spellEnd"/>
      <w:r>
        <w:rPr>
          <w:rFonts w:hint="cs"/>
          <w:rtl/>
        </w:rPr>
        <w:t xml:space="preserve">; נוסחה אחרת במאמרי </w:t>
      </w:r>
      <w:proofErr w:type="spellStart"/>
      <w:r>
        <w:rPr>
          <w:rFonts w:hint="cs"/>
          <w:rtl/>
        </w:rPr>
        <w:t>אדה"ז</w:t>
      </w:r>
      <w:proofErr w:type="spellEnd"/>
      <w:r>
        <w:rPr>
          <w:rFonts w:hint="cs"/>
          <w:rtl/>
        </w:rPr>
        <w:t xml:space="preserve"> על התורה ח"א עמ' קסט). ראה גם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ו בתורה "ירידה צורך עליה".</w:t>
      </w:r>
    </w:p>
  </w:endnote>
  <w:endnote w:id="18">
    <w:p w:rsidR="007066A5" w:rsidRDefault="007066A5" w:rsidP="007066A5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ה, ג.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C40" w:rsidRDefault="00AD0C40" w:rsidP="007066A5">
      <w:pPr>
        <w:spacing w:after="0" w:line="240" w:lineRule="auto"/>
      </w:pPr>
      <w:r>
        <w:separator/>
      </w:r>
    </w:p>
  </w:footnote>
  <w:footnote w:type="continuationSeparator" w:id="0">
    <w:p w:rsidR="00AD0C40" w:rsidRDefault="00AD0C40" w:rsidP="00706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16"/>
    <w:rsid w:val="00061E65"/>
    <w:rsid w:val="007066A5"/>
    <w:rsid w:val="00AC2310"/>
    <w:rsid w:val="00AD0C40"/>
    <w:rsid w:val="00D2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066A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066A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066A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7066A5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7066A5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7066A5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7066A5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7066A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7066A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7066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066A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066A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066A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7066A5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7066A5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7066A5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7066A5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7066A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7066A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7066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2017-08-15T06:38:00Z</dcterms:created>
  <dcterms:modified xsi:type="dcterms:W3CDTF">2017-08-15T06:39:00Z</dcterms:modified>
</cp:coreProperties>
</file>