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5DC" w:rsidRPr="00B46B4B" w:rsidRDefault="00B745DC" w:rsidP="00B745DC">
      <w:pPr>
        <w:pStyle w:val="2"/>
        <w:rPr>
          <w:rFonts w:hint="cs"/>
          <w:rtl/>
        </w:rPr>
      </w:pPr>
      <w:bookmarkStart w:id="0" w:name="_Toc188281726"/>
      <w:bookmarkStart w:id="1" w:name="_Ref188281965"/>
      <w:r w:rsidRPr="00B46B4B">
        <w:rPr>
          <w:rFonts w:hint="cs"/>
          <w:rtl/>
        </w:rPr>
        <w:t>התבגרות ונישואין</w:t>
      </w:r>
      <w:bookmarkEnd w:id="0"/>
      <w:bookmarkEnd w:id="1"/>
    </w:p>
    <w:p w:rsidR="00B745DC" w:rsidRPr="00B46B4B" w:rsidRDefault="00B745DC" w:rsidP="00B745DC">
      <w:pPr>
        <w:pStyle w:val="a3"/>
        <w:rPr>
          <w:rFonts w:hint="cs"/>
          <w:rtl/>
        </w:rPr>
      </w:pPr>
      <w:r>
        <w:rPr>
          <w:rFonts w:hint="cs"/>
          <w:rtl/>
        </w:rPr>
        <w:t>ת</w:t>
      </w:r>
      <w:r w:rsidRPr="00B46B4B">
        <w:rPr>
          <w:rFonts w:hint="cs"/>
          <w:rtl/>
        </w:rPr>
        <w:t>נו רבנן: האוהב את אשתו כגופו, והמכבדה יותר מגופו, והמדריך בניו ובנותיו בדרך ישרה, והמשיאן סמוך לפירקן, עליו הכתוב אומר</w:t>
      </w:r>
      <w:r w:rsidRPr="00070891">
        <w:rPr>
          <w:rStyle w:val="a8"/>
          <w:position w:val="-3"/>
          <w:sz w:val="17"/>
          <w:szCs w:val="23"/>
          <w:rtl/>
        </w:rPr>
        <w:endnoteReference w:id="1"/>
      </w:r>
      <w:r w:rsidRPr="00B46B4B">
        <w:rPr>
          <w:rFonts w:hint="cs"/>
          <w:rtl/>
        </w:rPr>
        <w:t xml:space="preserve"> "וידעת כי שלום אהלך"</w:t>
      </w:r>
      <w:r>
        <w:rPr>
          <w:rFonts w:hint="cs"/>
          <w:rtl/>
        </w:rPr>
        <w:t>.</w:t>
      </w:r>
      <w:r w:rsidRPr="00070891">
        <w:rPr>
          <w:rStyle w:val="a8"/>
          <w:position w:val="-3"/>
          <w:szCs w:val="23"/>
          <w:rtl/>
        </w:rPr>
        <w:endnoteReference w:id="2"/>
      </w:r>
      <w:r w:rsidRPr="00B46B4B">
        <w:rPr>
          <w:rFonts w:hint="cs"/>
          <w:rtl/>
        </w:rPr>
        <w:t xml:space="preserve"> </w:t>
      </w:r>
    </w:p>
    <w:p w:rsidR="00B745DC" w:rsidRDefault="00B745DC" w:rsidP="00B745DC">
      <w:pPr>
        <w:rPr>
          <w:rFonts w:hint="cs"/>
          <w:rtl/>
        </w:rPr>
      </w:pPr>
      <w:r w:rsidRPr="00B46B4B">
        <w:rPr>
          <w:rFonts w:hint="cs"/>
          <w:rtl/>
        </w:rPr>
        <w:t xml:space="preserve">ארבעת הדברים המנויים </w:t>
      </w:r>
      <w:proofErr w:type="spellStart"/>
      <w:r w:rsidRPr="00B46B4B">
        <w:rPr>
          <w:rFonts w:hint="cs"/>
          <w:rtl/>
        </w:rPr>
        <w:t>במימרא</w:t>
      </w:r>
      <w:proofErr w:type="spellEnd"/>
      <w:r w:rsidRPr="00B46B4B">
        <w:rPr>
          <w:rFonts w:hint="cs"/>
          <w:rtl/>
        </w:rPr>
        <w:t xml:space="preserve"> זו מכוונים כנגד אותיות שם הוי' ב"ה</w:t>
      </w:r>
      <w:r>
        <w:rPr>
          <w:rFonts w:hint="cs"/>
          <w:rtl/>
        </w:rPr>
        <w:t xml:space="preserve">: </w:t>
      </w:r>
    </w:p>
    <w:p w:rsidR="00B745DC" w:rsidRDefault="00B745DC" w:rsidP="00B745DC">
      <w:pPr>
        <w:ind w:left="1134"/>
        <w:rPr>
          <w:rFonts w:hint="cs"/>
          <w:rtl/>
        </w:rPr>
      </w:pPr>
      <w:r w:rsidRPr="00CB4991">
        <w:rPr>
          <w:rFonts w:hint="cs"/>
          <w:b/>
          <w:bCs/>
          <w:sz w:val="28"/>
          <w:szCs w:val="28"/>
          <w:rtl/>
        </w:rPr>
        <w:t>י</w:t>
      </w:r>
      <w:r>
        <w:rPr>
          <w:rFonts w:hint="cs"/>
          <w:rtl/>
        </w:rPr>
        <w:t xml:space="preserve"> </w:t>
      </w:r>
      <w:r>
        <w:rPr>
          <w:rtl/>
        </w:rPr>
        <w:t>–</w:t>
      </w:r>
      <w:r>
        <w:rPr>
          <w:rFonts w:hint="cs"/>
          <w:rtl/>
        </w:rPr>
        <w:t xml:space="preserve"> האוהב את אשתו כגופו</w:t>
      </w:r>
    </w:p>
    <w:p w:rsidR="00B745DC" w:rsidRDefault="00B745DC" w:rsidP="00B745DC">
      <w:pPr>
        <w:ind w:left="1134"/>
        <w:rPr>
          <w:rFonts w:hint="cs"/>
          <w:rtl/>
        </w:rPr>
      </w:pPr>
      <w:r w:rsidRPr="00CB4991">
        <w:rPr>
          <w:rFonts w:hint="cs"/>
          <w:b/>
          <w:bCs/>
          <w:sz w:val="28"/>
          <w:szCs w:val="28"/>
          <w:rtl/>
        </w:rPr>
        <w:t>ה</w:t>
      </w:r>
      <w:r>
        <w:rPr>
          <w:rFonts w:hint="cs"/>
          <w:rtl/>
        </w:rPr>
        <w:t xml:space="preserve"> </w:t>
      </w:r>
      <w:r>
        <w:rPr>
          <w:rtl/>
        </w:rPr>
        <w:t>–</w:t>
      </w:r>
      <w:r>
        <w:rPr>
          <w:rFonts w:hint="cs"/>
          <w:rtl/>
        </w:rPr>
        <w:t xml:space="preserve"> </w:t>
      </w:r>
      <w:proofErr w:type="spellStart"/>
      <w:r>
        <w:rPr>
          <w:rFonts w:hint="cs"/>
          <w:rtl/>
        </w:rPr>
        <w:t>והמכבדה</w:t>
      </w:r>
      <w:proofErr w:type="spellEnd"/>
      <w:r>
        <w:rPr>
          <w:rFonts w:hint="cs"/>
          <w:rtl/>
        </w:rPr>
        <w:t xml:space="preserve"> יותר מגופו</w:t>
      </w:r>
    </w:p>
    <w:p w:rsidR="00B745DC" w:rsidRDefault="00B745DC" w:rsidP="00B745DC">
      <w:pPr>
        <w:ind w:left="1134"/>
        <w:rPr>
          <w:rFonts w:hint="cs"/>
          <w:rtl/>
        </w:rPr>
      </w:pPr>
      <w:r w:rsidRPr="00CB4991">
        <w:rPr>
          <w:rFonts w:hint="cs"/>
          <w:b/>
          <w:bCs/>
          <w:sz w:val="28"/>
          <w:szCs w:val="28"/>
          <w:rtl/>
        </w:rPr>
        <w:t>ו</w:t>
      </w:r>
      <w:r>
        <w:rPr>
          <w:rFonts w:hint="cs"/>
          <w:rtl/>
        </w:rPr>
        <w:t xml:space="preserve"> </w:t>
      </w:r>
      <w:r>
        <w:rPr>
          <w:rtl/>
        </w:rPr>
        <w:t>–</w:t>
      </w:r>
      <w:r>
        <w:rPr>
          <w:rFonts w:hint="cs"/>
          <w:rtl/>
        </w:rPr>
        <w:t xml:space="preserve"> והמדריך בניו ובנותיו בדרך ישרה</w:t>
      </w:r>
    </w:p>
    <w:p w:rsidR="00B745DC" w:rsidRDefault="00B745DC" w:rsidP="00B745DC">
      <w:pPr>
        <w:ind w:left="1134"/>
        <w:rPr>
          <w:rFonts w:hint="cs"/>
          <w:rtl/>
        </w:rPr>
      </w:pPr>
      <w:r w:rsidRPr="00CB4991">
        <w:rPr>
          <w:rFonts w:hint="cs"/>
          <w:b/>
          <w:bCs/>
          <w:sz w:val="28"/>
          <w:szCs w:val="28"/>
          <w:rtl/>
        </w:rPr>
        <w:t>ה</w:t>
      </w:r>
      <w:r>
        <w:rPr>
          <w:rFonts w:hint="cs"/>
          <w:rtl/>
        </w:rPr>
        <w:t xml:space="preserve"> </w:t>
      </w:r>
      <w:r>
        <w:rPr>
          <w:rtl/>
        </w:rPr>
        <w:t>–</w:t>
      </w:r>
      <w:r>
        <w:rPr>
          <w:rFonts w:hint="cs"/>
          <w:rtl/>
        </w:rPr>
        <w:t xml:space="preserve"> </w:t>
      </w:r>
      <w:proofErr w:type="spellStart"/>
      <w:r>
        <w:rPr>
          <w:rFonts w:hint="cs"/>
          <w:rtl/>
        </w:rPr>
        <w:t>והמשיאן</w:t>
      </w:r>
      <w:proofErr w:type="spellEnd"/>
      <w:r>
        <w:rPr>
          <w:rFonts w:hint="cs"/>
          <w:rtl/>
        </w:rPr>
        <w:t xml:space="preserve"> סמוך </w:t>
      </w:r>
      <w:proofErr w:type="spellStart"/>
      <w:r>
        <w:rPr>
          <w:rFonts w:hint="cs"/>
          <w:rtl/>
        </w:rPr>
        <w:t>לפירקן</w:t>
      </w:r>
      <w:proofErr w:type="spellEnd"/>
    </w:p>
    <w:p w:rsidR="00B745DC" w:rsidRPr="00B46B4B" w:rsidRDefault="00B745DC" w:rsidP="00B745DC">
      <w:pPr>
        <w:rPr>
          <w:rFonts w:hint="cs"/>
          <w:rtl/>
        </w:rPr>
      </w:pPr>
      <w:r>
        <w:rPr>
          <w:rFonts w:hint="cs"/>
          <w:rtl/>
        </w:rPr>
        <w:t xml:space="preserve">וההסבר בקצרה: </w:t>
      </w:r>
      <w:r w:rsidRPr="00B46B4B">
        <w:rPr>
          <w:rFonts w:hint="cs"/>
          <w:rtl/>
        </w:rPr>
        <w:t xml:space="preserve">שתי המימרות הראשונות הן על הקשר בין האבא </w:t>
      </w:r>
      <w:proofErr w:type="spellStart"/>
      <w:r w:rsidRPr="00B46B4B">
        <w:rPr>
          <w:rFonts w:hint="cs"/>
          <w:rtl/>
        </w:rPr>
        <w:t>והאמא</w:t>
      </w:r>
      <w:proofErr w:type="spellEnd"/>
      <w:r w:rsidRPr="00B46B4B">
        <w:rPr>
          <w:rFonts w:hint="cs"/>
          <w:rtl/>
        </w:rPr>
        <w:t xml:space="preserve">, שכנגד אותיות </w:t>
      </w:r>
      <w:r w:rsidRPr="00B46B4B">
        <w:rPr>
          <w:rFonts w:hint="cs"/>
          <w:b/>
          <w:bCs/>
          <w:sz w:val="28"/>
          <w:szCs w:val="28"/>
          <w:rtl/>
        </w:rPr>
        <w:t>יה</w:t>
      </w:r>
      <w:r>
        <w:rPr>
          <w:rFonts w:hint="cs"/>
          <w:rtl/>
        </w:rPr>
        <w:t xml:space="preserve"> שבשם. </w:t>
      </w:r>
      <w:r w:rsidRPr="00B46B4B">
        <w:rPr>
          <w:rFonts w:hint="cs"/>
          <w:rtl/>
        </w:rPr>
        <w:t>האהבה כגופו מבטאת את אחדות בני הזוג, השראת "אחד האמת" בחכמה</w:t>
      </w:r>
      <w:bookmarkStart w:id="2" w:name="_Ref188261728"/>
      <w:r w:rsidRPr="00C37DFC">
        <w:rPr>
          <w:rStyle w:val="a8"/>
          <w:rtl/>
        </w:rPr>
        <w:endnoteReference w:id="3"/>
      </w:r>
      <w:bookmarkEnd w:id="2"/>
      <w:r w:rsidRPr="00B46B4B">
        <w:rPr>
          <w:rFonts w:hint="cs"/>
          <w:rtl/>
        </w:rPr>
        <w:t>, וכבוד אשתו יותר מגופו מבטא את תחושת מעלת שרש הכלים-הגוף המתבטא באשה דווקא</w:t>
      </w:r>
      <w:r>
        <w:rPr>
          <w:rFonts w:hint="cs"/>
          <w:rtl/>
        </w:rPr>
        <w:t xml:space="preserve">, והוא סוד שרש </w:t>
      </w:r>
      <w:proofErr w:type="spellStart"/>
      <w:r>
        <w:rPr>
          <w:rFonts w:hint="cs"/>
          <w:rtl/>
        </w:rPr>
        <w:t>ה"גרמוהי</w:t>
      </w:r>
      <w:proofErr w:type="spellEnd"/>
      <w:r>
        <w:rPr>
          <w:rFonts w:hint="cs"/>
          <w:rtl/>
        </w:rPr>
        <w:t>" שבבינה.</w:t>
      </w:r>
      <w:r w:rsidRPr="00B46B4B">
        <w:rPr>
          <w:rFonts w:hint="cs"/>
          <w:rtl/>
        </w:rPr>
        <w:t xml:space="preserve"> שתי המימרות האחרונות הן ביחס לבנים ולבנות, שכנגד אותיות </w:t>
      </w:r>
      <w:proofErr w:type="spellStart"/>
      <w:r w:rsidRPr="00B46B4B">
        <w:rPr>
          <w:rFonts w:hint="cs"/>
          <w:b/>
          <w:bCs/>
          <w:sz w:val="28"/>
          <w:szCs w:val="28"/>
          <w:rtl/>
        </w:rPr>
        <w:t>וה</w:t>
      </w:r>
      <w:proofErr w:type="spellEnd"/>
      <w:r w:rsidRPr="00B46B4B">
        <w:rPr>
          <w:rFonts w:hint="cs"/>
          <w:rtl/>
        </w:rPr>
        <w:t xml:space="preserve"> שבשם</w:t>
      </w:r>
      <w:r>
        <w:rPr>
          <w:rFonts w:hint="cs"/>
          <w:rtl/>
        </w:rPr>
        <w:t>.</w:t>
      </w:r>
      <w:r w:rsidRPr="00B46B4B">
        <w:rPr>
          <w:rFonts w:hint="cs"/>
          <w:rtl/>
        </w:rPr>
        <w:t xml:space="preserve"> ההדרכה ב"דרך ישרה שהיא תפארת לעושיה ותפארת לו מן האדם"</w:t>
      </w:r>
      <w:r w:rsidRPr="00C37DFC">
        <w:rPr>
          <w:rStyle w:val="a8"/>
          <w:rtl/>
        </w:rPr>
        <w:endnoteReference w:id="4"/>
      </w:r>
      <w:r w:rsidRPr="00B46B4B">
        <w:rPr>
          <w:rFonts w:hint="cs"/>
          <w:rtl/>
        </w:rPr>
        <w:t xml:space="preserve"> שייכת ל-</w:t>
      </w:r>
      <w:r w:rsidRPr="00B46B4B">
        <w:rPr>
          <w:rFonts w:hint="cs"/>
          <w:b/>
          <w:bCs/>
          <w:sz w:val="28"/>
          <w:szCs w:val="28"/>
          <w:rtl/>
        </w:rPr>
        <w:t>ו</w:t>
      </w:r>
      <w:r w:rsidRPr="00B46B4B">
        <w:rPr>
          <w:rFonts w:hint="cs"/>
          <w:rtl/>
        </w:rPr>
        <w:t xml:space="preserve"> מדות הלב, שעיקרן תפארת, והנישואין המוקדמים שייכים למלכות </w:t>
      </w:r>
      <w:r w:rsidRPr="00B46B4B">
        <w:rPr>
          <w:rtl/>
        </w:rPr>
        <w:t>–</w:t>
      </w:r>
      <w:r w:rsidRPr="00B46B4B">
        <w:rPr>
          <w:rFonts w:hint="cs"/>
          <w:rtl/>
        </w:rPr>
        <w:t xml:space="preserve"> הם באים</w:t>
      </w:r>
      <w:r>
        <w:rPr>
          <w:rFonts w:hint="cs"/>
          <w:rtl/>
        </w:rPr>
        <w:t xml:space="preserve"> מתוך תודעת יראת חטא המאפיינת את המלכות</w:t>
      </w:r>
      <w:r w:rsidRPr="00B46B4B">
        <w:rPr>
          <w:rFonts w:hint="cs"/>
          <w:rtl/>
        </w:rPr>
        <w:t>, ועיקרם שמירה לבנות דווקא</w:t>
      </w:r>
      <w:r w:rsidRPr="00C37DFC">
        <w:rPr>
          <w:rStyle w:val="a8"/>
          <w:rtl/>
        </w:rPr>
        <w:endnoteReference w:id="5"/>
      </w:r>
      <w:r w:rsidRPr="00B46B4B">
        <w:rPr>
          <w:rFonts w:hint="cs"/>
          <w:rtl/>
        </w:rPr>
        <w:t>.</w:t>
      </w:r>
    </w:p>
    <w:p w:rsidR="00B745DC" w:rsidRPr="00B46B4B" w:rsidRDefault="00B745DC" w:rsidP="00B745DC">
      <w:pPr>
        <w:rPr>
          <w:rFonts w:hint="cs"/>
          <w:rtl/>
        </w:rPr>
      </w:pPr>
      <w:r w:rsidRPr="00B46B4B">
        <w:rPr>
          <w:rFonts w:hint="cs"/>
          <w:rtl/>
        </w:rPr>
        <w:t xml:space="preserve">והנה, </w:t>
      </w:r>
      <w:r>
        <w:rPr>
          <w:rFonts w:hint="cs"/>
          <w:rtl/>
        </w:rPr>
        <w:t xml:space="preserve">נחלקו </w:t>
      </w:r>
      <w:r w:rsidRPr="00B46B4B">
        <w:rPr>
          <w:rFonts w:hint="cs"/>
          <w:rtl/>
        </w:rPr>
        <w:t>המפרשים מהי השאת הבנים והבנות "סמוך לפרקן"</w:t>
      </w:r>
      <w:r>
        <w:rPr>
          <w:rFonts w:hint="cs"/>
          <w:rtl/>
        </w:rPr>
        <w:t>:</w:t>
      </w:r>
      <w:r w:rsidRPr="00B46B4B">
        <w:rPr>
          <w:rFonts w:hint="cs"/>
          <w:rtl/>
        </w:rPr>
        <w:t xml:space="preserve"> המאירי</w:t>
      </w:r>
      <w:r w:rsidRPr="00C37DFC">
        <w:rPr>
          <w:rStyle w:val="a8"/>
          <w:rtl/>
        </w:rPr>
        <w:endnoteReference w:id="6"/>
      </w:r>
      <w:r w:rsidRPr="00B46B4B">
        <w:rPr>
          <w:rFonts w:hint="cs"/>
          <w:rtl/>
        </w:rPr>
        <w:t xml:space="preserve"> מביא דעה אחת המסבירה כי הכוונה היא קודם לפרק של "בן שמונה עשרה לחופה"</w:t>
      </w:r>
      <w:r w:rsidRPr="00C37DFC">
        <w:rPr>
          <w:rStyle w:val="a8"/>
          <w:rtl/>
        </w:rPr>
        <w:endnoteReference w:id="7"/>
      </w:r>
      <w:r>
        <w:rPr>
          <w:rFonts w:hint="cs"/>
          <w:rtl/>
        </w:rPr>
        <w:t xml:space="preserve"> (</w:t>
      </w:r>
      <w:r w:rsidRPr="00B46B4B">
        <w:rPr>
          <w:rFonts w:hint="cs"/>
          <w:rtl/>
        </w:rPr>
        <w:t>ואז טוב להקדים יותר משנה, והגיל המומלץ הוא כבן שש עשרה ואף כבן ארבע עשרה</w:t>
      </w:r>
      <w:r w:rsidRPr="00C37DFC">
        <w:rPr>
          <w:rStyle w:val="a8"/>
          <w:rtl/>
        </w:rPr>
        <w:endnoteReference w:id="8"/>
      </w:r>
      <w:r w:rsidRPr="00B46B4B">
        <w:rPr>
          <w:rFonts w:hint="cs"/>
          <w:rtl/>
        </w:rPr>
        <w:t>), אך רש"י</w:t>
      </w:r>
      <w:r w:rsidRPr="00C37DFC">
        <w:rPr>
          <w:rStyle w:val="a8"/>
          <w:rtl/>
        </w:rPr>
        <w:endnoteReference w:id="9"/>
      </w:r>
      <w:r w:rsidRPr="00B46B4B">
        <w:rPr>
          <w:rFonts w:hint="cs"/>
          <w:rtl/>
        </w:rPr>
        <w:t xml:space="preserve"> ו</w:t>
      </w:r>
      <w:r>
        <w:rPr>
          <w:rFonts w:hint="cs"/>
          <w:rtl/>
        </w:rPr>
        <w:t>בעלי ה</w:t>
      </w:r>
      <w:r w:rsidRPr="00B46B4B">
        <w:rPr>
          <w:rFonts w:hint="cs"/>
          <w:rtl/>
        </w:rPr>
        <w:t>תוספות</w:t>
      </w:r>
      <w:r w:rsidRPr="00C37DFC">
        <w:rPr>
          <w:rStyle w:val="a8"/>
          <w:rtl/>
        </w:rPr>
        <w:endnoteReference w:id="10"/>
      </w:r>
      <w:r w:rsidRPr="00B46B4B">
        <w:rPr>
          <w:rFonts w:hint="cs"/>
          <w:rtl/>
        </w:rPr>
        <w:t xml:space="preserve"> (וכך גם הדעה הראשונה במאירי) מסבירים כי הכוונה היא לפני גיל בר/בת מצוה (בסמיכות זמן של כשנה, על פי המתואר במדרש</w:t>
      </w:r>
      <w:r w:rsidRPr="00C37DFC">
        <w:rPr>
          <w:rStyle w:val="a8"/>
          <w:rtl/>
        </w:rPr>
        <w:endnoteReference w:id="11"/>
      </w:r>
      <w:r w:rsidRPr="00B46B4B">
        <w:rPr>
          <w:rFonts w:hint="cs"/>
          <w:rtl/>
        </w:rPr>
        <w:t xml:space="preserve"> כמנהג אנשי ירושלים לה</w:t>
      </w:r>
      <w:r>
        <w:rPr>
          <w:rFonts w:hint="cs"/>
          <w:rtl/>
        </w:rPr>
        <w:t>שיא את בניהם בגיל שתים עשרה). נציין ש</w:t>
      </w:r>
      <w:r w:rsidRPr="00B46B4B">
        <w:rPr>
          <w:rFonts w:hint="cs"/>
          <w:rtl/>
        </w:rPr>
        <w:t xml:space="preserve">להלכה נפסק כי הפרק המדובר כאן הוא גיל בר/בת מצוה, אך הסמיכות אליו היא רק לאחריו, בעוד שלקטנים לפני גיל מצוות אסור </w:t>
      </w:r>
      <w:proofErr w:type="spellStart"/>
      <w:r w:rsidRPr="00B46B4B">
        <w:rPr>
          <w:rFonts w:hint="cs"/>
          <w:rtl/>
        </w:rPr>
        <w:t>להנשא</w:t>
      </w:r>
      <w:proofErr w:type="spellEnd"/>
      <w:r>
        <w:rPr>
          <w:rFonts w:hint="cs"/>
          <w:rtl/>
        </w:rPr>
        <w:t xml:space="preserve">. אמנם, </w:t>
      </w:r>
      <w:r w:rsidRPr="00B46B4B">
        <w:rPr>
          <w:rFonts w:hint="cs"/>
          <w:rtl/>
        </w:rPr>
        <w:t xml:space="preserve">יש שחלקו ובארו כי מעצמם אסור להם </w:t>
      </w:r>
      <w:proofErr w:type="spellStart"/>
      <w:r w:rsidRPr="00B46B4B">
        <w:rPr>
          <w:rFonts w:hint="cs"/>
          <w:rtl/>
        </w:rPr>
        <w:t>להנשא</w:t>
      </w:r>
      <w:proofErr w:type="spellEnd"/>
      <w:r w:rsidRPr="00B46B4B">
        <w:rPr>
          <w:rFonts w:hint="cs"/>
          <w:rtl/>
        </w:rPr>
        <w:t>, אך כשם שאב יכול להשיא את בתו הקטנה, מן התורה, כך תקנו חכמים שיוכל להשיא את בנו בתוך השנה הסמוכה</w:t>
      </w:r>
      <w:r>
        <w:rPr>
          <w:rFonts w:hint="cs"/>
          <w:rtl/>
        </w:rPr>
        <w:t xml:space="preserve"> לגיל מצוות, כדברי רש"י ובעלי התוספות</w:t>
      </w:r>
      <w:r w:rsidRPr="00C37DFC">
        <w:rPr>
          <w:rStyle w:val="a8"/>
          <w:rtl/>
        </w:rPr>
        <w:endnoteReference w:id="12"/>
      </w:r>
      <w:r>
        <w:rPr>
          <w:rFonts w:hint="cs"/>
          <w:rtl/>
        </w:rPr>
        <w:t>.</w:t>
      </w:r>
    </w:p>
    <w:p w:rsidR="00B745DC" w:rsidRPr="00B46B4B" w:rsidRDefault="00B745DC" w:rsidP="00B745DC">
      <w:pPr>
        <w:rPr>
          <w:rFonts w:hint="cs"/>
          <w:rtl/>
        </w:rPr>
      </w:pPr>
      <w:r>
        <w:rPr>
          <w:rFonts w:hint="cs"/>
          <w:rtl/>
        </w:rPr>
        <w:t>נתבונן ב</w:t>
      </w:r>
      <w:r w:rsidRPr="00B46B4B">
        <w:rPr>
          <w:rFonts w:hint="cs"/>
          <w:rtl/>
        </w:rPr>
        <w:t>דעת רש"י ו</w:t>
      </w:r>
      <w:r>
        <w:rPr>
          <w:rFonts w:hint="cs"/>
          <w:rtl/>
        </w:rPr>
        <w:t xml:space="preserve">בעלי התוספות </w:t>
      </w:r>
      <w:proofErr w:type="spellStart"/>
      <w:r>
        <w:rPr>
          <w:rFonts w:hint="cs"/>
          <w:rtl/>
        </w:rPr>
        <w:t>ב"והמשיאן</w:t>
      </w:r>
      <w:proofErr w:type="spellEnd"/>
      <w:r>
        <w:rPr>
          <w:rFonts w:hint="cs"/>
          <w:rtl/>
        </w:rPr>
        <w:t xml:space="preserve"> סמוך לפרקן":</w:t>
      </w:r>
      <w:r w:rsidRPr="00B46B4B">
        <w:rPr>
          <w:rFonts w:hint="cs"/>
          <w:rtl/>
        </w:rPr>
        <w:t xml:space="preserve"> האם בגיל כה צעיר, עוד לפני גיל מצוות, יכולים ילד וילדה לבנות קשר נישואין תקין? ממאמר חז"ל זה אפשר ל</w:t>
      </w:r>
      <w:r>
        <w:rPr>
          <w:rFonts w:hint="cs"/>
          <w:rtl/>
        </w:rPr>
        <w:t>הבין שהשאת הבנים והבנות סמוך לפ</w:t>
      </w:r>
      <w:r w:rsidRPr="00B46B4B">
        <w:rPr>
          <w:rFonts w:hint="cs"/>
          <w:rtl/>
        </w:rPr>
        <w:t>רק</w:t>
      </w:r>
      <w:r>
        <w:rPr>
          <w:rFonts w:hint="cs"/>
          <w:rtl/>
        </w:rPr>
        <w:t>ם</w:t>
      </w:r>
      <w:r w:rsidRPr="00B46B4B">
        <w:rPr>
          <w:rFonts w:hint="cs"/>
          <w:rtl/>
        </w:rPr>
        <w:t xml:space="preserve"> אפשרית רק בבית בו חוו הילדים חיי נישואין </w:t>
      </w:r>
      <w:r>
        <w:rPr>
          <w:rFonts w:hint="cs"/>
          <w:rtl/>
        </w:rPr>
        <w:t>מתוקנים</w:t>
      </w:r>
      <w:r w:rsidRPr="00B46B4B">
        <w:rPr>
          <w:rFonts w:hint="cs"/>
          <w:rtl/>
        </w:rPr>
        <w:t xml:space="preserve">, </w:t>
      </w:r>
      <w:r>
        <w:rPr>
          <w:rFonts w:hint="cs"/>
          <w:rtl/>
        </w:rPr>
        <w:t>נטולי</w:t>
      </w:r>
      <w:r w:rsidRPr="00B46B4B">
        <w:rPr>
          <w:rFonts w:hint="cs"/>
          <w:rtl/>
        </w:rPr>
        <w:t xml:space="preserve"> טראומות, </w:t>
      </w:r>
      <w:r>
        <w:rPr>
          <w:rFonts w:hint="cs"/>
          <w:rtl/>
        </w:rPr>
        <w:t xml:space="preserve">שהותירו עליהם רושם חיובי וסיפקו להם </w:t>
      </w:r>
      <w:r w:rsidRPr="00B46B4B">
        <w:rPr>
          <w:rFonts w:hint="cs"/>
          <w:rtl/>
        </w:rPr>
        <w:t xml:space="preserve">דוגמה </w:t>
      </w:r>
      <w:r>
        <w:rPr>
          <w:rFonts w:hint="cs"/>
          <w:rtl/>
        </w:rPr>
        <w:t xml:space="preserve">חיה </w:t>
      </w:r>
      <w:r w:rsidRPr="00B46B4B">
        <w:rPr>
          <w:rFonts w:hint="cs"/>
          <w:rtl/>
        </w:rPr>
        <w:t xml:space="preserve">של "האוהב את אשתו כגופו </w:t>
      </w:r>
      <w:proofErr w:type="spellStart"/>
      <w:r w:rsidRPr="00B46B4B">
        <w:rPr>
          <w:rFonts w:hint="cs"/>
          <w:rtl/>
        </w:rPr>
        <w:t>והמכבדה</w:t>
      </w:r>
      <w:proofErr w:type="spellEnd"/>
      <w:r w:rsidRPr="00B46B4B">
        <w:rPr>
          <w:rFonts w:hint="cs"/>
          <w:rtl/>
        </w:rPr>
        <w:t xml:space="preserve"> יותר מגופו"</w:t>
      </w:r>
      <w:r>
        <w:rPr>
          <w:rFonts w:hint="cs"/>
          <w:rtl/>
        </w:rPr>
        <w:t>,</w:t>
      </w:r>
      <w:r w:rsidRPr="00B46B4B">
        <w:rPr>
          <w:rFonts w:hint="cs"/>
          <w:rtl/>
        </w:rPr>
        <w:t xml:space="preserve"> ואף זכו לח</w:t>
      </w:r>
      <w:r>
        <w:rPr>
          <w:rFonts w:hint="cs"/>
          <w:rtl/>
        </w:rPr>
        <w:t>ינוך והדרכה בדרך הישר. עם כל זאת</w:t>
      </w:r>
      <w:r w:rsidRPr="00B46B4B">
        <w:rPr>
          <w:rFonts w:hint="cs"/>
          <w:rtl/>
        </w:rPr>
        <w:t xml:space="preserve">, נישואי </w:t>
      </w:r>
      <w:r>
        <w:rPr>
          <w:rFonts w:hint="cs"/>
          <w:rtl/>
        </w:rPr>
        <w:t xml:space="preserve">צעירים בגיל נועדו בעיקר כדי </w:t>
      </w:r>
      <w:r>
        <w:rPr>
          <w:rFonts w:hint="cs"/>
          <w:rtl/>
        </w:rPr>
        <w:lastRenderedPageBreak/>
        <w:t xml:space="preserve">לשמור אותם </w:t>
      </w:r>
      <w:r w:rsidRPr="00B46B4B">
        <w:rPr>
          <w:rFonts w:hint="cs"/>
          <w:rtl/>
        </w:rPr>
        <w:t xml:space="preserve">מהחטא, </w:t>
      </w:r>
      <w:r>
        <w:rPr>
          <w:rFonts w:hint="cs"/>
          <w:rtl/>
        </w:rPr>
        <w:t xml:space="preserve">שכן, על הציר של יחס-יחד-אחד, איכות הקשר אליו יכולים להגיע צעירים </w:t>
      </w:r>
      <w:r w:rsidRPr="00B46B4B">
        <w:rPr>
          <w:rFonts w:hint="cs"/>
          <w:rtl/>
        </w:rPr>
        <w:t xml:space="preserve">לפני גיל בר/בת מצוה </w:t>
      </w:r>
      <w:r>
        <w:rPr>
          <w:rFonts w:hint="cs"/>
          <w:rtl/>
        </w:rPr>
        <w:t>היא</w:t>
      </w:r>
      <w:r w:rsidRPr="00B46B4B">
        <w:rPr>
          <w:rFonts w:hint="cs"/>
          <w:rtl/>
        </w:rPr>
        <w:t xml:space="preserve"> רק </w:t>
      </w:r>
      <w:r>
        <w:rPr>
          <w:rFonts w:hint="cs"/>
          <w:rtl/>
        </w:rPr>
        <w:t>בנין</w:t>
      </w:r>
      <w:r w:rsidRPr="00B46B4B">
        <w:rPr>
          <w:rFonts w:hint="cs"/>
          <w:rtl/>
        </w:rPr>
        <w:t xml:space="preserve"> </w:t>
      </w:r>
      <w:r w:rsidRPr="00B04702">
        <w:rPr>
          <w:rStyle w:val="a5"/>
          <w:rFonts w:hint="cs"/>
          <w:rtl/>
        </w:rPr>
        <w:t>יחס</w:t>
      </w:r>
      <w:r w:rsidRPr="00B46B4B">
        <w:rPr>
          <w:rFonts w:hint="cs"/>
          <w:rtl/>
        </w:rPr>
        <w:t xml:space="preserve"> תקין. שני ילדים סמוך לפרקן, שראו דוגמה אישית טובה והתחנכו בדרך ישרה של מדות טובות, מסוגלים</w:t>
      </w:r>
      <w:r>
        <w:rPr>
          <w:rFonts w:hint="cs"/>
          <w:rtl/>
        </w:rPr>
        <w:t xml:space="preserve"> </w:t>
      </w:r>
      <w:r w:rsidRPr="00B46B4B">
        <w:rPr>
          <w:rFonts w:hint="cs"/>
          <w:rtl/>
        </w:rPr>
        <w:t>לכבד זה את זו</w:t>
      </w:r>
      <w:r>
        <w:rPr>
          <w:rFonts w:hint="cs"/>
          <w:rtl/>
        </w:rPr>
        <w:t>, גם אם בסגנון ילדותי של משחק משותף</w:t>
      </w:r>
      <w:r w:rsidRPr="00B46B4B">
        <w:rPr>
          <w:rFonts w:hint="cs"/>
          <w:rtl/>
        </w:rPr>
        <w:t xml:space="preserve">, ולשם כך לא נדרשת הזדהות עם חוויות הזולת. לעומת זאת, קשרים </w:t>
      </w:r>
      <w:r>
        <w:rPr>
          <w:rFonts w:hint="cs"/>
          <w:rtl/>
        </w:rPr>
        <w:t xml:space="preserve">בדרגה </w:t>
      </w:r>
      <w:r w:rsidRPr="00B46B4B">
        <w:rPr>
          <w:rFonts w:hint="cs"/>
          <w:rtl/>
        </w:rPr>
        <w:t xml:space="preserve">של יחד ואחד דורשים </w:t>
      </w:r>
      <w:proofErr w:type="spellStart"/>
      <w:r w:rsidRPr="00B46B4B">
        <w:rPr>
          <w:rFonts w:hint="cs"/>
          <w:rtl/>
        </w:rPr>
        <w:t>התכללות</w:t>
      </w:r>
      <w:proofErr w:type="spellEnd"/>
      <w:r w:rsidRPr="00B46B4B">
        <w:rPr>
          <w:rFonts w:hint="cs"/>
          <w:rtl/>
        </w:rPr>
        <w:t xml:space="preserve"> בין האיש </w:t>
      </w:r>
      <w:proofErr w:type="spellStart"/>
      <w:r w:rsidRPr="00B46B4B">
        <w:rPr>
          <w:rFonts w:hint="cs"/>
          <w:rtl/>
        </w:rPr>
        <w:t>והאשה</w:t>
      </w:r>
      <w:proofErr w:type="spellEnd"/>
      <w:r w:rsidRPr="00B46B4B">
        <w:rPr>
          <w:rFonts w:hint="cs"/>
          <w:rtl/>
        </w:rPr>
        <w:t xml:space="preserve">, </w:t>
      </w:r>
      <w:proofErr w:type="spellStart"/>
      <w:r w:rsidRPr="00B46B4B">
        <w:rPr>
          <w:rFonts w:hint="cs"/>
          <w:rtl/>
        </w:rPr>
        <w:t>וההתכללות</w:t>
      </w:r>
      <w:proofErr w:type="spellEnd"/>
      <w:r w:rsidRPr="00B46B4B">
        <w:rPr>
          <w:rFonts w:hint="cs"/>
          <w:rtl/>
        </w:rPr>
        <w:t xml:space="preserve"> זו דורשת בגרות (</w:t>
      </w:r>
      <w:r>
        <w:rPr>
          <w:rFonts w:hint="cs"/>
          <w:rtl/>
        </w:rPr>
        <w:t>ו</w:t>
      </w:r>
      <w:r w:rsidRPr="00B46B4B">
        <w:rPr>
          <w:rFonts w:hint="cs"/>
          <w:rtl/>
        </w:rPr>
        <w:t xml:space="preserve">בלשון הקבלה </w:t>
      </w:r>
      <w:r w:rsidRPr="00B46B4B">
        <w:rPr>
          <w:rtl/>
        </w:rPr>
        <w:t>–</w:t>
      </w:r>
      <w:r w:rsidRPr="00B46B4B">
        <w:rPr>
          <w:rFonts w:hint="cs"/>
          <w:rtl/>
        </w:rPr>
        <w:t xml:space="preserve"> מוחין).</w:t>
      </w:r>
    </w:p>
    <w:p w:rsidR="00B745DC" w:rsidRDefault="00B745DC" w:rsidP="00B745DC">
      <w:pPr>
        <w:rPr>
          <w:rFonts w:hint="cs"/>
          <w:rtl/>
        </w:rPr>
      </w:pPr>
      <w:r w:rsidRPr="00B46B4B">
        <w:rPr>
          <w:rFonts w:hint="cs"/>
          <w:rtl/>
        </w:rPr>
        <w:t xml:space="preserve">בפרטות, </w:t>
      </w:r>
      <w:proofErr w:type="spellStart"/>
      <w:r w:rsidRPr="00B46B4B">
        <w:rPr>
          <w:rFonts w:hint="cs"/>
          <w:rtl/>
        </w:rPr>
        <w:t>ההתכללות</w:t>
      </w:r>
      <w:proofErr w:type="spellEnd"/>
      <w:r w:rsidRPr="00B46B4B">
        <w:rPr>
          <w:rFonts w:hint="cs"/>
          <w:rtl/>
        </w:rPr>
        <w:t xml:space="preserve"> הנדרשת </w:t>
      </w:r>
      <w:proofErr w:type="spellStart"/>
      <w:r w:rsidRPr="00B46B4B">
        <w:rPr>
          <w:rFonts w:hint="cs"/>
          <w:rtl/>
        </w:rPr>
        <w:t>לחוית</w:t>
      </w:r>
      <w:proofErr w:type="spellEnd"/>
      <w:r w:rsidRPr="00B46B4B">
        <w:rPr>
          <w:rFonts w:hint="cs"/>
          <w:rtl/>
        </w:rPr>
        <w:t xml:space="preserve"> </w:t>
      </w:r>
      <w:proofErr w:type="spellStart"/>
      <w:r w:rsidRPr="00B46B4B">
        <w:rPr>
          <w:rFonts w:hint="cs"/>
          <w:rtl/>
        </w:rPr>
        <w:t>ה</w:t>
      </w:r>
      <w:r w:rsidRPr="00B04702">
        <w:rPr>
          <w:rStyle w:val="a5"/>
          <w:rFonts w:hint="cs"/>
          <w:rtl/>
        </w:rPr>
        <w:t>יחד</w:t>
      </w:r>
      <w:proofErr w:type="spellEnd"/>
      <w:r w:rsidRPr="00B46B4B">
        <w:rPr>
          <w:rFonts w:hint="cs"/>
          <w:rtl/>
        </w:rPr>
        <w:t xml:space="preserve"> </w:t>
      </w:r>
      <w:r>
        <w:rPr>
          <w:rFonts w:hint="cs"/>
          <w:rtl/>
        </w:rPr>
        <w:t xml:space="preserve">תלויה </w:t>
      </w:r>
      <w:proofErr w:type="spellStart"/>
      <w:r>
        <w:rPr>
          <w:rFonts w:hint="cs"/>
          <w:rtl/>
        </w:rPr>
        <w:t>במוחין</w:t>
      </w:r>
      <w:proofErr w:type="spellEnd"/>
      <w:r>
        <w:rPr>
          <w:rFonts w:hint="cs"/>
          <w:rtl/>
        </w:rPr>
        <w:t xml:space="preserve"> </w:t>
      </w:r>
      <w:proofErr w:type="spellStart"/>
      <w:r>
        <w:rPr>
          <w:rFonts w:hint="cs"/>
          <w:rtl/>
        </w:rPr>
        <w:t>דאמא</w:t>
      </w:r>
      <w:proofErr w:type="spellEnd"/>
      <w:r>
        <w:rPr>
          <w:rFonts w:hint="cs"/>
          <w:rtl/>
        </w:rPr>
        <w:t xml:space="preserve"> </w:t>
      </w:r>
      <w:proofErr w:type="spellStart"/>
      <w:r>
        <w:rPr>
          <w:rFonts w:hint="cs"/>
          <w:rtl/>
        </w:rPr>
        <w:t>וההתכללות</w:t>
      </w:r>
      <w:proofErr w:type="spellEnd"/>
      <w:r>
        <w:rPr>
          <w:rFonts w:hint="cs"/>
          <w:rtl/>
        </w:rPr>
        <w:t xml:space="preserve"> הנדרשת </w:t>
      </w:r>
      <w:proofErr w:type="spellStart"/>
      <w:r>
        <w:rPr>
          <w:rFonts w:hint="cs"/>
          <w:rtl/>
        </w:rPr>
        <w:t>לחוית</w:t>
      </w:r>
      <w:proofErr w:type="spellEnd"/>
      <w:r>
        <w:rPr>
          <w:rFonts w:hint="cs"/>
          <w:rtl/>
        </w:rPr>
        <w:t xml:space="preserve"> ה</w:t>
      </w:r>
      <w:r w:rsidRPr="00B04702">
        <w:rPr>
          <w:rStyle w:val="a5"/>
          <w:rFonts w:hint="cs"/>
          <w:rtl/>
        </w:rPr>
        <w:t>אחד</w:t>
      </w:r>
      <w:r>
        <w:rPr>
          <w:rFonts w:hint="cs"/>
          <w:rtl/>
        </w:rPr>
        <w:t xml:space="preserve"> תלויה </w:t>
      </w:r>
      <w:proofErr w:type="spellStart"/>
      <w:r>
        <w:rPr>
          <w:rFonts w:hint="cs"/>
          <w:rtl/>
        </w:rPr>
        <w:t>במוחין</w:t>
      </w:r>
      <w:proofErr w:type="spellEnd"/>
      <w:r>
        <w:rPr>
          <w:rFonts w:hint="cs"/>
          <w:rtl/>
        </w:rPr>
        <w:t xml:space="preserve"> </w:t>
      </w:r>
      <w:proofErr w:type="spellStart"/>
      <w:r>
        <w:rPr>
          <w:rFonts w:hint="cs"/>
          <w:rtl/>
        </w:rPr>
        <w:t>דאבא</w:t>
      </w:r>
      <w:proofErr w:type="spellEnd"/>
      <w:r w:rsidRPr="00C37DFC">
        <w:rPr>
          <w:rStyle w:val="a8"/>
          <w:rtl/>
        </w:rPr>
        <w:endnoteReference w:id="13"/>
      </w:r>
      <w:r>
        <w:rPr>
          <w:rFonts w:hint="cs"/>
          <w:rtl/>
        </w:rPr>
        <w:t xml:space="preserve">. כדי להרגיש יחד נדרשת </w:t>
      </w:r>
      <w:proofErr w:type="spellStart"/>
      <w:r w:rsidRPr="00B46B4B">
        <w:rPr>
          <w:rFonts w:hint="cs"/>
          <w:rtl/>
        </w:rPr>
        <w:t>התפרטות</w:t>
      </w:r>
      <w:proofErr w:type="spellEnd"/>
      <w:r w:rsidRPr="00B46B4B">
        <w:rPr>
          <w:rFonts w:hint="cs"/>
          <w:rtl/>
        </w:rPr>
        <w:t xml:space="preserve"> והתפרקות</w:t>
      </w:r>
      <w:r w:rsidRPr="00C37DFC">
        <w:rPr>
          <w:rStyle w:val="a8"/>
          <w:rtl/>
        </w:rPr>
        <w:endnoteReference w:id="14"/>
      </w:r>
      <w:r>
        <w:rPr>
          <w:rFonts w:hint="cs"/>
          <w:rtl/>
        </w:rPr>
        <w:t>,</w:t>
      </w:r>
      <w:r w:rsidRPr="00B46B4B">
        <w:rPr>
          <w:rFonts w:hint="cs"/>
          <w:rtl/>
        </w:rPr>
        <w:t xml:space="preserve"> כדי להכיל גם ממדים </w:t>
      </w:r>
      <w:proofErr w:type="spellStart"/>
      <w:r w:rsidRPr="00B46B4B">
        <w:rPr>
          <w:rFonts w:hint="cs"/>
          <w:rtl/>
        </w:rPr>
        <w:t>וחויות</w:t>
      </w:r>
      <w:proofErr w:type="spellEnd"/>
      <w:r w:rsidRPr="00B46B4B">
        <w:rPr>
          <w:rFonts w:hint="cs"/>
          <w:rtl/>
        </w:rPr>
        <w:t xml:space="preserve"> של הזולת</w:t>
      </w:r>
      <w:r>
        <w:rPr>
          <w:rFonts w:hint="cs"/>
          <w:rtl/>
        </w:rPr>
        <w:t xml:space="preserve">, </w:t>
      </w:r>
      <w:r w:rsidRPr="00B46B4B">
        <w:rPr>
          <w:rFonts w:hint="cs"/>
          <w:rtl/>
        </w:rPr>
        <w:t xml:space="preserve">החל מהבסיס של הכלת ממד נשי בתוך האיש וממד גברי בתוך </w:t>
      </w:r>
      <w:proofErr w:type="spellStart"/>
      <w:r w:rsidRPr="00B46B4B">
        <w:rPr>
          <w:rFonts w:hint="cs"/>
          <w:rtl/>
        </w:rPr>
        <w:t>האשה</w:t>
      </w:r>
      <w:proofErr w:type="spellEnd"/>
      <w:r w:rsidRPr="00C37DFC">
        <w:rPr>
          <w:rStyle w:val="a8"/>
          <w:rtl/>
        </w:rPr>
        <w:endnoteReference w:id="15"/>
      </w:r>
      <w:r>
        <w:rPr>
          <w:rFonts w:hint="cs"/>
          <w:rtl/>
        </w:rPr>
        <w:t>. זו פעולתם</w:t>
      </w:r>
      <w:r w:rsidRPr="00B46B4B">
        <w:rPr>
          <w:rFonts w:hint="cs"/>
          <w:rtl/>
        </w:rPr>
        <w:t xml:space="preserve"> </w:t>
      </w:r>
      <w:r>
        <w:rPr>
          <w:rFonts w:hint="cs"/>
          <w:rtl/>
        </w:rPr>
        <w:t xml:space="preserve">של מוחין </w:t>
      </w:r>
      <w:proofErr w:type="spellStart"/>
      <w:r>
        <w:rPr>
          <w:rFonts w:hint="cs"/>
          <w:rtl/>
        </w:rPr>
        <w:t>דאמא</w:t>
      </w:r>
      <w:proofErr w:type="spellEnd"/>
      <w:r>
        <w:rPr>
          <w:rFonts w:hint="cs"/>
          <w:rtl/>
        </w:rPr>
        <w:t xml:space="preserve"> </w:t>
      </w:r>
      <w:r>
        <w:rPr>
          <w:rtl/>
        </w:rPr>
        <w:t>–</w:t>
      </w:r>
      <w:r>
        <w:rPr>
          <w:rFonts w:hint="cs"/>
          <w:rtl/>
        </w:rPr>
        <w:t xml:space="preserve"> של </w:t>
      </w:r>
      <w:r w:rsidRPr="00B46B4B">
        <w:rPr>
          <w:rFonts w:hint="cs"/>
          <w:rtl/>
        </w:rPr>
        <w:t>מח הבינה, המפרט לפרטים, ש-</w:t>
      </w:r>
      <w:r w:rsidRPr="00B46B4B">
        <w:rPr>
          <w:rFonts w:hint="cs"/>
          <w:b/>
          <w:bCs/>
          <w:sz w:val="28"/>
          <w:szCs w:val="28"/>
          <w:rtl/>
        </w:rPr>
        <w:t>מט</w:t>
      </w:r>
      <w:r w:rsidRPr="00B46B4B">
        <w:rPr>
          <w:rFonts w:hint="cs"/>
          <w:rtl/>
        </w:rPr>
        <w:t xml:space="preserve"> משעריו היינו </w:t>
      </w:r>
      <w:proofErr w:type="spellStart"/>
      <w:r w:rsidRPr="00B46B4B">
        <w:rPr>
          <w:rFonts w:hint="cs"/>
          <w:rtl/>
        </w:rPr>
        <w:t>התכללות</w:t>
      </w:r>
      <w:proofErr w:type="spellEnd"/>
      <w:r w:rsidRPr="00B46B4B">
        <w:rPr>
          <w:rFonts w:hint="cs"/>
          <w:rtl/>
        </w:rPr>
        <w:t xml:space="preserve"> </w:t>
      </w:r>
      <w:r w:rsidRPr="00B46B4B">
        <w:rPr>
          <w:rFonts w:hint="cs"/>
          <w:b/>
          <w:bCs/>
          <w:sz w:val="28"/>
          <w:szCs w:val="28"/>
          <w:rtl/>
        </w:rPr>
        <w:t>ז</w:t>
      </w:r>
      <w:r>
        <w:rPr>
          <w:rFonts w:hint="cs"/>
          <w:rtl/>
        </w:rPr>
        <w:t xml:space="preserve"> מדות הלב זו בזו.</w:t>
      </w:r>
      <w:r w:rsidRPr="00B46B4B">
        <w:rPr>
          <w:rFonts w:hint="cs"/>
          <w:rtl/>
        </w:rPr>
        <w:t xml:space="preserve"> </w:t>
      </w:r>
      <w:r>
        <w:rPr>
          <w:rFonts w:hint="cs"/>
          <w:rtl/>
        </w:rPr>
        <w:t>כדי להגיע למצב של אחד ממש זקוקים</w:t>
      </w:r>
      <w:r w:rsidRPr="00B46B4B">
        <w:rPr>
          <w:rFonts w:hint="cs"/>
          <w:rtl/>
        </w:rPr>
        <w:t xml:space="preserve"> </w:t>
      </w:r>
      <w:r>
        <w:rPr>
          <w:rFonts w:hint="cs"/>
          <w:rtl/>
        </w:rPr>
        <w:t>ל</w:t>
      </w:r>
      <w:r w:rsidRPr="00B46B4B">
        <w:rPr>
          <w:rFonts w:hint="cs"/>
          <w:rtl/>
        </w:rPr>
        <w:t xml:space="preserve">הזדהות מוחלטת ומלאה, הזדהות עצמית ולא רק </w:t>
      </w:r>
      <w:proofErr w:type="spellStart"/>
      <w:r w:rsidRPr="00B46B4B">
        <w:rPr>
          <w:rFonts w:hint="cs"/>
          <w:rtl/>
        </w:rPr>
        <w:t>התכללות</w:t>
      </w:r>
      <w:proofErr w:type="spellEnd"/>
      <w:r w:rsidRPr="00B46B4B">
        <w:rPr>
          <w:rFonts w:hint="cs"/>
          <w:rtl/>
        </w:rPr>
        <w:t xml:space="preserve"> של פרטים</w:t>
      </w:r>
      <w:r>
        <w:rPr>
          <w:rFonts w:hint="cs"/>
          <w:rtl/>
        </w:rPr>
        <w:t xml:space="preserve">. </w:t>
      </w:r>
      <w:proofErr w:type="spellStart"/>
      <w:r>
        <w:rPr>
          <w:rFonts w:hint="cs"/>
          <w:rtl/>
        </w:rPr>
        <w:t>חויה</w:t>
      </w:r>
      <w:proofErr w:type="spellEnd"/>
      <w:r>
        <w:rPr>
          <w:rFonts w:hint="cs"/>
          <w:rtl/>
        </w:rPr>
        <w:t xml:space="preserve"> זו תלויה</w:t>
      </w:r>
      <w:r w:rsidRPr="00B46B4B">
        <w:rPr>
          <w:rFonts w:hint="cs"/>
          <w:rtl/>
        </w:rPr>
        <w:t xml:space="preserve"> </w:t>
      </w:r>
      <w:proofErr w:type="spellStart"/>
      <w:r>
        <w:rPr>
          <w:rFonts w:hint="cs"/>
          <w:rtl/>
        </w:rPr>
        <w:t>במוחין</w:t>
      </w:r>
      <w:proofErr w:type="spellEnd"/>
      <w:r>
        <w:rPr>
          <w:rFonts w:hint="cs"/>
          <w:rtl/>
        </w:rPr>
        <w:t xml:space="preserve"> </w:t>
      </w:r>
      <w:proofErr w:type="spellStart"/>
      <w:r>
        <w:rPr>
          <w:rFonts w:hint="cs"/>
          <w:rtl/>
        </w:rPr>
        <w:t>דאבא</w:t>
      </w:r>
      <w:proofErr w:type="spellEnd"/>
      <w:r>
        <w:rPr>
          <w:rFonts w:hint="cs"/>
          <w:rtl/>
        </w:rPr>
        <w:t xml:space="preserve"> </w:t>
      </w:r>
      <w:r>
        <w:rPr>
          <w:rtl/>
        </w:rPr>
        <w:t>–</w:t>
      </w:r>
      <w:r>
        <w:rPr>
          <w:rFonts w:hint="cs"/>
          <w:rtl/>
        </w:rPr>
        <w:t xml:space="preserve"> </w:t>
      </w:r>
      <w:r w:rsidRPr="00B46B4B">
        <w:rPr>
          <w:rFonts w:hint="cs"/>
          <w:rtl/>
        </w:rPr>
        <w:t>מח החכמה, הקולע לנקודת העצם, שהוא הכלי להתגלות "אחד האמת"</w:t>
      </w:r>
      <w:r w:rsidRPr="00967301">
        <w:rPr>
          <w:rStyle w:val="a8"/>
          <w:rtl/>
        </w:rPr>
        <w:fldChar w:fldCharType="begin"/>
      </w:r>
      <w:r w:rsidRPr="00967301">
        <w:rPr>
          <w:rStyle w:val="a8"/>
          <w:rtl/>
        </w:rPr>
        <w:instrText xml:space="preserve"> </w:instrText>
      </w:r>
      <w:r w:rsidRPr="00967301">
        <w:rPr>
          <w:rStyle w:val="a8"/>
          <w:rFonts w:hint="cs"/>
        </w:rPr>
        <w:instrText>NOTEREF</w:instrText>
      </w:r>
      <w:r w:rsidRPr="00967301">
        <w:rPr>
          <w:rStyle w:val="a8"/>
          <w:rFonts w:hint="cs"/>
          <w:rtl/>
        </w:rPr>
        <w:instrText xml:space="preserve"> _</w:instrText>
      </w:r>
      <w:r w:rsidRPr="00967301">
        <w:rPr>
          <w:rStyle w:val="a8"/>
          <w:rFonts w:hint="cs"/>
        </w:rPr>
        <w:instrText>Ref188261728 \h</w:instrText>
      </w:r>
      <w:r w:rsidRPr="00967301">
        <w:rPr>
          <w:rStyle w:val="a8"/>
          <w:rtl/>
        </w:rPr>
        <w:instrText xml:space="preserve"> </w:instrText>
      </w:r>
      <w:r w:rsidRPr="00967301">
        <w:rPr>
          <w:rStyle w:val="a8"/>
        </w:rPr>
      </w:r>
      <w:r>
        <w:rPr>
          <w:rStyle w:val="a8"/>
        </w:rPr>
        <w:instrText xml:space="preserve"> \* MERGEFORMAT </w:instrText>
      </w:r>
      <w:r w:rsidRPr="00967301">
        <w:rPr>
          <w:rStyle w:val="a8"/>
          <w:rtl/>
        </w:rPr>
        <w:fldChar w:fldCharType="separate"/>
      </w:r>
      <w:r>
        <w:rPr>
          <w:rStyle w:val="a8"/>
          <w:rtl/>
        </w:rPr>
        <w:t>ג</w:t>
      </w:r>
      <w:r w:rsidRPr="00967301">
        <w:rPr>
          <w:rStyle w:val="a8"/>
          <w:rtl/>
        </w:rPr>
        <w:fldChar w:fldCharType="end"/>
      </w:r>
      <w:r w:rsidRPr="00B46B4B">
        <w:rPr>
          <w:rFonts w:hint="cs"/>
          <w:rtl/>
        </w:rPr>
        <w:t xml:space="preserve">. </w:t>
      </w:r>
    </w:p>
    <w:p w:rsidR="00B745DC" w:rsidRPr="00B46B4B" w:rsidRDefault="00B745DC" w:rsidP="00B745DC">
      <w:pPr>
        <w:rPr>
          <w:rFonts w:hint="cs"/>
          <w:rtl/>
        </w:rPr>
      </w:pPr>
      <w:r w:rsidRPr="00B46B4B">
        <w:rPr>
          <w:rFonts w:hint="cs"/>
          <w:rtl/>
        </w:rPr>
        <w:t xml:space="preserve">בתהליך ההתבגרות, </w:t>
      </w:r>
      <w:proofErr w:type="spellStart"/>
      <w:r w:rsidRPr="00B46B4B">
        <w:rPr>
          <w:rFonts w:hint="cs"/>
          <w:rtl/>
        </w:rPr>
        <w:t>למוחין</w:t>
      </w:r>
      <w:proofErr w:type="spellEnd"/>
      <w:r w:rsidRPr="00B46B4B">
        <w:rPr>
          <w:rFonts w:hint="cs"/>
          <w:rtl/>
        </w:rPr>
        <w:t xml:space="preserve"> </w:t>
      </w:r>
      <w:proofErr w:type="spellStart"/>
      <w:r w:rsidRPr="00B46B4B">
        <w:rPr>
          <w:rFonts w:hint="cs"/>
          <w:rtl/>
        </w:rPr>
        <w:t>דאמא</w:t>
      </w:r>
      <w:proofErr w:type="spellEnd"/>
      <w:r w:rsidRPr="00B46B4B">
        <w:rPr>
          <w:rFonts w:hint="cs"/>
          <w:rtl/>
        </w:rPr>
        <w:t xml:space="preserve"> זוכים בגיל בר מצוה, ואילו מוחין </w:t>
      </w:r>
      <w:proofErr w:type="spellStart"/>
      <w:r w:rsidRPr="00B46B4B">
        <w:rPr>
          <w:rFonts w:hint="cs"/>
          <w:rtl/>
        </w:rPr>
        <w:t>דאבא</w:t>
      </w:r>
      <w:proofErr w:type="spellEnd"/>
      <w:r w:rsidRPr="00B46B4B">
        <w:rPr>
          <w:rFonts w:hint="cs"/>
          <w:rtl/>
        </w:rPr>
        <w:t xml:space="preserve"> נשלמים רק בגיל עשרים</w:t>
      </w:r>
      <w:bookmarkStart w:id="3" w:name="_Ref187926565"/>
      <w:r w:rsidRPr="00C37DFC">
        <w:rPr>
          <w:rStyle w:val="a8"/>
          <w:rtl/>
        </w:rPr>
        <w:endnoteReference w:id="16"/>
      </w:r>
      <w:bookmarkEnd w:id="3"/>
      <w:r w:rsidRPr="00B46B4B">
        <w:rPr>
          <w:rFonts w:hint="cs"/>
          <w:rtl/>
        </w:rPr>
        <w:t xml:space="preserve">. </w:t>
      </w:r>
      <w:proofErr w:type="spellStart"/>
      <w:r w:rsidRPr="00B46B4B">
        <w:rPr>
          <w:rFonts w:hint="cs"/>
          <w:rtl/>
        </w:rPr>
        <w:t>מכיון</w:t>
      </w:r>
      <w:proofErr w:type="spellEnd"/>
      <w:r w:rsidRPr="00B46B4B">
        <w:rPr>
          <w:rFonts w:hint="cs"/>
          <w:rtl/>
        </w:rPr>
        <w:t xml:space="preserve"> שקשר נישואין עמוק </w:t>
      </w:r>
      <w:r w:rsidRPr="00B46B4B">
        <w:rPr>
          <w:rtl/>
        </w:rPr>
        <w:t>–</w:t>
      </w:r>
      <w:r w:rsidRPr="00B46B4B">
        <w:rPr>
          <w:rFonts w:hint="cs"/>
          <w:rtl/>
        </w:rPr>
        <w:t xml:space="preserve"> בדרגות יחד ואחד </w:t>
      </w:r>
      <w:r w:rsidRPr="00B46B4B">
        <w:rPr>
          <w:rtl/>
        </w:rPr>
        <w:t>–</w:t>
      </w:r>
      <w:r w:rsidRPr="00B46B4B">
        <w:rPr>
          <w:rFonts w:hint="cs"/>
          <w:rtl/>
        </w:rPr>
        <w:t xml:space="preserve"> מושתת על מוחין, ניתן להתחתן מגיל בר מצוה (כניסת מוחין </w:t>
      </w:r>
      <w:proofErr w:type="spellStart"/>
      <w:r w:rsidRPr="00B46B4B">
        <w:rPr>
          <w:rFonts w:hint="cs"/>
          <w:rtl/>
        </w:rPr>
        <w:t>דאמא</w:t>
      </w:r>
      <w:proofErr w:type="spellEnd"/>
      <w:r w:rsidRPr="00B46B4B">
        <w:rPr>
          <w:rFonts w:hint="cs"/>
          <w:rtl/>
        </w:rPr>
        <w:t>) ויש להתחתן לפני גיל עשרים</w:t>
      </w:r>
      <w:r w:rsidRPr="00C37DFC">
        <w:rPr>
          <w:rStyle w:val="a8"/>
          <w:rtl/>
        </w:rPr>
        <w:endnoteReference w:id="17"/>
      </w:r>
      <w:r w:rsidRPr="00B46B4B">
        <w:rPr>
          <w:rFonts w:hint="cs"/>
          <w:rtl/>
        </w:rPr>
        <w:t xml:space="preserve"> (כניסת </w:t>
      </w:r>
      <w:r>
        <w:rPr>
          <w:rFonts w:hint="cs"/>
          <w:rtl/>
        </w:rPr>
        <w:t xml:space="preserve">מוחין </w:t>
      </w:r>
      <w:proofErr w:type="spellStart"/>
      <w:r>
        <w:rPr>
          <w:rFonts w:hint="cs"/>
          <w:rtl/>
        </w:rPr>
        <w:t>דאבא</w:t>
      </w:r>
      <w:proofErr w:type="spellEnd"/>
      <w:r>
        <w:rPr>
          <w:rFonts w:hint="cs"/>
          <w:rtl/>
        </w:rPr>
        <w:t>). בהקשר זה אמור</w:t>
      </w:r>
      <w:r w:rsidRPr="00B46B4B">
        <w:rPr>
          <w:rFonts w:hint="cs"/>
          <w:rtl/>
        </w:rPr>
        <w:t xml:space="preserve"> כי "בן שמונה עשרה לחופה" נקבע משום שגיל זה כבר סמוך לסיום כניסת מוחין </w:t>
      </w:r>
      <w:proofErr w:type="spellStart"/>
      <w:r w:rsidRPr="00B46B4B">
        <w:rPr>
          <w:rFonts w:hint="cs"/>
          <w:rtl/>
        </w:rPr>
        <w:t>דאבא</w:t>
      </w:r>
      <w:proofErr w:type="spellEnd"/>
      <w:r w:rsidRPr="00B46B4B">
        <w:rPr>
          <w:rFonts w:hint="cs"/>
          <w:rtl/>
        </w:rPr>
        <w:t xml:space="preserve">, ועל דרך זה יש לפרש כי השאת הבנים והבנות סמוך לפרקן (לפי הפירוש הנ"ל, כי המדובר הוא בשנה שלפני גיל בר/בת מצוה) היא משום שגיל זה כבר סמוך לסיום כניסת מוחין </w:t>
      </w:r>
      <w:proofErr w:type="spellStart"/>
      <w:r w:rsidRPr="00B46B4B">
        <w:rPr>
          <w:rFonts w:hint="cs"/>
          <w:rtl/>
        </w:rPr>
        <w:t>דאמא</w:t>
      </w:r>
      <w:proofErr w:type="spellEnd"/>
      <w:r w:rsidRPr="00B46B4B">
        <w:rPr>
          <w:rFonts w:hint="cs"/>
          <w:rtl/>
        </w:rPr>
        <w:t>.</w:t>
      </w:r>
    </w:p>
    <w:p w:rsidR="00B745DC" w:rsidRPr="00B46B4B" w:rsidRDefault="00B745DC" w:rsidP="00B745DC">
      <w:pPr>
        <w:rPr>
          <w:rFonts w:hint="cs"/>
          <w:rtl/>
        </w:rPr>
      </w:pPr>
      <w:r w:rsidRPr="00B46B4B">
        <w:rPr>
          <w:rFonts w:hint="cs"/>
          <w:rtl/>
        </w:rPr>
        <w:t>והנה, על פי המבואר עד כה יעלו הדברים כפתור ופרח: הנישואין שנה לפני גיל בר מצוה הם מתוך מודעות לכך שממילא השנה הראשונה, על כל דיני "נקי יהיה לביתו שנה אחת וש</w:t>
      </w:r>
      <w:r>
        <w:rPr>
          <w:rFonts w:hint="cs"/>
          <w:rtl/>
        </w:rPr>
        <w:t>ִ</w:t>
      </w:r>
      <w:r w:rsidRPr="00B46B4B">
        <w:rPr>
          <w:rFonts w:hint="cs"/>
          <w:rtl/>
        </w:rPr>
        <w:t>מח את אשתו אשר לקח"</w:t>
      </w:r>
      <w:r w:rsidRPr="00C37DFC">
        <w:rPr>
          <w:rStyle w:val="a8"/>
          <w:rtl/>
        </w:rPr>
        <w:endnoteReference w:id="18"/>
      </w:r>
      <w:r w:rsidRPr="00B46B4B">
        <w:rPr>
          <w:rFonts w:hint="cs"/>
          <w:rtl/>
        </w:rPr>
        <w:t xml:space="preserve">, מוקדשת אך ורק </w:t>
      </w:r>
      <w:proofErr w:type="spellStart"/>
      <w:r w:rsidRPr="00B46B4B">
        <w:rPr>
          <w:rFonts w:hint="cs"/>
          <w:rtl/>
        </w:rPr>
        <w:t>לבנין</w:t>
      </w:r>
      <w:proofErr w:type="spellEnd"/>
      <w:r w:rsidRPr="00B46B4B">
        <w:rPr>
          <w:rFonts w:hint="cs"/>
          <w:rtl/>
        </w:rPr>
        <w:t xml:space="preserve"> היחס </w:t>
      </w:r>
      <w:r w:rsidRPr="00B46B4B">
        <w:rPr>
          <w:rtl/>
        </w:rPr>
        <w:t>–</w:t>
      </w:r>
      <w:r w:rsidRPr="00B46B4B">
        <w:rPr>
          <w:rFonts w:hint="cs"/>
          <w:rtl/>
        </w:rPr>
        <w:t xml:space="preserve"> הקומה הראשונה של הנישואין</w:t>
      </w:r>
      <w:r w:rsidRPr="00C37DFC">
        <w:rPr>
          <w:rStyle w:val="a8"/>
          <w:rtl/>
        </w:rPr>
        <w:endnoteReference w:id="19"/>
      </w:r>
      <w:r w:rsidRPr="00B46B4B">
        <w:rPr>
          <w:rFonts w:hint="cs"/>
          <w:rtl/>
        </w:rPr>
        <w:t>. אחרי שנה של ב</w:t>
      </w:r>
      <w:r>
        <w:rPr>
          <w:rFonts w:hint="cs"/>
          <w:rtl/>
        </w:rPr>
        <w:t>נין היחס</w:t>
      </w:r>
      <w:r w:rsidRPr="00B46B4B">
        <w:rPr>
          <w:rFonts w:hint="cs"/>
          <w:rtl/>
        </w:rPr>
        <w:t>, בו יכולים לעסוק</w:t>
      </w:r>
      <w:r>
        <w:rPr>
          <w:rFonts w:hint="cs"/>
          <w:rtl/>
        </w:rPr>
        <w:t>, באופן ילדותי,</w:t>
      </w:r>
      <w:r w:rsidRPr="00B46B4B">
        <w:rPr>
          <w:rFonts w:hint="cs"/>
          <w:rtl/>
        </w:rPr>
        <w:t xml:space="preserve"> גם ילד וילדה בשנה הסמוכה לגיל מצו</w:t>
      </w:r>
      <w:r>
        <w:rPr>
          <w:rFonts w:hint="cs"/>
          <w:rtl/>
        </w:rPr>
        <w:t>ו</w:t>
      </w:r>
      <w:r w:rsidRPr="00B46B4B">
        <w:rPr>
          <w:rFonts w:hint="cs"/>
          <w:rtl/>
        </w:rPr>
        <w:t xml:space="preserve">ת, יגיעו </w:t>
      </w:r>
      <w:r>
        <w:rPr>
          <w:rFonts w:hint="cs"/>
          <w:rtl/>
        </w:rPr>
        <w:t>בני הזוג לגיל בו אפשר</w:t>
      </w:r>
      <w:r w:rsidRPr="00B46B4B">
        <w:rPr>
          <w:rFonts w:hint="cs"/>
          <w:rtl/>
        </w:rPr>
        <w:t xml:space="preserve"> להתקדם לקשר של יחד (כאשר המניע של הצלה מיצר הרע מכריע כי ניתן להסתפק תקופה ארוכה יותר בקשר של יחד, בטרם שמתקדמים לקשר של אחד). לעומת זאת, כשמתחתנים בסמיכות לגיל עשרים </w:t>
      </w:r>
      <w:r w:rsidRPr="00B46B4B">
        <w:rPr>
          <w:rtl/>
        </w:rPr>
        <w:t>–</w:t>
      </w:r>
      <w:r w:rsidRPr="00B46B4B">
        <w:rPr>
          <w:rFonts w:hint="cs"/>
          <w:rtl/>
        </w:rPr>
        <w:t xml:space="preserve"> בו ניתן </w:t>
      </w:r>
      <w:r>
        <w:rPr>
          <w:rFonts w:hint="cs"/>
          <w:rtl/>
        </w:rPr>
        <w:t xml:space="preserve">כבר </w:t>
      </w:r>
      <w:r w:rsidRPr="00B46B4B">
        <w:rPr>
          <w:rFonts w:hint="cs"/>
          <w:rtl/>
        </w:rPr>
        <w:t xml:space="preserve">להתקדם לקשר של אחד </w:t>
      </w:r>
      <w:r w:rsidRPr="00B46B4B">
        <w:rPr>
          <w:rtl/>
        </w:rPr>
        <w:t>–</w:t>
      </w:r>
      <w:r w:rsidRPr="00B46B4B">
        <w:rPr>
          <w:rFonts w:hint="cs"/>
          <w:rtl/>
        </w:rPr>
        <w:t xml:space="preserve"> יש לעשות זאת שנתיים קודם, כדי לתת שנה </w:t>
      </w:r>
      <w:proofErr w:type="spellStart"/>
      <w:r w:rsidRPr="00B46B4B">
        <w:rPr>
          <w:rFonts w:hint="cs"/>
          <w:rtl/>
        </w:rPr>
        <w:t>לבנין</w:t>
      </w:r>
      <w:proofErr w:type="spellEnd"/>
      <w:r w:rsidRPr="00B46B4B">
        <w:rPr>
          <w:rFonts w:hint="cs"/>
          <w:rtl/>
        </w:rPr>
        <w:t xml:space="preserve"> היחס ושנה </w:t>
      </w:r>
      <w:proofErr w:type="spellStart"/>
      <w:r w:rsidRPr="00B46B4B">
        <w:rPr>
          <w:rFonts w:hint="cs"/>
          <w:rtl/>
        </w:rPr>
        <w:t>לבנין</w:t>
      </w:r>
      <w:proofErr w:type="spellEnd"/>
      <w:r w:rsidRPr="00B46B4B">
        <w:rPr>
          <w:rFonts w:hint="cs"/>
          <w:rtl/>
        </w:rPr>
        <w:t xml:space="preserve"> </w:t>
      </w:r>
      <w:proofErr w:type="spellStart"/>
      <w:r w:rsidRPr="00B46B4B">
        <w:rPr>
          <w:rFonts w:hint="cs"/>
          <w:rtl/>
        </w:rPr>
        <w:t>היחד</w:t>
      </w:r>
      <w:proofErr w:type="spellEnd"/>
      <w:r>
        <w:rPr>
          <w:rFonts w:hint="cs"/>
          <w:rtl/>
        </w:rPr>
        <w:t>, ו</w:t>
      </w:r>
      <w:r w:rsidRPr="00B46B4B">
        <w:rPr>
          <w:rFonts w:hint="cs"/>
          <w:rtl/>
        </w:rPr>
        <w:t>על גביהם יבוא הקשר של אחד ממש</w:t>
      </w:r>
      <w:bookmarkStart w:id="4" w:name="_Ref187926731"/>
      <w:r w:rsidRPr="00C37DFC">
        <w:rPr>
          <w:rStyle w:val="a8"/>
          <w:rtl/>
        </w:rPr>
        <w:endnoteReference w:id="20"/>
      </w:r>
      <w:bookmarkEnd w:id="4"/>
      <w:r w:rsidRPr="00B46B4B">
        <w:rPr>
          <w:rFonts w:hint="cs"/>
          <w:rtl/>
        </w:rPr>
        <w:t>.</w:t>
      </w:r>
    </w:p>
    <w:p w:rsidR="005F4A47" w:rsidRDefault="00195824">
      <w:bookmarkStart w:id="5" w:name="_GoBack"/>
      <w:bookmarkEnd w:id="5"/>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824" w:rsidRDefault="00195824" w:rsidP="00B745DC">
      <w:pPr>
        <w:spacing w:after="0" w:line="240" w:lineRule="auto"/>
      </w:pPr>
      <w:r>
        <w:separator/>
      </w:r>
    </w:p>
  </w:endnote>
  <w:endnote w:type="continuationSeparator" w:id="0">
    <w:p w:rsidR="00195824" w:rsidRDefault="00195824" w:rsidP="00B745DC">
      <w:pPr>
        <w:spacing w:after="0" w:line="240" w:lineRule="auto"/>
      </w:pPr>
      <w:r>
        <w:continuationSeparator/>
      </w:r>
    </w:p>
  </w:endnote>
  <w:endnote w:id="1">
    <w:p w:rsidR="00B745DC" w:rsidRDefault="00B745DC" w:rsidP="00B745DC">
      <w:pPr>
        <w:pStyle w:val="a6"/>
        <w:rPr>
          <w:rFonts w:hint="cs"/>
          <w:rtl/>
        </w:rPr>
      </w:pPr>
      <w:r>
        <w:rPr>
          <w:rtl/>
        </w:rPr>
        <w:tab/>
      </w:r>
      <w:r w:rsidRPr="00330483">
        <w:rPr>
          <w:rtl/>
        </w:rPr>
        <w:endnoteRef/>
      </w:r>
      <w:r>
        <w:rPr>
          <w:rtl/>
        </w:rPr>
        <w:t>.</w:t>
      </w:r>
      <w:r>
        <w:rPr>
          <w:rtl/>
        </w:rPr>
        <w:tab/>
      </w:r>
      <w:r>
        <w:rPr>
          <w:rFonts w:hint="cs"/>
          <w:rtl/>
        </w:rPr>
        <w:t>איוב ה, כד.</w:t>
      </w:r>
    </w:p>
  </w:endnote>
  <w:endnote w:id="2">
    <w:p w:rsidR="00B745DC" w:rsidRDefault="00B745DC" w:rsidP="00B745DC">
      <w:pPr>
        <w:pStyle w:val="a6"/>
        <w:rPr>
          <w:rFonts w:hint="cs"/>
          <w:rtl/>
        </w:rPr>
      </w:pPr>
      <w:r>
        <w:rPr>
          <w:rtl/>
        </w:rPr>
        <w:tab/>
      </w:r>
      <w:r w:rsidRPr="00330483">
        <w:rPr>
          <w:rtl/>
        </w:rPr>
        <w:endnoteRef/>
      </w:r>
      <w:r>
        <w:rPr>
          <w:rtl/>
        </w:rPr>
        <w:t>.</w:t>
      </w:r>
      <w:r>
        <w:rPr>
          <w:rtl/>
        </w:rPr>
        <w:tab/>
      </w:r>
      <w:r>
        <w:rPr>
          <w:rFonts w:hint="cs"/>
          <w:rtl/>
        </w:rPr>
        <w:t xml:space="preserve">יבמות סב, ב. סנהדרין </w:t>
      </w:r>
      <w:proofErr w:type="spellStart"/>
      <w:r>
        <w:rPr>
          <w:rFonts w:hint="cs"/>
          <w:rtl/>
        </w:rPr>
        <w:t>עו</w:t>
      </w:r>
      <w:proofErr w:type="spellEnd"/>
      <w:r>
        <w:rPr>
          <w:rFonts w:hint="cs"/>
          <w:rtl/>
        </w:rPr>
        <w:t>, ב.</w:t>
      </w:r>
    </w:p>
  </w:endnote>
  <w:endnote w:id="3">
    <w:p w:rsidR="00B745DC" w:rsidRDefault="00B745DC" w:rsidP="00B745DC">
      <w:pPr>
        <w:pStyle w:val="a6"/>
        <w:rPr>
          <w:rFonts w:hint="cs"/>
          <w:rtl/>
        </w:rPr>
      </w:pPr>
      <w:r>
        <w:rPr>
          <w:rtl/>
        </w:rPr>
        <w:tab/>
      </w:r>
      <w:r w:rsidRPr="00330483">
        <w:rPr>
          <w:rtl/>
        </w:rPr>
        <w:endnoteRef/>
      </w:r>
      <w:r>
        <w:rPr>
          <w:rtl/>
        </w:rPr>
        <w:t>.</w:t>
      </w:r>
      <w:r>
        <w:rPr>
          <w:rtl/>
        </w:rPr>
        <w:tab/>
      </w:r>
      <w:r>
        <w:rPr>
          <w:rFonts w:hint="cs"/>
          <w:rtl/>
        </w:rPr>
        <w:t xml:space="preserve">ראה הגהה </w:t>
      </w:r>
      <w:proofErr w:type="spellStart"/>
      <w:r>
        <w:rPr>
          <w:rFonts w:hint="cs"/>
          <w:rtl/>
        </w:rPr>
        <w:t>לתניא</w:t>
      </w:r>
      <w:proofErr w:type="spellEnd"/>
      <w:r>
        <w:rPr>
          <w:rFonts w:hint="cs"/>
          <w:rtl/>
        </w:rPr>
        <w:t xml:space="preserve"> </w:t>
      </w:r>
      <w:proofErr w:type="spellStart"/>
      <w:r>
        <w:rPr>
          <w:rFonts w:hint="cs"/>
          <w:rtl/>
        </w:rPr>
        <w:t>פל"ה</w:t>
      </w:r>
      <w:proofErr w:type="spellEnd"/>
      <w:r>
        <w:rPr>
          <w:rFonts w:hint="cs"/>
          <w:rtl/>
        </w:rPr>
        <w:t xml:space="preserve"> בשם הרב המגיד </w:t>
      </w:r>
      <w:proofErr w:type="spellStart"/>
      <w:r>
        <w:rPr>
          <w:rFonts w:hint="cs"/>
          <w:rtl/>
        </w:rPr>
        <w:t>ממעזריטש</w:t>
      </w:r>
      <w:proofErr w:type="spellEnd"/>
      <w:r>
        <w:rPr>
          <w:rFonts w:hint="cs"/>
          <w:rtl/>
        </w:rPr>
        <w:t xml:space="preserve"> נ"ע.</w:t>
      </w:r>
    </w:p>
  </w:endnote>
  <w:endnote w:id="4">
    <w:p w:rsidR="00B745DC" w:rsidRDefault="00B745DC" w:rsidP="00B745DC">
      <w:pPr>
        <w:pStyle w:val="a6"/>
        <w:rPr>
          <w:rFonts w:hint="cs"/>
          <w:rtl/>
        </w:rPr>
      </w:pPr>
      <w:r>
        <w:rPr>
          <w:rtl/>
        </w:rPr>
        <w:tab/>
      </w:r>
      <w:r w:rsidRPr="00330483">
        <w:rPr>
          <w:rtl/>
        </w:rPr>
        <w:endnoteRef/>
      </w:r>
      <w:r>
        <w:rPr>
          <w:rtl/>
        </w:rPr>
        <w:t>.</w:t>
      </w:r>
      <w:r>
        <w:rPr>
          <w:rtl/>
        </w:rPr>
        <w:tab/>
      </w:r>
      <w:r>
        <w:rPr>
          <w:rFonts w:hint="cs"/>
          <w:rtl/>
        </w:rPr>
        <w:t>אבות פ"ב מ"א.</w:t>
      </w:r>
    </w:p>
  </w:endnote>
  <w:endnote w:id="5">
    <w:p w:rsidR="00B745DC" w:rsidRDefault="00B745DC" w:rsidP="00B745DC">
      <w:pPr>
        <w:pStyle w:val="a6"/>
        <w:rPr>
          <w:rFonts w:hint="cs"/>
          <w:rtl/>
        </w:rPr>
      </w:pPr>
      <w:r>
        <w:rPr>
          <w:rtl/>
        </w:rPr>
        <w:tab/>
      </w:r>
      <w:r w:rsidRPr="00330483">
        <w:rPr>
          <w:rtl/>
        </w:rPr>
        <w:endnoteRef/>
      </w:r>
      <w:r>
        <w:rPr>
          <w:rtl/>
        </w:rPr>
        <w:t>.</w:t>
      </w:r>
      <w:r>
        <w:rPr>
          <w:rtl/>
        </w:rPr>
        <w:tab/>
      </w:r>
      <w:r>
        <w:rPr>
          <w:rFonts w:hint="cs"/>
          <w:rtl/>
        </w:rPr>
        <w:t xml:space="preserve">ראה זהר ח"א מח, ב (ובכ"ד): "'שמור' </w:t>
      </w:r>
      <w:proofErr w:type="spellStart"/>
      <w:r>
        <w:rPr>
          <w:rFonts w:hint="cs"/>
          <w:rtl/>
        </w:rPr>
        <w:t>לנוקבא</w:t>
      </w:r>
      <w:proofErr w:type="spellEnd"/>
      <w:r>
        <w:rPr>
          <w:rFonts w:hint="cs"/>
          <w:rtl/>
        </w:rPr>
        <w:t>" (וראה גם סנהדרין קב, ב).</w:t>
      </w:r>
    </w:p>
  </w:endnote>
  <w:endnote w:id="6">
    <w:p w:rsidR="00B745DC" w:rsidRDefault="00B745DC" w:rsidP="00B745DC">
      <w:pPr>
        <w:pStyle w:val="a6"/>
        <w:rPr>
          <w:rFonts w:hint="cs"/>
          <w:rtl/>
        </w:rPr>
      </w:pPr>
      <w:r>
        <w:rPr>
          <w:rtl/>
        </w:rPr>
        <w:tab/>
      </w:r>
      <w:r w:rsidRPr="00330483">
        <w:rPr>
          <w:rtl/>
        </w:rPr>
        <w:endnoteRef/>
      </w:r>
      <w:r>
        <w:rPr>
          <w:rtl/>
        </w:rPr>
        <w:t>.</w:t>
      </w:r>
      <w:r>
        <w:rPr>
          <w:rtl/>
        </w:rPr>
        <w:tab/>
      </w:r>
      <w:r>
        <w:rPr>
          <w:rFonts w:hint="cs"/>
          <w:rtl/>
        </w:rPr>
        <w:t>בסנהדרין.</w:t>
      </w:r>
    </w:p>
  </w:endnote>
  <w:endnote w:id="7">
    <w:p w:rsidR="00B745DC" w:rsidRDefault="00B745DC" w:rsidP="00B745DC">
      <w:pPr>
        <w:pStyle w:val="a6"/>
        <w:rPr>
          <w:rFonts w:hint="cs"/>
          <w:rtl/>
        </w:rPr>
      </w:pPr>
      <w:r>
        <w:rPr>
          <w:rtl/>
        </w:rPr>
        <w:tab/>
      </w:r>
      <w:r w:rsidRPr="00330483">
        <w:rPr>
          <w:rtl/>
        </w:rPr>
        <w:endnoteRef/>
      </w:r>
      <w:r>
        <w:rPr>
          <w:rtl/>
        </w:rPr>
        <w:t>.</w:t>
      </w:r>
      <w:r>
        <w:rPr>
          <w:rtl/>
        </w:rPr>
        <w:tab/>
      </w:r>
      <w:r>
        <w:rPr>
          <w:rFonts w:hint="cs"/>
          <w:rtl/>
        </w:rPr>
        <w:t>אבות פ"ה מכ"ב.</w:t>
      </w:r>
    </w:p>
  </w:endnote>
  <w:endnote w:id="8">
    <w:p w:rsidR="00B745DC" w:rsidRDefault="00B745DC" w:rsidP="00B745DC">
      <w:pPr>
        <w:pStyle w:val="a6"/>
        <w:rPr>
          <w:rFonts w:hint="cs"/>
          <w:rtl/>
        </w:rPr>
      </w:pPr>
      <w:r>
        <w:rPr>
          <w:rtl/>
        </w:rPr>
        <w:tab/>
      </w:r>
      <w:r w:rsidRPr="00330483">
        <w:rPr>
          <w:rtl/>
        </w:rPr>
        <w:endnoteRef/>
      </w:r>
      <w:r>
        <w:rPr>
          <w:rtl/>
        </w:rPr>
        <w:t>.</w:t>
      </w:r>
      <w:r>
        <w:rPr>
          <w:rtl/>
        </w:rPr>
        <w:tab/>
      </w:r>
      <w:r>
        <w:rPr>
          <w:rFonts w:hint="cs"/>
          <w:rtl/>
        </w:rPr>
        <w:t xml:space="preserve">ראה קידושין </w:t>
      </w:r>
      <w:proofErr w:type="spellStart"/>
      <w:r>
        <w:rPr>
          <w:rFonts w:hint="cs"/>
          <w:rtl/>
        </w:rPr>
        <w:t>כט</w:t>
      </w:r>
      <w:proofErr w:type="spellEnd"/>
      <w:r>
        <w:rPr>
          <w:rFonts w:hint="cs"/>
          <w:rtl/>
        </w:rPr>
        <w:t>, ב ואילך.</w:t>
      </w:r>
    </w:p>
  </w:endnote>
  <w:endnote w:id="9">
    <w:p w:rsidR="00B745DC" w:rsidRDefault="00B745DC" w:rsidP="00B745DC">
      <w:pPr>
        <w:pStyle w:val="a6"/>
        <w:rPr>
          <w:rFonts w:hint="cs"/>
          <w:rtl/>
        </w:rPr>
      </w:pPr>
      <w:r>
        <w:rPr>
          <w:rtl/>
        </w:rPr>
        <w:tab/>
      </w:r>
      <w:r w:rsidRPr="00330483">
        <w:rPr>
          <w:rtl/>
        </w:rPr>
        <w:endnoteRef/>
      </w:r>
      <w:r>
        <w:rPr>
          <w:rtl/>
        </w:rPr>
        <w:t>.</w:t>
      </w:r>
      <w:r>
        <w:rPr>
          <w:rtl/>
        </w:rPr>
        <w:tab/>
      </w:r>
      <w:proofErr w:type="spellStart"/>
      <w:r>
        <w:rPr>
          <w:rFonts w:hint="cs"/>
          <w:rtl/>
        </w:rPr>
        <w:t>בסוגיא</w:t>
      </w:r>
      <w:proofErr w:type="spellEnd"/>
      <w:r>
        <w:rPr>
          <w:rFonts w:hint="cs"/>
          <w:rtl/>
        </w:rPr>
        <w:t xml:space="preserve"> המקבילה בסנהדרין </w:t>
      </w:r>
      <w:proofErr w:type="spellStart"/>
      <w:r>
        <w:rPr>
          <w:rFonts w:hint="cs"/>
          <w:rtl/>
        </w:rPr>
        <w:t>עו</w:t>
      </w:r>
      <w:proofErr w:type="spellEnd"/>
      <w:r>
        <w:rPr>
          <w:rFonts w:hint="cs"/>
          <w:rtl/>
        </w:rPr>
        <w:t>, ב.</w:t>
      </w:r>
    </w:p>
  </w:endnote>
  <w:endnote w:id="10">
    <w:p w:rsidR="00B745DC" w:rsidRDefault="00B745DC" w:rsidP="00B745DC">
      <w:pPr>
        <w:pStyle w:val="a6"/>
        <w:rPr>
          <w:rFonts w:hint="cs"/>
        </w:rPr>
      </w:pPr>
      <w:r>
        <w:rPr>
          <w:rtl/>
        </w:rPr>
        <w:tab/>
      </w:r>
      <w:r w:rsidRPr="00330483">
        <w:rPr>
          <w:rtl/>
        </w:rPr>
        <w:endnoteRef/>
      </w:r>
      <w:r>
        <w:rPr>
          <w:rtl/>
        </w:rPr>
        <w:t>.</w:t>
      </w:r>
      <w:r>
        <w:rPr>
          <w:rtl/>
        </w:rPr>
        <w:tab/>
      </w:r>
      <w:r>
        <w:rPr>
          <w:rFonts w:hint="cs"/>
          <w:rtl/>
        </w:rPr>
        <w:t>בסנהדרין וביבמות.</w:t>
      </w:r>
    </w:p>
  </w:endnote>
  <w:endnote w:id="11">
    <w:p w:rsidR="00B745DC" w:rsidRDefault="00B745DC" w:rsidP="00B745DC">
      <w:pPr>
        <w:pStyle w:val="a6"/>
        <w:rPr>
          <w:rFonts w:hint="cs"/>
        </w:rPr>
      </w:pPr>
      <w:r>
        <w:rPr>
          <w:rtl/>
        </w:rPr>
        <w:tab/>
      </w:r>
      <w:r w:rsidRPr="00330483">
        <w:rPr>
          <w:rtl/>
        </w:rPr>
        <w:endnoteRef/>
      </w:r>
      <w:r>
        <w:rPr>
          <w:rtl/>
        </w:rPr>
        <w:t>.</w:t>
      </w:r>
      <w:r>
        <w:rPr>
          <w:rtl/>
        </w:rPr>
        <w:tab/>
      </w:r>
      <w:r>
        <w:rPr>
          <w:rFonts w:hint="cs"/>
          <w:rtl/>
        </w:rPr>
        <w:t>איכה רבה א, ב.</w:t>
      </w:r>
    </w:p>
  </w:endnote>
  <w:endnote w:id="12">
    <w:p w:rsidR="00B745DC" w:rsidRDefault="00B745DC" w:rsidP="00B745DC">
      <w:pPr>
        <w:pStyle w:val="a6"/>
        <w:rPr>
          <w:rFonts w:hint="cs"/>
        </w:rPr>
      </w:pPr>
      <w:r>
        <w:rPr>
          <w:rtl/>
        </w:rPr>
        <w:tab/>
      </w:r>
      <w:r w:rsidRPr="00330483">
        <w:rPr>
          <w:rtl/>
        </w:rPr>
        <w:endnoteRef/>
      </w:r>
      <w:r>
        <w:rPr>
          <w:rtl/>
        </w:rPr>
        <w:t>.</w:t>
      </w:r>
      <w:r>
        <w:rPr>
          <w:rtl/>
        </w:rPr>
        <w:tab/>
      </w:r>
      <w:proofErr w:type="spellStart"/>
      <w:r>
        <w:rPr>
          <w:rFonts w:hint="cs"/>
          <w:rtl/>
        </w:rPr>
        <w:t>טושו"ע</w:t>
      </w:r>
      <w:proofErr w:type="spellEnd"/>
      <w:r>
        <w:rPr>
          <w:rFonts w:hint="cs"/>
          <w:rtl/>
        </w:rPr>
        <w:t xml:space="preserve"> </w:t>
      </w:r>
      <w:proofErr w:type="spellStart"/>
      <w:r>
        <w:rPr>
          <w:rFonts w:hint="cs"/>
          <w:rtl/>
        </w:rPr>
        <w:t>אבהע"ז</w:t>
      </w:r>
      <w:proofErr w:type="spellEnd"/>
      <w:r>
        <w:rPr>
          <w:rFonts w:hint="cs"/>
          <w:rtl/>
        </w:rPr>
        <w:t xml:space="preserve"> סימן א </w:t>
      </w:r>
      <w:proofErr w:type="spellStart"/>
      <w:r>
        <w:rPr>
          <w:rFonts w:hint="cs"/>
          <w:rtl/>
        </w:rPr>
        <w:t>ובנו"כ</w:t>
      </w:r>
      <w:proofErr w:type="spellEnd"/>
      <w:r>
        <w:rPr>
          <w:rFonts w:hint="cs"/>
          <w:rtl/>
        </w:rPr>
        <w:t xml:space="preserve"> (ועיין גם רמב"ם הלכות איסורי ביאה </w:t>
      </w:r>
      <w:proofErr w:type="spellStart"/>
      <w:r>
        <w:rPr>
          <w:rFonts w:hint="cs"/>
          <w:rtl/>
        </w:rPr>
        <w:t>פכ"א</w:t>
      </w:r>
      <w:proofErr w:type="spellEnd"/>
      <w:r>
        <w:rPr>
          <w:rFonts w:hint="cs"/>
          <w:rtl/>
        </w:rPr>
        <w:t xml:space="preserve"> </w:t>
      </w:r>
      <w:proofErr w:type="spellStart"/>
      <w:r>
        <w:rPr>
          <w:rFonts w:hint="cs"/>
          <w:rtl/>
        </w:rPr>
        <w:t>הכ"ה</w:t>
      </w:r>
      <w:proofErr w:type="spellEnd"/>
      <w:r>
        <w:rPr>
          <w:rFonts w:hint="cs"/>
          <w:rtl/>
        </w:rPr>
        <w:t>).</w:t>
      </w:r>
    </w:p>
  </w:endnote>
  <w:endnote w:id="13">
    <w:p w:rsidR="00B745DC" w:rsidRDefault="00B745DC" w:rsidP="00B745DC">
      <w:pPr>
        <w:pStyle w:val="a6"/>
        <w:rPr>
          <w:rFonts w:hint="cs"/>
          <w:rtl/>
        </w:rPr>
      </w:pPr>
      <w:r>
        <w:rPr>
          <w:rtl/>
        </w:rPr>
        <w:tab/>
      </w:r>
      <w:r w:rsidRPr="00330483">
        <w:rPr>
          <w:rtl/>
        </w:rPr>
        <w:endnoteRef/>
      </w:r>
      <w:r>
        <w:rPr>
          <w:rtl/>
        </w:rPr>
        <w:t>.</w:t>
      </w:r>
      <w:r>
        <w:rPr>
          <w:rtl/>
        </w:rPr>
        <w:tab/>
      </w:r>
      <w:r>
        <w:rPr>
          <w:rFonts w:hint="cs"/>
          <w:rtl/>
        </w:rPr>
        <w:t xml:space="preserve">על שתי דרגות </w:t>
      </w:r>
      <w:proofErr w:type="spellStart"/>
      <w:r>
        <w:rPr>
          <w:rFonts w:hint="cs"/>
          <w:rtl/>
        </w:rPr>
        <w:t>ההתכללות</w:t>
      </w:r>
      <w:proofErr w:type="spellEnd"/>
      <w:r>
        <w:rPr>
          <w:rFonts w:hint="cs"/>
          <w:rtl/>
        </w:rPr>
        <w:t xml:space="preserve">, התלויות בשני המוחין, ראה ד"ה "וירח את ריח הניחוח" </w:t>
      </w:r>
      <w:proofErr w:type="spellStart"/>
      <w:r>
        <w:rPr>
          <w:rFonts w:hint="cs"/>
          <w:rtl/>
        </w:rPr>
        <w:t>עטר"ת</w:t>
      </w:r>
      <w:proofErr w:type="spellEnd"/>
      <w:r>
        <w:rPr>
          <w:rFonts w:hint="cs"/>
          <w:rtl/>
        </w:rPr>
        <w:t xml:space="preserve"> (ובכ"ד, ובהרחבה בהמשך "בשעה שהקדימו" </w:t>
      </w:r>
      <w:proofErr w:type="spellStart"/>
      <w:r>
        <w:rPr>
          <w:rFonts w:hint="cs"/>
          <w:rtl/>
        </w:rPr>
        <w:t>תער"ב</w:t>
      </w:r>
      <w:proofErr w:type="spellEnd"/>
      <w:r>
        <w:rPr>
          <w:rFonts w:hint="cs"/>
          <w:rtl/>
        </w:rPr>
        <w:t>).</w:t>
      </w:r>
    </w:p>
  </w:endnote>
  <w:endnote w:id="14">
    <w:p w:rsidR="00B745DC" w:rsidRDefault="00B745DC" w:rsidP="00B745DC">
      <w:pPr>
        <w:pStyle w:val="a6"/>
        <w:rPr>
          <w:rFonts w:hint="cs"/>
          <w:rtl/>
        </w:rPr>
      </w:pPr>
      <w:r>
        <w:rPr>
          <w:rtl/>
        </w:rPr>
        <w:tab/>
      </w:r>
      <w:r w:rsidRPr="00330483">
        <w:rPr>
          <w:rtl/>
        </w:rPr>
        <w:endnoteRef/>
      </w:r>
      <w:r>
        <w:rPr>
          <w:rtl/>
        </w:rPr>
        <w:t>.</w:t>
      </w:r>
      <w:r>
        <w:rPr>
          <w:rtl/>
        </w:rPr>
        <w:tab/>
      </w:r>
      <w:r>
        <w:rPr>
          <w:rFonts w:hint="cs"/>
          <w:rtl/>
        </w:rPr>
        <w:t>כנ"ל בתורה "יחס, יחד, אחד".</w:t>
      </w:r>
    </w:p>
  </w:endnote>
  <w:endnote w:id="15">
    <w:p w:rsidR="00B745DC" w:rsidRDefault="00B745DC" w:rsidP="00B745DC">
      <w:pPr>
        <w:pStyle w:val="a6"/>
        <w:rPr>
          <w:rFonts w:hint="cs"/>
          <w:rtl/>
        </w:rPr>
      </w:pPr>
      <w:r>
        <w:rPr>
          <w:rtl/>
        </w:rPr>
        <w:tab/>
      </w:r>
      <w:r w:rsidRPr="00330483">
        <w:rPr>
          <w:rtl/>
        </w:rPr>
        <w:endnoteRef/>
      </w:r>
      <w:r>
        <w:rPr>
          <w:rtl/>
        </w:rPr>
        <w:t>.</w:t>
      </w:r>
      <w:r>
        <w:rPr>
          <w:rtl/>
        </w:rPr>
        <w:tab/>
      </w:r>
      <w:r>
        <w:rPr>
          <w:rFonts w:hint="cs"/>
          <w:rtl/>
        </w:rPr>
        <w:t xml:space="preserve">ראה </w:t>
      </w:r>
      <w:proofErr w:type="spellStart"/>
      <w:r>
        <w:rPr>
          <w:rFonts w:hint="cs"/>
          <w:rtl/>
        </w:rPr>
        <w:t>לקוטי</w:t>
      </w:r>
      <w:proofErr w:type="spellEnd"/>
      <w:r>
        <w:rPr>
          <w:rFonts w:hint="cs"/>
          <w:rtl/>
        </w:rPr>
        <w:t xml:space="preserve"> תורה ויקרא </w:t>
      </w:r>
      <w:proofErr w:type="spellStart"/>
      <w:r>
        <w:rPr>
          <w:rFonts w:hint="cs"/>
          <w:rtl/>
        </w:rPr>
        <w:t>יט</w:t>
      </w:r>
      <w:proofErr w:type="spellEnd"/>
      <w:r>
        <w:rPr>
          <w:rFonts w:hint="cs"/>
          <w:rtl/>
        </w:rPr>
        <w:t>, ג.</w:t>
      </w:r>
    </w:p>
  </w:endnote>
  <w:endnote w:id="16">
    <w:p w:rsidR="00B745DC" w:rsidRDefault="00B745DC" w:rsidP="00B745DC">
      <w:pPr>
        <w:pStyle w:val="a6"/>
        <w:rPr>
          <w:rFonts w:hint="cs"/>
          <w:rtl/>
        </w:rPr>
      </w:pPr>
      <w:r>
        <w:rPr>
          <w:rtl/>
        </w:rPr>
        <w:tab/>
      </w:r>
      <w:r w:rsidRPr="00330483">
        <w:rPr>
          <w:rtl/>
        </w:rPr>
        <w:endnoteRef/>
      </w:r>
      <w:r>
        <w:rPr>
          <w:rtl/>
        </w:rPr>
        <w:t>.</w:t>
      </w:r>
      <w:r>
        <w:rPr>
          <w:rtl/>
        </w:rPr>
        <w:tab/>
      </w:r>
      <w:r>
        <w:rPr>
          <w:rFonts w:hint="cs"/>
          <w:rtl/>
        </w:rPr>
        <w:t xml:space="preserve">ראה עץ חיים שער כה דרוש ב (ובכ"ד). וראה עוד לקמן 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Ref187926731 \h</w:instrText>
      </w:r>
      <w:r>
        <w:rPr>
          <w:rtl/>
        </w:rPr>
        <w:instrText xml:space="preserve"> </w:instrText>
      </w:r>
      <w:r>
        <w:rPr>
          <w:rtl/>
        </w:rPr>
        <w:fldChar w:fldCharType="separate"/>
      </w:r>
      <w:r>
        <w:rPr>
          <w:rtl/>
        </w:rPr>
        <w:t>כ</w:t>
      </w:r>
      <w:r>
        <w:rPr>
          <w:rtl/>
        </w:rPr>
        <w:fldChar w:fldCharType="end"/>
      </w:r>
      <w:r>
        <w:rPr>
          <w:rFonts w:hint="cs"/>
          <w:rtl/>
        </w:rPr>
        <w:t>.</w:t>
      </w:r>
    </w:p>
  </w:endnote>
  <w:endnote w:id="17">
    <w:p w:rsidR="00B745DC" w:rsidRDefault="00B745DC" w:rsidP="00B745DC">
      <w:pPr>
        <w:pStyle w:val="a6"/>
        <w:rPr>
          <w:rFonts w:hint="cs"/>
          <w:rtl/>
        </w:rPr>
      </w:pPr>
      <w:r>
        <w:rPr>
          <w:rtl/>
        </w:rPr>
        <w:tab/>
      </w:r>
      <w:r w:rsidRPr="00330483">
        <w:rPr>
          <w:rtl/>
        </w:rPr>
        <w:endnoteRef/>
      </w:r>
      <w:r>
        <w:rPr>
          <w:rtl/>
        </w:rPr>
        <w:t>.</w:t>
      </w:r>
      <w:r>
        <w:rPr>
          <w:rtl/>
        </w:rPr>
        <w:tab/>
      </w:r>
      <w:r>
        <w:rPr>
          <w:rFonts w:hint="cs"/>
          <w:rtl/>
        </w:rPr>
        <w:t xml:space="preserve">ראה קידושין </w:t>
      </w:r>
      <w:proofErr w:type="spellStart"/>
      <w:r>
        <w:rPr>
          <w:rFonts w:hint="cs"/>
          <w:rtl/>
        </w:rPr>
        <w:t>כט</w:t>
      </w:r>
      <w:proofErr w:type="spellEnd"/>
      <w:r>
        <w:rPr>
          <w:rFonts w:hint="cs"/>
          <w:rtl/>
        </w:rPr>
        <w:t>, ב.</w:t>
      </w:r>
    </w:p>
  </w:endnote>
  <w:endnote w:id="18">
    <w:p w:rsidR="00B745DC" w:rsidRDefault="00B745DC" w:rsidP="00B745DC">
      <w:pPr>
        <w:pStyle w:val="a6"/>
        <w:rPr>
          <w:rFonts w:hint="cs"/>
          <w:rtl/>
        </w:rPr>
      </w:pPr>
      <w:r>
        <w:rPr>
          <w:rtl/>
        </w:rPr>
        <w:tab/>
      </w:r>
      <w:r w:rsidRPr="00330483">
        <w:rPr>
          <w:rtl/>
        </w:rPr>
        <w:endnoteRef/>
      </w:r>
      <w:r>
        <w:rPr>
          <w:rtl/>
        </w:rPr>
        <w:t>.</w:t>
      </w:r>
      <w:r>
        <w:rPr>
          <w:rtl/>
        </w:rPr>
        <w:tab/>
      </w:r>
      <w:r>
        <w:rPr>
          <w:rFonts w:hint="cs"/>
          <w:rtl/>
        </w:rPr>
        <w:t>דברים כד, ה.</w:t>
      </w:r>
    </w:p>
  </w:endnote>
  <w:endnote w:id="19">
    <w:p w:rsidR="00B745DC" w:rsidRDefault="00B745DC" w:rsidP="00B745DC">
      <w:pPr>
        <w:pStyle w:val="a6"/>
        <w:rPr>
          <w:rFonts w:hint="cs"/>
        </w:rPr>
      </w:pPr>
      <w:r>
        <w:rPr>
          <w:rtl/>
        </w:rPr>
        <w:tab/>
      </w:r>
      <w:r w:rsidRPr="00330483">
        <w:rPr>
          <w:rtl/>
        </w:rPr>
        <w:endnoteRef/>
      </w:r>
      <w:r>
        <w:rPr>
          <w:rtl/>
        </w:rPr>
        <w:t>.</w:t>
      </w:r>
      <w:r>
        <w:rPr>
          <w:rtl/>
        </w:rPr>
        <w:tab/>
      </w:r>
      <w:r>
        <w:rPr>
          <w:rFonts w:hint="cs"/>
          <w:rtl/>
        </w:rPr>
        <w:t>וכנ"ל בתורה הקודמת.</w:t>
      </w:r>
    </w:p>
  </w:endnote>
  <w:endnote w:id="20">
    <w:p w:rsidR="00B745DC" w:rsidRPr="002E5A04" w:rsidRDefault="00B745DC" w:rsidP="00B745DC">
      <w:pPr>
        <w:pStyle w:val="a6"/>
        <w:rPr>
          <w:rFonts w:hint="cs"/>
          <w:rtl/>
        </w:rPr>
      </w:pPr>
      <w:r>
        <w:rPr>
          <w:rtl/>
        </w:rPr>
        <w:tab/>
      </w:r>
      <w:r w:rsidRPr="00330483">
        <w:rPr>
          <w:rtl/>
        </w:rPr>
        <w:endnoteRef/>
      </w:r>
      <w:r>
        <w:rPr>
          <w:rtl/>
        </w:rPr>
        <w:t>.</w:t>
      </w:r>
      <w:r>
        <w:rPr>
          <w:rtl/>
        </w:rPr>
        <w:tab/>
      </w:r>
      <w:r w:rsidRPr="002E5A04">
        <w:rPr>
          <w:rFonts w:hint="cs"/>
          <w:rtl/>
        </w:rPr>
        <w:t>חשוב להדגיש כי "</w:t>
      </w:r>
      <w:proofErr w:type="spellStart"/>
      <w:r w:rsidRPr="002E5A04">
        <w:rPr>
          <w:rFonts w:hint="cs"/>
          <w:rtl/>
        </w:rPr>
        <w:t>הכל</w:t>
      </w:r>
      <w:proofErr w:type="spellEnd"/>
      <w:r w:rsidRPr="002E5A04">
        <w:rPr>
          <w:rFonts w:hint="cs"/>
          <w:rtl/>
        </w:rPr>
        <w:t xml:space="preserve"> לפי ערכין" ואינם דומים קשרי היחס-יחד של הנישואין הצעירים לקשרי היחס-יחד בגיל מאוחר יותר. כפי שנרמז בפנים, היחס "סמוך לפרקן" הוא ילדותי, ואילו היחס בגיל שמונה עשרה הוא בוגר יותר. בדברי </w:t>
      </w:r>
      <w:proofErr w:type="spellStart"/>
      <w:r w:rsidRPr="002E5A04">
        <w:rPr>
          <w:rFonts w:hint="cs"/>
          <w:rtl/>
        </w:rPr>
        <w:t>האריז"ל</w:t>
      </w:r>
      <w:proofErr w:type="spellEnd"/>
      <w:r w:rsidRPr="002E5A04">
        <w:rPr>
          <w:rFonts w:hint="cs"/>
          <w:rtl/>
        </w:rPr>
        <w:t xml:space="preserve"> (הנ"ל הערה </w:t>
      </w:r>
      <w:r w:rsidRPr="002E5A04">
        <w:rPr>
          <w:rtl/>
        </w:rPr>
        <w:fldChar w:fldCharType="begin"/>
      </w:r>
      <w:r w:rsidRPr="002E5A04">
        <w:rPr>
          <w:rtl/>
        </w:rPr>
        <w:instrText xml:space="preserve"> </w:instrText>
      </w:r>
      <w:r w:rsidRPr="002E5A04">
        <w:rPr>
          <w:rFonts w:hint="cs"/>
        </w:rPr>
        <w:instrText>NOTEREF</w:instrText>
      </w:r>
      <w:r w:rsidRPr="002E5A04">
        <w:rPr>
          <w:rFonts w:hint="cs"/>
          <w:rtl/>
        </w:rPr>
        <w:instrText xml:space="preserve"> _</w:instrText>
      </w:r>
      <w:r w:rsidRPr="002E5A04">
        <w:rPr>
          <w:rFonts w:hint="cs"/>
        </w:rPr>
        <w:instrText>Ref187926565 \h</w:instrText>
      </w:r>
      <w:r w:rsidRPr="002E5A04">
        <w:rPr>
          <w:rtl/>
        </w:rPr>
        <w:instrText xml:space="preserve"> </w:instrText>
      </w:r>
      <w:r w:rsidRPr="002E5A04">
        <w:rPr>
          <w:rtl/>
        </w:rPr>
        <w:instrText xml:space="preserve"> \* </w:instrText>
      </w:r>
      <w:r w:rsidRPr="002E5A04">
        <w:instrText>MERGEFORMAT</w:instrText>
      </w:r>
      <w:r w:rsidRPr="002E5A04">
        <w:rPr>
          <w:rtl/>
        </w:rPr>
        <w:instrText xml:space="preserve"> </w:instrText>
      </w:r>
      <w:r w:rsidRPr="002E5A04">
        <w:rPr>
          <w:rtl/>
        </w:rPr>
        <w:fldChar w:fldCharType="separate"/>
      </w:r>
      <w:proofErr w:type="spellStart"/>
      <w:r>
        <w:rPr>
          <w:rtl/>
        </w:rPr>
        <w:t>טז</w:t>
      </w:r>
      <w:proofErr w:type="spellEnd"/>
      <w:r w:rsidRPr="002E5A04">
        <w:rPr>
          <w:rtl/>
        </w:rPr>
        <w:fldChar w:fldCharType="end"/>
      </w:r>
      <w:r w:rsidRPr="002E5A04">
        <w:rPr>
          <w:rFonts w:hint="cs"/>
          <w:rtl/>
        </w:rPr>
        <w:t xml:space="preserve">) גיל שמונה עשרה הוא שלמות כניסת מוחין </w:t>
      </w:r>
      <w:proofErr w:type="spellStart"/>
      <w:r w:rsidRPr="002E5A04">
        <w:rPr>
          <w:rFonts w:hint="cs"/>
          <w:rtl/>
        </w:rPr>
        <w:t>דאמא</w:t>
      </w:r>
      <w:proofErr w:type="spellEnd"/>
      <w:r w:rsidRPr="002E5A04">
        <w:rPr>
          <w:rFonts w:hint="cs"/>
          <w:rtl/>
        </w:rPr>
        <w:t xml:space="preserve">, שאורותיהם הפנימיים נכנסים בגיל מצוות והמקיפים שלהם נשלמים בגיל שמונה עשרה. לפי זה, קשרי יחס-יחד עד גיל שמונה עשרה הם לפי הערך של מוחין </w:t>
      </w:r>
      <w:proofErr w:type="spellStart"/>
      <w:r w:rsidRPr="002E5A04">
        <w:rPr>
          <w:rFonts w:hint="cs"/>
          <w:rtl/>
        </w:rPr>
        <w:t>דאמא</w:t>
      </w:r>
      <w:proofErr w:type="spellEnd"/>
      <w:r w:rsidRPr="002E5A04">
        <w:rPr>
          <w:rFonts w:hint="cs"/>
          <w:rtl/>
        </w:rPr>
        <w:t xml:space="preserve">, ואילו מגיל שמונה עשרה (בו גם נשלמת כניסת האורות הפנימיים של מוחין </w:t>
      </w:r>
      <w:proofErr w:type="spellStart"/>
      <w:r w:rsidRPr="002E5A04">
        <w:rPr>
          <w:rFonts w:hint="cs"/>
          <w:rtl/>
        </w:rPr>
        <w:t>דאבא</w:t>
      </w:r>
      <w:proofErr w:type="spellEnd"/>
      <w:r w:rsidRPr="002E5A04">
        <w:rPr>
          <w:rFonts w:hint="cs"/>
          <w:rtl/>
        </w:rPr>
        <w:t xml:space="preserve">, שעל כן מוגדר זמן זה כבר כסמוך ונראה לשלמות כניסת המוחין </w:t>
      </w:r>
      <w:proofErr w:type="spellStart"/>
      <w:r w:rsidRPr="002E5A04">
        <w:rPr>
          <w:rFonts w:hint="cs"/>
          <w:rtl/>
        </w:rPr>
        <w:t>דאבא</w:t>
      </w:r>
      <w:proofErr w:type="spellEnd"/>
      <w:r w:rsidRPr="002E5A04">
        <w:rPr>
          <w:rFonts w:hint="cs"/>
          <w:rtl/>
        </w:rPr>
        <w:t xml:space="preserve">, בפנימיים ובמקיפים) מתחילים לבנות קשרי יחס-יחד לפי ערכם של מוחין </w:t>
      </w:r>
      <w:proofErr w:type="spellStart"/>
      <w:r w:rsidRPr="002E5A04">
        <w:rPr>
          <w:rFonts w:hint="cs"/>
          <w:rtl/>
        </w:rPr>
        <w:t>דאבא</w:t>
      </w:r>
      <w:proofErr w:type="spellEnd"/>
      <w:r w:rsidRPr="002E5A04">
        <w:rPr>
          <w:rFonts w:hint="cs"/>
          <w:rtl/>
        </w:rPr>
        <w:t xml:space="preserve">, כהכנה לשלמות המדרגה של מוחין </w:t>
      </w:r>
      <w:proofErr w:type="spellStart"/>
      <w:r w:rsidRPr="002E5A04">
        <w:rPr>
          <w:rFonts w:hint="cs"/>
          <w:rtl/>
        </w:rPr>
        <w:t>דאבא</w:t>
      </w:r>
      <w:proofErr w:type="spellEnd"/>
      <w:r w:rsidRPr="002E5A04">
        <w:rPr>
          <w:rFonts w:hint="cs"/>
          <w:rtl/>
        </w:rPr>
        <w:t xml:space="preserve"> </w:t>
      </w:r>
      <w:r w:rsidRPr="002E5A04">
        <w:rPr>
          <w:rtl/>
        </w:rPr>
        <w:t>–</w:t>
      </w:r>
      <w:r w:rsidRPr="002E5A04">
        <w:rPr>
          <w:rFonts w:hint="cs"/>
          <w:rtl/>
        </w:rPr>
        <w:t xml:space="preserve"> הקשר של אחד.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824" w:rsidRDefault="00195824" w:rsidP="00B745DC">
      <w:pPr>
        <w:spacing w:after="0" w:line="240" w:lineRule="auto"/>
      </w:pPr>
      <w:r>
        <w:separator/>
      </w:r>
    </w:p>
  </w:footnote>
  <w:footnote w:type="continuationSeparator" w:id="0">
    <w:p w:rsidR="00195824" w:rsidRDefault="00195824" w:rsidP="00B745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94C"/>
    <w:rsid w:val="00061E65"/>
    <w:rsid w:val="00195824"/>
    <w:rsid w:val="005D294C"/>
    <w:rsid w:val="00AC2310"/>
    <w:rsid w:val="00B745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745DC"/>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B745DC"/>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B745DC"/>
    <w:rPr>
      <w:rFonts w:ascii="DF Calligraphic Ornaments LET" w:eastAsia="Times New Roman" w:hAnsi="DF Calligraphic Ornaments LET" w:cs="Guttman Soncino"/>
      <w:noProof/>
      <w:spacing w:val="20"/>
      <w:w w:val="90"/>
      <w:kern w:val="28"/>
      <w:sz w:val="44"/>
      <w:szCs w:val="46"/>
    </w:rPr>
  </w:style>
  <w:style w:type="paragraph" w:styleId="a3">
    <w:name w:val="Quote"/>
    <w:basedOn w:val="a"/>
    <w:link w:val="a4"/>
    <w:qFormat/>
    <w:rsid w:val="00B745DC"/>
    <w:pPr>
      <w:spacing w:line="340" w:lineRule="exact"/>
      <w:ind w:left="907"/>
      <w:contextualSpacing/>
    </w:pPr>
    <w:rPr>
      <w:rFonts w:cs="Guttman Soncino"/>
      <w:noProof/>
      <w:snapToGrid w:val="0"/>
      <w:sz w:val="23"/>
      <w:szCs w:val="22"/>
      <w:lang w:eastAsia="en-US"/>
    </w:rPr>
  </w:style>
  <w:style w:type="character" w:customStyle="1" w:styleId="a4">
    <w:name w:val="ציטוט תו"/>
    <w:basedOn w:val="a0"/>
    <w:link w:val="a3"/>
    <w:rsid w:val="00B745DC"/>
    <w:rPr>
      <w:rFonts w:ascii="Times New Roman" w:eastAsia="Times New Roman" w:hAnsi="Times New Roman" w:cs="Guttman Soncino"/>
      <w:noProof/>
      <w:snapToGrid w:val="0"/>
      <w:sz w:val="23"/>
    </w:rPr>
  </w:style>
  <w:style w:type="character" w:customStyle="1" w:styleId="a5">
    <w:name w:val="מרים"/>
    <w:basedOn w:val="a0"/>
    <w:rsid w:val="00B745DC"/>
    <w:rPr>
      <w:rFonts w:cs="MiriamMFO"/>
      <w:w w:val="100"/>
      <w:sz w:val="21"/>
      <w:szCs w:val="23"/>
    </w:rPr>
  </w:style>
  <w:style w:type="paragraph" w:styleId="a6">
    <w:name w:val="endnote text"/>
    <w:aliases w:val="Endnote Text"/>
    <w:basedOn w:val="a"/>
    <w:link w:val="a7"/>
    <w:semiHidden/>
    <w:rsid w:val="00B745DC"/>
    <w:pPr>
      <w:tabs>
        <w:tab w:val="right" w:pos="266"/>
        <w:tab w:val="left" w:pos="340"/>
      </w:tabs>
      <w:spacing w:after="20" w:line="260" w:lineRule="exact"/>
      <w:ind w:left="340" w:hanging="340"/>
    </w:pPr>
    <w:rPr>
      <w:sz w:val="20"/>
      <w:szCs w:val="23"/>
    </w:rPr>
  </w:style>
  <w:style w:type="character" w:customStyle="1" w:styleId="a7">
    <w:name w:val="טקסט הערת סיום תו"/>
    <w:basedOn w:val="a0"/>
    <w:link w:val="a6"/>
    <w:semiHidden/>
    <w:rsid w:val="00B745DC"/>
    <w:rPr>
      <w:rFonts w:ascii="Times New Roman" w:eastAsia="Times New Roman" w:hAnsi="Times New Roman" w:cs="FrankRuehl"/>
      <w:sz w:val="20"/>
      <w:szCs w:val="23"/>
      <w:lang w:eastAsia="he-IL"/>
    </w:rPr>
  </w:style>
  <w:style w:type="character" w:styleId="a8">
    <w:name w:val="endnote reference"/>
    <w:aliases w:val="Endnote Reference"/>
    <w:basedOn w:val="a9"/>
    <w:semiHidden/>
    <w:rsid w:val="00B745DC"/>
    <w:rPr>
      <w:noProof/>
      <w:position w:val="-4"/>
      <w:szCs w:val="27"/>
      <w:vertAlign w:val="superscript"/>
    </w:rPr>
  </w:style>
  <w:style w:type="character" w:styleId="a9">
    <w:name w:val="footnote reference"/>
    <w:basedOn w:val="a0"/>
    <w:uiPriority w:val="99"/>
    <w:semiHidden/>
    <w:unhideWhenUsed/>
    <w:rsid w:val="00B745D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745DC"/>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B745DC"/>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B745DC"/>
    <w:rPr>
      <w:rFonts w:ascii="DF Calligraphic Ornaments LET" w:eastAsia="Times New Roman" w:hAnsi="DF Calligraphic Ornaments LET" w:cs="Guttman Soncino"/>
      <w:noProof/>
      <w:spacing w:val="20"/>
      <w:w w:val="90"/>
      <w:kern w:val="28"/>
      <w:sz w:val="44"/>
      <w:szCs w:val="46"/>
    </w:rPr>
  </w:style>
  <w:style w:type="paragraph" w:styleId="a3">
    <w:name w:val="Quote"/>
    <w:basedOn w:val="a"/>
    <w:link w:val="a4"/>
    <w:qFormat/>
    <w:rsid w:val="00B745DC"/>
    <w:pPr>
      <w:spacing w:line="340" w:lineRule="exact"/>
      <w:ind w:left="907"/>
      <w:contextualSpacing/>
    </w:pPr>
    <w:rPr>
      <w:rFonts w:cs="Guttman Soncino"/>
      <w:noProof/>
      <w:snapToGrid w:val="0"/>
      <w:sz w:val="23"/>
      <w:szCs w:val="22"/>
      <w:lang w:eastAsia="en-US"/>
    </w:rPr>
  </w:style>
  <w:style w:type="character" w:customStyle="1" w:styleId="a4">
    <w:name w:val="ציטוט תו"/>
    <w:basedOn w:val="a0"/>
    <w:link w:val="a3"/>
    <w:rsid w:val="00B745DC"/>
    <w:rPr>
      <w:rFonts w:ascii="Times New Roman" w:eastAsia="Times New Roman" w:hAnsi="Times New Roman" w:cs="Guttman Soncino"/>
      <w:noProof/>
      <w:snapToGrid w:val="0"/>
      <w:sz w:val="23"/>
    </w:rPr>
  </w:style>
  <w:style w:type="character" w:customStyle="1" w:styleId="a5">
    <w:name w:val="מרים"/>
    <w:basedOn w:val="a0"/>
    <w:rsid w:val="00B745DC"/>
    <w:rPr>
      <w:rFonts w:cs="MiriamMFO"/>
      <w:w w:val="100"/>
      <w:sz w:val="21"/>
      <w:szCs w:val="23"/>
    </w:rPr>
  </w:style>
  <w:style w:type="paragraph" w:styleId="a6">
    <w:name w:val="endnote text"/>
    <w:aliases w:val="Endnote Text"/>
    <w:basedOn w:val="a"/>
    <w:link w:val="a7"/>
    <w:semiHidden/>
    <w:rsid w:val="00B745DC"/>
    <w:pPr>
      <w:tabs>
        <w:tab w:val="right" w:pos="266"/>
        <w:tab w:val="left" w:pos="340"/>
      </w:tabs>
      <w:spacing w:after="20" w:line="260" w:lineRule="exact"/>
      <w:ind w:left="340" w:hanging="340"/>
    </w:pPr>
    <w:rPr>
      <w:sz w:val="20"/>
      <w:szCs w:val="23"/>
    </w:rPr>
  </w:style>
  <w:style w:type="character" w:customStyle="1" w:styleId="a7">
    <w:name w:val="טקסט הערת סיום תו"/>
    <w:basedOn w:val="a0"/>
    <w:link w:val="a6"/>
    <w:semiHidden/>
    <w:rsid w:val="00B745DC"/>
    <w:rPr>
      <w:rFonts w:ascii="Times New Roman" w:eastAsia="Times New Roman" w:hAnsi="Times New Roman" w:cs="FrankRuehl"/>
      <w:sz w:val="20"/>
      <w:szCs w:val="23"/>
      <w:lang w:eastAsia="he-IL"/>
    </w:rPr>
  </w:style>
  <w:style w:type="character" w:styleId="a8">
    <w:name w:val="endnote reference"/>
    <w:aliases w:val="Endnote Reference"/>
    <w:basedOn w:val="a9"/>
    <w:semiHidden/>
    <w:rsid w:val="00B745DC"/>
    <w:rPr>
      <w:noProof/>
      <w:position w:val="-4"/>
      <w:szCs w:val="27"/>
      <w:vertAlign w:val="superscript"/>
    </w:rPr>
  </w:style>
  <w:style w:type="character" w:styleId="a9">
    <w:name w:val="footnote reference"/>
    <w:basedOn w:val="a0"/>
    <w:uiPriority w:val="99"/>
    <w:semiHidden/>
    <w:unhideWhenUsed/>
    <w:rsid w:val="00B745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3421</Characters>
  <Application>Microsoft Office Word</Application>
  <DocSecurity>0</DocSecurity>
  <Lines>28</Lines>
  <Paragraphs>8</Paragraphs>
  <ScaleCrop>false</ScaleCrop>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2017-08-15T06:39:00Z</dcterms:created>
  <dcterms:modified xsi:type="dcterms:W3CDTF">2017-08-15T06:39:00Z</dcterms:modified>
</cp:coreProperties>
</file>