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A62" w:rsidRPr="00B46B4B" w:rsidRDefault="00842A62" w:rsidP="00842A62">
      <w:pPr>
        <w:pStyle w:val="2"/>
        <w:rPr>
          <w:rFonts w:hint="cs"/>
          <w:rtl/>
        </w:rPr>
      </w:pPr>
      <w:bookmarkStart w:id="0" w:name="_Toc188281727"/>
      <w:bookmarkStart w:id="1" w:name="_Ref188281966"/>
      <w:r w:rsidRPr="00B46B4B">
        <w:rPr>
          <w:rFonts w:hint="cs"/>
          <w:rtl/>
        </w:rPr>
        <w:t>והיו לבשר אחד</w:t>
      </w:r>
      <w:bookmarkEnd w:id="0"/>
      <w:bookmarkEnd w:id="1"/>
    </w:p>
    <w:p w:rsidR="00842A62" w:rsidRPr="00A93DFB" w:rsidRDefault="00842A62" w:rsidP="00842A62">
      <w:pPr>
        <w:keepNext/>
        <w:framePr w:dropCap="drop" w:lines="2" w:hSpace="57" w:wrap="around" w:vAnchor="text" w:hAnchor="text" w:xAlign="right"/>
        <w:spacing w:after="0" w:line="760" w:lineRule="exact"/>
        <w:textAlignment w:val="baseline"/>
        <w:rPr>
          <w:rStyle w:val="a9"/>
          <w:rtl/>
        </w:rPr>
      </w:pPr>
      <w:r w:rsidRPr="00A93DFB">
        <w:rPr>
          <w:rStyle w:val="a9"/>
          <w:rFonts w:hint="cs"/>
          <w:rtl/>
        </w:rPr>
        <w:t>ש</w:t>
      </w:r>
    </w:p>
    <w:p w:rsidR="00842A62" w:rsidRPr="00B46B4B" w:rsidRDefault="00842A62" w:rsidP="00842A62">
      <w:pPr>
        <w:rPr>
          <w:rFonts w:hint="cs"/>
          <w:rtl/>
        </w:rPr>
      </w:pPr>
      <w:r w:rsidRPr="00B46B4B">
        <w:rPr>
          <w:rFonts w:hint="cs"/>
          <w:rtl/>
        </w:rPr>
        <w:t>יאם ותכליתם של חיי הנישואין הם ההגעה למצב של אחדות מוחלטת, למצב של "והיו לבשר אחד"</w:t>
      </w:r>
      <w:r w:rsidRPr="00C37DFC">
        <w:rPr>
          <w:rStyle w:val="a6"/>
          <w:rtl/>
        </w:rPr>
        <w:endnoteReference w:id="1"/>
      </w:r>
      <w:r w:rsidRPr="00B46B4B">
        <w:rPr>
          <w:rFonts w:hint="cs"/>
          <w:rtl/>
        </w:rPr>
        <w:t xml:space="preserve"> ממש (למעלה מ"לא טוב היות האדם לבדו"</w:t>
      </w:r>
      <w:r w:rsidRPr="00C37DFC">
        <w:rPr>
          <w:rStyle w:val="a6"/>
          <w:rtl/>
        </w:rPr>
        <w:endnoteReference w:id="2"/>
      </w:r>
      <w:r w:rsidRPr="00B46B4B">
        <w:rPr>
          <w:rFonts w:hint="cs"/>
          <w:rtl/>
        </w:rPr>
        <w:t xml:space="preserve"> </w:t>
      </w:r>
      <w:proofErr w:type="spellStart"/>
      <w:r w:rsidRPr="00B46B4B">
        <w:rPr>
          <w:rFonts w:hint="cs"/>
          <w:rtl/>
        </w:rPr>
        <w:t>ומ"ודבק</w:t>
      </w:r>
      <w:proofErr w:type="spellEnd"/>
      <w:r w:rsidRPr="00B46B4B">
        <w:rPr>
          <w:rFonts w:hint="cs"/>
          <w:rtl/>
        </w:rPr>
        <w:t xml:space="preserve"> באשתו")</w:t>
      </w:r>
      <w:r w:rsidRPr="00C37DFC">
        <w:rPr>
          <w:rStyle w:val="a6"/>
          <w:rtl/>
        </w:rPr>
        <w:endnoteReference w:id="3"/>
      </w:r>
      <w:r w:rsidRPr="00B46B4B">
        <w:rPr>
          <w:rFonts w:hint="cs"/>
          <w:rtl/>
        </w:rPr>
        <w:t xml:space="preserve">. </w:t>
      </w:r>
      <w:r>
        <w:rPr>
          <w:rFonts w:hint="cs"/>
          <w:rtl/>
        </w:rPr>
        <w:t xml:space="preserve">מצאנו </w:t>
      </w:r>
      <w:r w:rsidRPr="00B46B4B">
        <w:rPr>
          <w:rFonts w:hint="cs"/>
          <w:rtl/>
        </w:rPr>
        <w:t>שלשה פירושים שונים בביאור המצב של "בשר אחד":</w:t>
      </w:r>
    </w:p>
    <w:p w:rsidR="00842A62" w:rsidRDefault="00842A62" w:rsidP="00842A62">
      <w:pPr>
        <w:numPr>
          <w:ilvl w:val="0"/>
          <w:numId w:val="1"/>
        </w:numPr>
        <w:tabs>
          <w:tab w:val="clear" w:pos="1287"/>
          <w:tab w:val="num" w:pos="269"/>
        </w:tabs>
        <w:spacing w:after="60" w:line="360" w:lineRule="exact"/>
        <w:ind w:left="267" w:hanging="267"/>
        <w:rPr>
          <w:rFonts w:hint="cs"/>
          <w:rtl/>
        </w:rPr>
      </w:pPr>
      <w:r w:rsidRPr="00B46B4B">
        <w:rPr>
          <w:rFonts w:hint="cs"/>
          <w:rtl/>
        </w:rPr>
        <w:t>רבי אברהם אבן עזרא מפרש כי האחדות היא בזי</w:t>
      </w:r>
      <w:r>
        <w:rPr>
          <w:rFonts w:hint="cs"/>
          <w:rtl/>
        </w:rPr>
        <w:t xml:space="preserve">ווג עצמו, בו "כאלו הם" בשר אחד, </w:t>
      </w:r>
      <w:r w:rsidRPr="00B46B4B">
        <w:rPr>
          <w:rFonts w:hint="cs"/>
          <w:rtl/>
        </w:rPr>
        <w:t xml:space="preserve">"או שידמו כאשר היו" קודם הפרדת </w:t>
      </w:r>
      <w:proofErr w:type="spellStart"/>
      <w:r>
        <w:rPr>
          <w:rFonts w:hint="cs"/>
          <w:rtl/>
        </w:rPr>
        <w:t>האשה</w:t>
      </w:r>
      <w:proofErr w:type="spellEnd"/>
      <w:r>
        <w:rPr>
          <w:rFonts w:hint="cs"/>
          <w:rtl/>
        </w:rPr>
        <w:t xml:space="preserve"> מהאיש.</w:t>
      </w:r>
      <w:r w:rsidRPr="00B46B4B">
        <w:rPr>
          <w:rFonts w:hint="cs"/>
          <w:rtl/>
        </w:rPr>
        <w:t xml:space="preserve"> </w:t>
      </w:r>
    </w:p>
    <w:p w:rsidR="00842A62" w:rsidRDefault="00842A62" w:rsidP="00842A62">
      <w:pPr>
        <w:numPr>
          <w:ilvl w:val="0"/>
          <w:numId w:val="1"/>
        </w:numPr>
        <w:tabs>
          <w:tab w:val="clear" w:pos="1287"/>
          <w:tab w:val="num" w:pos="269"/>
        </w:tabs>
        <w:spacing w:after="60" w:line="360" w:lineRule="exact"/>
        <w:ind w:left="267" w:hanging="267"/>
        <w:rPr>
          <w:rFonts w:hint="cs"/>
          <w:rtl/>
        </w:rPr>
      </w:pPr>
      <w:r>
        <w:rPr>
          <w:rFonts w:hint="cs"/>
          <w:rtl/>
        </w:rPr>
        <w:t xml:space="preserve">רש"י, שאת דבריו מביאים ודוחים </w:t>
      </w:r>
      <w:proofErr w:type="spellStart"/>
      <w:r w:rsidRPr="00B46B4B">
        <w:rPr>
          <w:rFonts w:hint="cs"/>
          <w:rtl/>
        </w:rPr>
        <w:t>הראב"ע</w:t>
      </w:r>
      <w:proofErr w:type="spellEnd"/>
      <w:r w:rsidRPr="00B46B4B">
        <w:rPr>
          <w:rFonts w:hint="cs"/>
          <w:rtl/>
        </w:rPr>
        <w:t xml:space="preserve"> והרמב"ן</w:t>
      </w:r>
      <w:r>
        <w:rPr>
          <w:rFonts w:hint="cs"/>
          <w:rtl/>
        </w:rPr>
        <w:t>,</w:t>
      </w:r>
      <w:r w:rsidRPr="00B46B4B">
        <w:rPr>
          <w:rFonts w:hint="cs"/>
          <w:rtl/>
        </w:rPr>
        <w:t xml:space="preserve"> מפרש כי האחדות </w:t>
      </w:r>
      <w:r>
        <w:rPr>
          <w:rFonts w:hint="cs"/>
          <w:rtl/>
        </w:rPr>
        <w:t>מתבטאת בצאצאים</w:t>
      </w:r>
      <w:r w:rsidRPr="00B46B4B">
        <w:rPr>
          <w:rFonts w:hint="cs"/>
          <w:rtl/>
        </w:rPr>
        <w:t xml:space="preserve"> </w:t>
      </w:r>
      <w:r w:rsidRPr="00B46B4B">
        <w:rPr>
          <w:rtl/>
        </w:rPr>
        <w:t>–</w:t>
      </w:r>
      <w:r w:rsidRPr="00B46B4B">
        <w:rPr>
          <w:rFonts w:hint="cs"/>
          <w:rtl/>
        </w:rPr>
        <w:t xml:space="preserve"> "הולד נוצר ע</w:t>
      </w:r>
      <w:r>
        <w:rPr>
          <w:rFonts w:hint="cs"/>
          <w:rtl/>
        </w:rPr>
        <w:t>ל ידי שניהם, ושם נעשה בשרם אחד".</w:t>
      </w:r>
      <w:r w:rsidRPr="00B46B4B">
        <w:rPr>
          <w:rFonts w:hint="cs"/>
          <w:rtl/>
        </w:rPr>
        <w:t xml:space="preserve"> </w:t>
      </w:r>
    </w:p>
    <w:p w:rsidR="00842A62" w:rsidRPr="00B46B4B" w:rsidRDefault="00842A62" w:rsidP="00842A62">
      <w:pPr>
        <w:numPr>
          <w:ilvl w:val="0"/>
          <w:numId w:val="1"/>
        </w:numPr>
        <w:tabs>
          <w:tab w:val="clear" w:pos="1287"/>
          <w:tab w:val="num" w:pos="269"/>
        </w:tabs>
        <w:spacing w:after="60" w:line="360" w:lineRule="exact"/>
        <w:ind w:left="267" w:hanging="267"/>
        <w:rPr>
          <w:rFonts w:hint="cs"/>
          <w:rtl/>
        </w:rPr>
      </w:pPr>
      <w:r>
        <w:rPr>
          <w:rFonts w:hint="cs"/>
          <w:rtl/>
        </w:rPr>
        <w:t>לדעת</w:t>
      </w:r>
      <w:r w:rsidRPr="00B46B4B">
        <w:rPr>
          <w:rFonts w:hint="cs"/>
          <w:rtl/>
        </w:rPr>
        <w:t xml:space="preserve"> הרמב"ן הפ</w:t>
      </w:r>
      <w:r>
        <w:rPr>
          <w:rFonts w:hint="cs"/>
          <w:rtl/>
        </w:rPr>
        <w:t>סוק מתייחס לתחושת הקרבה העמוקה, הנפשית בעיקרה,</w:t>
      </w:r>
      <w:r w:rsidRPr="00B46B4B">
        <w:rPr>
          <w:rFonts w:hint="cs"/>
          <w:rtl/>
        </w:rPr>
        <w:t xml:space="preserve"> שנוצרת בין האיש </w:t>
      </w:r>
      <w:proofErr w:type="spellStart"/>
      <w:r w:rsidRPr="00B46B4B">
        <w:rPr>
          <w:rFonts w:hint="cs"/>
          <w:rtl/>
        </w:rPr>
        <w:t>והאשה</w:t>
      </w:r>
      <w:proofErr w:type="spellEnd"/>
      <w:r w:rsidRPr="00B46B4B">
        <w:rPr>
          <w:rFonts w:hint="cs"/>
          <w:rtl/>
        </w:rPr>
        <w:t xml:space="preserve"> </w:t>
      </w:r>
      <w:r w:rsidRPr="00B46B4B">
        <w:rPr>
          <w:rtl/>
        </w:rPr>
        <w:t>–</w:t>
      </w:r>
      <w:r w:rsidRPr="00B46B4B">
        <w:rPr>
          <w:rFonts w:hint="cs"/>
          <w:rtl/>
        </w:rPr>
        <w:t xml:space="preserve"> "</w:t>
      </w:r>
      <w:r w:rsidRPr="00B46B4B">
        <w:rPr>
          <w:rtl/>
        </w:rPr>
        <w:t xml:space="preserve">בעבור שנקבת האדם </w:t>
      </w:r>
      <w:proofErr w:type="spellStart"/>
      <w:r w:rsidRPr="00B46B4B">
        <w:rPr>
          <w:rtl/>
        </w:rPr>
        <w:t>היתה</w:t>
      </w:r>
      <w:proofErr w:type="spellEnd"/>
      <w:r w:rsidRPr="00B46B4B">
        <w:rPr>
          <w:rtl/>
        </w:rPr>
        <w:t xml:space="preserve"> עצם מעצמיו ובשר מבשרו, ודבק בה, </w:t>
      </w:r>
      <w:proofErr w:type="spellStart"/>
      <w:r w:rsidRPr="00B46B4B">
        <w:rPr>
          <w:rtl/>
        </w:rPr>
        <w:t>והיתה</w:t>
      </w:r>
      <w:proofErr w:type="spellEnd"/>
      <w:r w:rsidRPr="00B46B4B">
        <w:rPr>
          <w:rtl/>
        </w:rPr>
        <w:t xml:space="preserve"> בחיקו כבשרו, ויחפוץ בה להיותה תמיד עמו וכאשר היה זה באדם, הושם טבעו בתולדותיו, להיות הזכרים מהם דבקים בנשותיהם, עוזבים את אביהם ואת אמם, ורואים את נשותיהן כאלו הן עמם לבשר אחד</w:t>
      </w:r>
      <w:r w:rsidRPr="00B46B4B">
        <w:rPr>
          <w:rFonts w:hint="cs"/>
          <w:rtl/>
        </w:rPr>
        <w:t>.</w:t>
      </w:r>
      <w:r w:rsidRPr="00B46B4B">
        <w:rPr>
          <w:rtl/>
        </w:rPr>
        <w:t xml:space="preserve"> וכן </w:t>
      </w:r>
      <w:r w:rsidRPr="00B46B4B">
        <w:rPr>
          <w:rFonts w:hint="cs"/>
          <w:rtl/>
        </w:rPr>
        <w:t>'</w:t>
      </w:r>
      <w:r w:rsidRPr="00B46B4B">
        <w:rPr>
          <w:rtl/>
        </w:rPr>
        <w:t>כי אחינו בשרנו הוא</w:t>
      </w:r>
      <w:r w:rsidRPr="00B46B4B">
        <w:rPr>
          <w:rFonts w:hint="cs"/>
          <w:rtl/>
        </w:rPr>
        <w:t>'</w:t>
      </w:r>
      <w:r w:rsidRPr="00C37DFC">
        <w:rPr>
          <w:rStyle w:val="a6"/>
          <w:rtl/>
        </w:rPr>
        <w:endnoteReference w:id="4"/>
      </w:r>
      <w:r w:rsidRPr="00B46B4B">
        <w:rPr>
          <w:rtl/>
        </w:rPr>
        <w:t xml:space="preserve">, </w:t>
      </w:r>
      <w:r w:rsidRPr="00B46B4B">
        <w:rPr>
          <w:rFonts w:hint="cs"/>
          <w:rtl/>
        </w:rPr>
        <w:t>'</w:t>
      </w:r>
      <w:r w:rsidRPr="00B46B4B">
        <w:rPr>
          <w:rtl/>
        </w:rPr>
        <w:t>אל כל שאר בשרו</w:t>
      </w:r>
      <w:r w:rsidRPr="00B46B4B">
        <w:rPr>
          <w:rFonts w:hint="cs"/>
          <w:rtl/>
        </w:rPr>
        <w:t>'</w:t>
      </w:r>
      <w:r w:rsidRPr="00C37DFC">
        <w:rPr>
          <w:rStyle w:val="a6"/>
          <w:rtl/>
        </w:rPr>
        <w:endnoteReference w:id="5"/>
      </w:r>
      <w:r w:rsidRPr="00B46B4B">
        <w:rPr>
          <w:rFonts w:hint="cs"/>
          <w:rtl/>
        </w:rPr>
        <w:t xml:space="preserve"> </w:t>
      </w:r>
      <w:r w:rsidRPr="00B46B4B">
        <w:rPr>
          <w:rtl/>
        </w:rPr>
        <w:t>–</w:t>
      </w:r>
      <w:r>
        <w:rPr>
          <w:rFonts w:hint="cs"/>
          <w:rtl/>
        </w:rPr>
        <w:t xml:space="preserve"> </w:t>
      </w:r>
      <w:r w:rsidRPr="00B46B4B">
        <w:rPr>
          <w:rtl/>
        </w:rPr>
        <w:t xml:space="preserve">הקרובים במשפחה יקראו </w:t>
      </w:r>
      <w:r w:rsidRPr="00B46B4B">
        <w:rPr>
          <w:rFonts w:hint="cs"/>
          <w:rtl/>
        </w:rPr>
        <w:t>'</w:t>
      </w:r>
      <w:r w:rsidRPr="00B46B4B">
        <w:rPr>
          <w:rtl/>
        </w:rPr>
        <w:t>שאר בשר</w:t>
      </w:r>
      <w:r w:rsidRPr="00B46B4B">
        <w:rPr>
          <w:rFonts w:hint="cs"/>
          <w:rtl/>
        </w:rPr>
        <w:t>'</w:t>
      </w:r>
      <w:r w:rsidRPr="00B46B4B">
        <w:rPr>
          <w:rtl/>
        </w:rPr>
        <w:t xml:space="preserve"> והנה יעזוב שאר אביו ואמו וקורבתם, ויראה שאשתו קרובה לו מהם</w:t>
      </w:r>
      <w:r w:rsidRPr="00B46B4B">
        <w:rPr>
          <w:rFonts w:hint="cs"/>
          <w:rtl/>
        </w:rPr>
        <w:t>".</w:t>
      </w:r>
    </w:p>
    <w:p w:rsidR="00842A62" w:rsidRDefault="00842A62" w:rsidP="00842A62">
      <w:pPr>
        <w:rPr>
          <w:rFonts w:hint="cs"/>
          <w:rtl/>
        </w:rPr>
      </w:pPr>
      <w:r w:rsidRPr="00B46B4B">
        <w:rPr>
          <w:rFonts w:hint="cs"/>
          <w:rtl/>
        </w:rPr>
        <w:t xml:space="preserve">יש לומר כי שלשת הפירושים </w:t>
      </w:r>
      <w:r>
        <w:rPr>
          <w:rFonts w:hint="cs"/>
          <w:rtl/>
        </w:rPr>
        <w:t>הנ"ל</w:t>
      </w:r>
      <w:r w:rsidRPr="00B46B4B">
        <w:rPr>
          <w:rFonts w:hint="cs"/>
          <w:rtl/>
        </w:rPr>
        <w:t xml:space="preserve"> אינם אלא ביטוי של </w:t>
      </w:r>
      <w:r>
        <w:rPr>
          <w:rFonts w:hint="cs"/>
          <w:rtl/>
        </w:rPr>
        <w:t>ה</w:t>
      </w:r>
      <w:r w:rsidRPr="00B46B4B">
        <w:rPr>
          <w:rFonts w:hint="cs"/>
          <w:rtl/>
        </w:rPr>
        <w:t>קשר בשלשת העולמות התחתונים בריאה-יצירה-עשיה</w:t>
      </w:r>
      <w:r>
        <w:rPr>
          <w:rFonts w:hint="cs"/>
          <w:rtl/>
        </w:rPr>
        <w:t>, תוך כדי עליה של יחס-יחד-אחד (בתוך "והיו לבשר אחד" גופא)</w:t>
      </w:r>
      <w:r w:rsidRPr="00B46B4B">
        <w:rPr>
          <w:rFonts w:hint="cs"/>
          <w:rtl/>
        </w:rPr>
        <w:t xml:space="preserve">: </w:t>
      </w:r>
    </w:p>
    <w:p w:rsidR="00842A62" w:rsidRDefault="00842A62" w:rsidP="00842A62">
      <w:pPr>
        <w:numPr>
          <w:ilvl w:val="0"/>
          <w:numId w:val="1"/>
        </w:numPr>
        <w:tabs>
          <w:tab w:val="clear" w:pos="1287"/>
          <w:tab w:val="num" w:pos="269"/>
          <w:tab w:val="num" w:pos="360"/>
        </w:tabs>
        <w:spacing w:line="360" w:lineRule="exact"/>
        <w:ind w:left="269" w:hanging="269"/>
        <w:rPr>
          <w:rFonts w:hint="cs"/>
          <w:rtl/>
        </w:rPr>
      </w:pPr>
      <w:r w:rsidRPr="00B46B4B">
        <w:rPr>
          <w:rFonts w:hint="cs"/>
          <w:rtl/>
        </w:rPr>
        <w:t xml:space="preserve">בעולם </w:t>
      </w:r>
      <w:proofErr w:type="spellStart"/>
      <w:r w:rsidRPr="00B46B4B">
        <w:rPr>
          <w:rFonts w:hint="cs"/>
          <w:rtl/>
        </w:rPr>
        <w:t>ה</w:t>
      </w:r>
      <w:r w:rsidRPr="00B04702">
        <w:rPr>
          <w:rStyle w:val="a3"/>
          <w:rFonts w:hint="cs"/>
          <w:rtl/>
        </w:rPr>
        <w:t>עשיה</w:t>
      </w:r>
      <w:proofErr w:type="spellEnd"/>
      <w:r>
        <w:rPr>
          <w:rFonts w:hint="cs"/>
          <w:rtl/>
        </w:rPr>
        <w:t>,</w:t>
      </w:r>
      <w:r w:rsidRPr="00B46B4B">
        <w:rPr>
          <w:rFonts w:hint="cs"/>
          <w:rtl/>
        </w:rPr>
        <w:t xml:space="preserve"> בעצם החיבור הגופני, המעשי, כבר נוצר דימוי של אחדות. האחדות בעולם </w:t>
      </w:r>
      <w:proofErr w:type="spellStart"/>
      <w:r w:rsidRPr="00B46B4B">
        <w:rPr>
          <w:rFonts w:hint="cs"/>
          <w:rtl/>
        </w:rPr>
        <w:t>העשיה</w:t>
      </w:r>
      <w:proofErr w:type="spellEnd"/>
      <w:r w:rsidRPr="00B46B4B">
        <w:rPr>
          <w:rFonts w:hint="cs"/>
          <w:rtl/>
        </w:rPr>
        <w:t xml:space="preserve"> היא עצמה התשתית הגופנית-המעשית של ה</w:t>
      </w:r>
      <w:r w:rsidRPr="00B04702">
        <w:rPr>
          <w:rStyle w:val="a3"/>
          <w:rFonts w:hint="cs"/>
          <w:rtl/>
        </w:rPr>
        <w:t>יחס</w:t>
      </w:r>
      <w:r w:rsidRPr="00B46B4B">
        <w:rPr>
          <w:rFonts w:hint="cs"/>
          <w:rtl/>
        </w:rPr>
        <w:t xml:space="preserve"> הטוב בין בני הזוג</w:t>
      </w:r>
    </w:p>
    <w:p w:rsidR="00842A62" w:rsidRDefault="00842A62" w:rsidP="00842A62">
      <w:pPr>
        <w:numPr>
          <w:ilvl w:val="0"/>
          <w:numId w:val="1"/>
        </w:numPr>
        <w:tabs>
          <w:tab w:val="clear" w:pos="1287"/>
          <w:tab w:val="num" w:pos="269"/>
          <w:tab w:val="num" w:pos="360"/>
        </w:tabs>
        <w:spacing w:line="360" w:lineRule="exact"/>
        <w:ind w:left="269" w:hanging="269"/>
        <w:rPr>
          <w:rFonts w:hint="cs"/>
          <w:rtl/>
        </w:rPr>
      </w:pPr>
      <w:r w:rsidRPr="00B46B4B">
        <w:rPr>
          <w:rFonts w:hint="cs"/>
          <w:rtl/>
        </w:rPr>
        <w:t>בעולם</w:t>
      </w:r>
      <w:r w:rsidRPr="00542047">
        <w:rPr>
          <w:rFonts w:hint="cs"/>
          <w:spacing w:val="-12"/>
          <w:rtl/>
        </w:rPr>
        <w:t xml:space="preserve"> </w:t>
      </w:r>
      <w:r w:rsidRPr="00B46B4B">
        <w:rPr>
          <w:rFonts w:hint="cs"/>
          <w:rtl/>
        </w:rPr>
        <w:t>ה</w:t>
      </w:r>
      <w:r w:rsidRPr="00B04702">
        <w:rPr>
          <w:rStyle w:val="a3"/>
          <w:rFonts w:hint="cs"/>
          <w:rtl/>
        </w:rPr>
        <w:t>יצירה</w:t>
      </w:r>
      <w:r w:rsidRPr="00542047">
        <w:rPr>
          <w:rFonts w:hint="cs"/>
          <w:spacing w:val="-12"/>
          <w:rtl/>
        </w:rPr>
        <w:t xml:space="preserve"> </w:t>
      </w:r>
      <w:r>
        <w:rPr>
          <w:rFonts w:hint="cs"/>
          <w:rtl/>
        </w:rPr>
        <w:t>מתגלה</w:t>
      </w:r>
      <w:r w:rsidRPr="00542047">
        <w:rPr>
          <w:rFonts w:hint="cs"/>
          <w:spacing w:val="-12"/>
          <w:rtl/>
        </w:rPr>
        <w:t xml:space="preserve"> </w:t>
      </w:r>
      <w:r w:rsidRPr="00B46B4B">
        <w:rPr>
          <w:rFonts w:hint="cs"/>
          <w:rtl/>
        </w:rPr>
        <w:t>האחדות</w:t>
      </w:r>
      <w:r w:rsidRPr="00542047">
        <w:rPr>
          <w:rFonts w:hint="cs"/>
          <w:spacing w:val="-12"/>
          <w:rtl/>
        </w:rPr>
        <w:t xml:space="preserve"> </w:t>
      </w:r>
      <w:r w:rsidRPr="00B46B4B">
        <w:rPr>
          <w:rFonts w:hint="cs"/>
          <w:rtl/>
        </w:rPr>
        <w:t>ביצירה</w:t>
      </w:r>
      <w:r w:rsidRPr="00542047">
        <w:rPr>
          <w:rFonts w:hint="cs"/>
          <w:spacing w:val="-12"/>
          <w:rtl/>
        </w:rPr>
        <w:t xml:space="preserve"> </w:t>
      </w:r>
      <w:r w:rsidRPr="00B46B4B">
        <w:rPr>
          <w:rFonts w:hint="cs"/>
          <w:rtl/>
        </w:rPr>
        <w:t>המשותפת</w:t>
      </w:r>
      <w:r w:rsidRPr="00542047">
        <w:rPr>
          <w:rFonts w:hint="cs"/>
          <w:spacing w:val="-12"/>
          <w:rtl/>
        </w:rPr>
        <w:t xml:space="preserve"> </w:t>
      </w:r>
      <w:r w:rsidRPr="00B46B4B">
        <w:rPr>
          <w:rtl/>
        </w:rPr>
        <w:t>–</w:t>
      </w:r>
      <w:r w:rsidRPr="00542047">
        <w:rPr>
          <w:rFonts w:hint="cs"/>
          <w:spacing w:val="-12"/>
          <w:rtl/>
        </w:rPr>
        <w:t xml:space="preserve"> </w:t>
      </w:r>
      <w:r w:rsidRPr="00B46B4B">
        <w:rPr>
          <w:rFonts w:hint="cs"/>
          <w:rtl/>
        </w:rPr>
        <w:t>יצירת</w:t>
      </w:r>
      <w:r w:rsidRPr="00542047">
        <w:rPr>
          <w:rFonts w:hint="cs"/>
          <w:spacing w:val="-12"/>
          <w:rtl/>
        </w:rPr>
        <w:t xml:space="preserve"> </w:t>
      </w:r>
      <w:r w:rsidRPr="00B46B4B">
        <w:rPr>
          <w:rFonts w:hint="cs"/>
          <w:rtl/>
        </w:rPr>
        <w:t>הולד.</w:t>
      </w:r>
      <w:r w:rsidRPr="00542047">
        <w:rPr>
          <w:rFonts w:hint="cs"/>
          <w:spacing w:val="-12"/>
          <w:rtl/>
        </w:rPr>
        <w:t xml:space="preserve"> </w:t>
      </w:r>
      <w:r w:rsidRPr="00B46B4B">
        <w:rPr>
          <w:rFonts w:hint="cs"/>
          <w:rtl/>
        </w:rPr>
        <w:t>האחדות</w:t>
      </w:r>
      <w:r w:rsidRPr="00542047">
        <w:rPr>
          <w:rFonts w:hint="cs"/>
          <w:spacing w:val="-12"/>
          <w:rtl/>
        </w:rPr>
        <w:t xml:space="preserve"> </w:t>
      </w:r>
      <w:r w:rsidRPr="00B46B4B">
        <w:rPr>
          <w:rFonts w:hint="cs"/>
          <w:rtl/>
        </w:rPr>
        <w:t>בעולם</w:t>
      </w:r>
      <w:r w:rsidRPr="00542047">
        <w:rPr>
          <w:rFonts w:hint="cs"/>
          <w:spacing w:val="-12"/>
          <w:rtl/>
        </w:rPr>
        <w:t xml:space="preserve"> </w:t>
      </w:r>
      <w:r w:rsidRPr="00B46B4B">
        <w:rPr>
          <w:rFonts w:hint="cs"/>
          <w:rtl/>
        </w:rPr>
        <w:t>היצירה</w:t>
      </w:r>
      <w:r w:rsidRPr="00542047">
        <w:rPr>
          <w:rFonts w:hint="cs"/>
          <w:spacing w:val="-12"/>
          <w:rtl/>
        </w:rPr>
        <w:t xml:space="preserve"> </w:t>
      </w:r>
      <w:r w:rsidRPr="00B46B4B">
        <w:rPr>
          <w:rFonts w:hint="cs"/>
          <w:rtl/>
        </w:rPr>
        <w:t>היא</w:t>
      </w:r>
      <w:r w:rsidRPr="00542047">
        <w:rPr>
          <w:rFonts w:hint="cs"/>
          <w:spacing w:val="-12"/>
          <w:rtl/>
        </w:rPr>
        <w:t xml:space="preserve"> </w:t>
      </w:r>
      <w:proofErr w:type="spellStart"/>
      <w:r w:rsidRPr="00B46B4B">
        <w:rPr>
          <w:rFonts w:hint="cs"/>
          <w:rtl/>
        </w:rPr>
        <w:t>חויה</w:t>
      </w:r>
      <w:proofErr w:type="spellEnd"/>
      <w:r w:rsidRPr="00542047">
        <w:rPr>
          <w:rFonts w:hint="cs"/>
          <w:spacing w:val="-12"/>
          <w:rtl/>
        </w:rPr>
        <w:t xml:space="preserve"> </w:t>
      </w:r>
      <w:r w:rsidRPr="00B46B4B">
        <w:rPr>
          <w:rFonts w:hint="cs"/>
          <w:rtl/>
        </w:rPr>
        <w:t>של</w:t>
      </w:r>
      <w:r w:rsidRPr="00542047">
        <w:rPr>
          <w:rFonts w:hint="cs"/>
          <w:spacing w:val="-12"/>
          <w:rtl/>
        </w:rPr>
        <w:t xml:space="preserve"> </w:t>
      </w:r>
      <w:r w:rsidRPr="001E5CAC">
        <w:rPr>
          <w:rStyle w:val="a3"/>
          <w:rFonts w:hint="cs"/>
          <w:rtl/>
        </w:rPr>
        <w:t>יחד</w:t>
      </w:r>
      <w:r w:rsidRPr="00542047">
        <w:rPr>
          <w:rFonts w:hint="cs"/>
          <w:spacing w:val="-12"/>
          <w:rtl/>
        </w:rPr>
        <w:t xml:space="preserve"> </w:t>
      </w:r>
      <w:r w:rsidRPr="00B46B4B">
        <w:rPr>
          <w:rFonts w:hint="cs"/>
          <w:rtl/>
        </w:rPr>
        <w:t>ביצירה</w:t>
      </w:r>
      <w:r w:rsidRPr="00542047">
        <w:rPr>
          <w:rFonts w:hint="cs"/>
          <w:spacing w:val="-12"/>
          <w:rtl/>
        </w:rPr>
        <w:t xml:space="preserve"> </w:t>
      </w:r>
      <w:r w:rsidRPr="00B46B4B">
        <w:rPr>
          <w:rFonts w:hint="cs"/>
          <w:rtl/>
        </w:rPr>
        <w:t>משותפת</w:t>
      </w:r>
    </w:p>
    <w:p w:rsidR="00842A62" w:rsidRPr="00B46B4B" w:rsidRDefault="00842A62" w:rsidP="00842A62">
      <w:pPr>
        <w:numPr>
          <w:ilvl w:val="0"/>
          <w:numId w:val="1"/>
        </w:numPr>
        <w:tabs>
          <w:tab w:val="clear" w:pos="1287"/>
          <w:tab w:val="num" w:pos="269"/>
          <w:tab w:val="num" w:pos="360"/>
        </w:tabs>
        <w:spacing w:line="360" w:lineRule="exact"/>
        <w:ind w:left="269" w:hanging="269"/>
        <w:rPr>
          <w:rFonts w:hint="cs"/>
          <w:rtl/>
        </w:rPr>
      </w:pPr>
      <w:r w:rsidRPr="00B46B4B">
        <w:rPr>
          <w:rFonts w:hint="cs"/>
          <w:rtl/>
        </w:rPr>
        <w:t>בעולם ה</w:t>
      </w:r>
      <w:r w:rsidRPr="00B04702">
        <w:rPr>
          <w:rStyle w:val="a3"/>
          <w:rFonts w:hint="cs"/>
          <w:rtl/>
        </w:rPr>
        <w:t>בריאה</w:t>
      </w:r>
      <w:r w:rsidRPr="00B46B4B">
        <w:rPr>
          <w:rFonts w:hint="cs"/>
          <w:rtl/>
        </w:rPr>
        <w:t xml:space="preserve">, עולם של תודעה ותפיסה שכלית, האחדות היא בשינוי מעמדה של </w:t>
      </w:r>
      <w:proofErr w:type="spellStart"/>
      <w:r w:rsidRPr="00B46B4B">
        <w:rPr>
          <w:rFonts w:hint="cs"/>
          <w:rtl/>
        </w:rPr>
        <w:t>האשה</w:t>
      </w:r>
      <w:proofErr w:type="spellEnd"/>
      <w:r w:rsidRPr="00B46B4B">
        <w:rPr>
          <w:rFonts w:hint="cs"/>
          <w:rtl/>
        </w:rPr>
        <w:t xml:space="preserve"> בעיני אישהּ והפיכתה לקרובת משפחה מהמעלה הראשונה.</w:t>
      </w:r>
      <w:r>
        <w:rPr>
          <w:rFonts w:hint="cs"/>
          <w:rtl/>
        </w:rPr>
        <w:t xml:space="preserve"> </w:t>
      </w:r>
      <w:r w:rsidRPr="00B46B4B">
        <w:rPr>
          <w:rFonts w:hint="cs"/>
          <w:rtl/>
        </w:rPr>
        <w:t xml:space="preserve">האחדות בעולם הבריאה היא </w:t>
      </w:r>
      <w:proofErr w:type="spellStart"/>
      <w:r>
        <w:rPr>
          <w:rFonts w:hint="cs"/>
          <w:rtl/>
        </w:rPr>
        <w:t>חויה</w:t>
      </w:r>
      <w:proofErr w:type="spellEnd"/>
      <w:r>
        <w:rPr>
          <w:rFonts w:hint="cs"/>
          <w:rtl/>
        </w:rPr>
        <w:t xml:space="preserve"> של התאחדות, התמזגות ל</w:t>
      </w:r>
      <w:r w:rsidRPr="008C1F4D">
        <w:rPr>
          <w:rStyle w:val="a3"/>
          <w:rFonts w:hint="cs"/>
          <w:rtl/>
        </w:rPr>
        <w:t>אחד</w:t>
      </w:r>
      <w:r>
        <w:rPr>
          <w:rFonts w:hint="cs"/>
          <w:rtl/>
        </w:rPr>
        <w:t>, באופן נפשי פנימי</w:t>
      </w:r>
      <w:r w:rsidRPr="00B46B4B">
        <w:rPr>
          <w:rFonts w:hint="cs"/>
          <w:rtl/>
        </w:rPr>
        <w:t>.</w:t>
      </w:r>
    </w:p>
    <w:p w:rsidR="00842A62" w:rsidRPr="00B46B4B" w:rsidRDefault="00842A62" w:rsidP="00842A62">
      <w:pPr>
        <w:rPr>
          <w:rFonts w:hint="cs"/>
          <w:rtl/>
        </w:rPr>
      </w:pPr>
      <w:r w:rsidRPr="00B46B4B">
        <w:rPr>
          <w:rFonts w:hint="cs"/>
          <w:rtl/>
        </w:rPr>
        <w:t>עם זאת, כל השלבים האמורים כאן נמצאים עדיין מחוץ לעולם האצילות, העולם של "רשות היחיד" ליחידו של עולם</w:t>
      </w:r>
      <w:r w:rsidRPr="00C37DFC">
        <w:rPr>
          <w:rStyle w:val="a6"/>
          <w:rtl/>
        </w:rPr>
        <w:endnoteReference w:id="6"/>
      </w:r>
      <w:r w:rsidRPr="00B46B4B">
        <w:rPr>
          <w:rFonts w:hint="cs"/>
          <w:rtl/>
        </w:rPr>
        <w:t>, שרק בו ניתן לצאת מתודעת הפירוד והריבוי של העולמות התחתונים, ובני הזוג המסורים זה לזו עד מסירת נפש ממש יכולים להגיע בו לאחדות מוחלטת ביניהם, "אחד האמת"</w:t>
      </w:r>
      <w:r w:rsidRPr="00C37DFC">
        <w:rPr>
          <w:rStyle w:val="a6"/>
          <w:rtl/>
        </w:rPr>
        <w:endnoteReference w:id="7"/>
      </w:r>
      <w:r w:rsidRPr="00B46B4B">
        <w:rPr>
          <w:rFonts w:hint="cs"/>
          <w:rtl/>
        </w:rPr>
        <w:t xml:space="preserve"> ממש.</w:t>
      </w:r>
    </w:p>
    <w:p w:rsidR="005F4A47" w:rsidRDefault="00C621D9">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1D9" w:rsidRDefault="00C621D9" w:rsidP="00842A62">
      <w:pPr>
        <w:spacing w:after="0" w:line="240" w:lineRule="auto"/>
      </w:pPr>
      <w:r>
        <w:separator/>
      </w:r>
    </w:p>
  </w:endnote>
  <w:endnote w:type="continuationSeparator" w:id="0">
    <w:p w:rsidR="00C621D9" w:rsidRDefault="00C621D9" w:rsidP="00842A62">
      <w:pPr>
        <w:spacing w:after="0" w:line="240" w:lineRule="auto"/>
      </w:pPr>
      <w:r>
        <w:continuationSeparator/>
      </w:r>
    </w:p>
  </w:endnote>
  <w:endnote w:id="1">
    <w:p w:rsidR="00842A62" w:rsidRDefault="00842A62" w:rsidP="00842A62">
      <w:pPr>
        <w:pStyle w:val="a4"/>
        <w:rPr>
          <w:rFonts w:hint="cs"/>
        </w:rPr>
      </w:pPr>
      <w:r>
        <w:rPr>
          <w:rtl/>
        </w:rPr>
        <w:tab/>
      </w:r>
      <w:r w:rsidRPr="00330483">
        <w:rPr>
          <w:rtl/>
        </w:rPr>
        <w:endnoteRef/>
      </w:r>
      <w:r>
        <w:rPr>
          <w:rtl/>
        </w:rPr>
        <w:t>.</w:t>
      </w:r>
      <w:r>
        <w:rPr>
          <w:rtl/>
        </w:rPr>
        <w:tab/>
      </w:r>
      <w:r>
        <w:rPr>
          <w:rFonts w:hint="cs"/>
          <w:rtl/>
        </w:rPr>
        <w:t>בראשית ב, כד.</w:t>
      </w:r>
    </w:p>
  </w:endnote>
  <w:endnote w:id="2">
    <w:p w:rsidR="00842A62" w:rsidRDefault="00842A62" w:rsidP="00842A62">
      <w:pPr>
        <w:pStyle w:val="a4"/>
      </w:pPr>
      <w:r>
        <w:rPr>
          <w:rtl/>
        </w:rPr>
        <w:tab/>
      </w:r>
      <w:r w:rsidRPr="00330483">
        <w:rPr>
          <w:rtl/>
        </w:rPr>
        <w:endnoteRef/>
      </w:r>
      <w:r>
        <w:rPr>
          <w:rtl/>
        </w:rPr>
        <w:t>.</w:t>
      </w:r>
      <w:r>
        <w:rPr>
          <w:rtl/>
        </w:rPr>
        <w:tab/>
      </w:r>
      <w:r>
        <w:rPr>
          <w:rFonts w:hint="cs"/>
          <w:rtl/>
        </w:rPr>
        <w:t xml:space="preserve">שם פסוק </w:t>
      </w:r>
      <w:proofErr w:type="spellStart"/>
      <w:r>
        <w:rPr>
          <w:rFonts w:hint="cs"/>
          <w:rtl/>
        </w:rPr>
        <w:t>יח</w:t>
      </w:r>
      <w:proofErr w:type="spellEnd"/>
      <w:r>
        <w:rPr>
          <w:rFonts w:hint="cs"/>
          <w:rtl/>
        </w:rPr>
        <w:t>.</w:t>
      </w:r>
    </w:p>
  </w:endnote>
  <w:endnote w:id="3">
    <w:p w:rsidR="00842A62" w:rsidRDefault="00842A62" w:rsidP="00842A62">
      <w:pPr>
        <w:pStyle w:val="a4"/>
      </w:pPr>
      <w:r>
        <w:rPr>
          <w:rtl/>
        </w:rPr>
        <w:tab/>
      </w:r>
      <w:r w:rsidRPr="00330483">
        <w:rPr>
          <w:rtl/>
        </w:rPr>
        <w:endnoteRef/>
      </w:r>
      <w:r>
        <w:rPr>
          <w:rtl/>
        </w:rPr>
        <w:t>.</w:t>
      </w:r>
      <w:r>
        <w:rPr>
          <w:rtl/>
        </w:rPr>
        <w:tab/>
      </w:r>
      <w:r>
        <w:rPr>
          <w:rFonts w:hint="cs"/>
          <w:rtl/>
        </w:rPr>
        <w:t>וראה לעיל בתורה "יחס, יחד, אחד".</w:t>
      </w:r>
    </w:p>
  </w:endnote>
  <w:endnote w:id="4">
    <w:p w:rsidR="00842A62" w:rsidRDefault="00842A62" w:rsidP="00842A62">
      <w:pPr>
        <w:pStyle w:val="a4"/>
        <w:rPr>
          <w:rFonts w:hint="cs"/>
          <w:rtl/>
        </w:rPr>
      </w:pPr>
      <w:r>
        <w:rPr>
          <w:rtl/>
        </w:rPr>
        <w:tab/>
      </w:r>
      <w:r w:rsidRPr="00330483">
        <w:rPr>
          <w:rtl/>
        </w:rPr>
        <w:endnoteRef/>
      </w:r>
      <w:r>
        <w:rPr>
          <w:rtl/>
        </w:rPr>
        <w:t>.</w:t>
      </w:r>
      <w:r>
        <w:rPr>
          <w:rtl/>
        </w:rPr>
        <w:tab/>
      </w:r>
      <w:r>
        <w:rPr>
          <w:rFonts w:hint="cs"/>
          <w:rtl/>
        </w:rPr>
        <w:t xml:space="preserve">בראשית </w:t>
      </w:r>
      <w:proofErr w:type="spellStart"/>
      <w:r>
        <w:rPr>
          <w:rFonts w:hint="cs"/>
          <w:rtl/>
        </w:rPr>
        <w:t>לז</w:t>
      </w:r>
      <w:proofErr w:type="spellEnd"/>
      <w:r>
        <w:rPr>
          <w:rFonts w:hint="cs"/>
          <w:rtl/>
        </w:rPr>
        <w:t xml:space="preserve">, </w:t>
      </w:r>
      <w:proofErr w:type="spellStart"/>
      <w:r>
        <w:rPr>
          <w:rFonts w:hint="cs"/>
          <w:rtl/>
        </w:rPr>
        <w:t>כז</w:t>
      </w:r>
      <w:proofErr w:type="spellEnd"/>
      <w:r>
        <w:rPr>
          <w:rFonts w:hint="cs"/>
          <w:rtl/>
        </w:rPr>
        <w:t>.</w:t>
      </w:r>
    </w:p>
  </w:endnote>
  <w:endnote w:id="5">
    <w:p w:rsidR="00842A62" w:rsidRDefault="00842A62" w:rsidP="00842A62">
      <w:pPr>
        <w:pStyle w:val="a4"/>
        <w:rPr>
          <w:rFonts w:hint="cs"/>
          <w:rtl/>
        </w:rPr>
      </w:pPr>
      <w:r>
        <w:rPr>
          <w:rtl/>
        </w:rPr>
        <w:tab/>
      </w:r>
      <w:r w:rsidRPr="00330483">
        <w:rPr>
          <w:rtl/>
        </w:rPr>
        <w:endnoteRef/>
      </w:r>
      <w:r>
        <w:rPr>
          <w:rtl/>
        </w:rPr>
        <w:t>.</w:t>
      </w:r>
      <w:r>
        <w:rPr>
          <w:rtl/>
        </w:rPr>
        <w:tab/>
      </w:r>
      <w:r>
        <w:rPr>
          <w:rFonts w:hint="cs"/>
          <w:rtl/>
        </w:rPr>
        <w:t xml:space="preserve">ויקרא </w:t>
      </w:r>
      <w:proofErr w:type="spellStart"/>
      <w:r>
        <w:rPr>
          <w:rFonts w:hint="cs"/>
          <w:rtl/>
        </w:rPr>
        <w:t>יח</w:t>
      </w:r>
      <w:proofErr w:type="spellEnd"/>
      <w:r>
        <w:rPr>
          <w:rFonts w:hint="cs"/>
          <w:rtl/>
        </w:rPr>
        <w:t>, ו.</w:t>
      </w:r>
    </w:p>
  </w:endnote>
  <w:endnote w:id="6">
    <w:p w:rsidR="00842A62" w:rsidRDefault="00842A62" w:rsidP="00842A62">
      <w:pPr>
        <w:pStyle w:val="a4"/>
        <w:rPr>
          <w:rFonts w:hint="cs"/>
          <w:rtl/>
        </w:rPr>
      </w:pPr>
      <w:r>
        <w:rPr>
          <w:rtl/>
        </w:rPr>
        <w:tab/>
      </w:r>
      <w:r w:rsidRPr="00330483">
        <w:rPr>
          <w:rtl/>
        </w:rPr>
        <w:endnoteRef/>
      </w:r>
      <w:r>
        <w:rPr>
          <w:rtl/>
        </w:rPr>
        <w:t>.</w:t>
      </w:r>
      <w:r>
        <w:rPr>
          <w:rtl/>
        </w:rPr>
        <w:tab/>
      </w:r>
      <w:r>
        <w:rPr>
          <w:rFonts w:hint="cs"/>
          <w:rtl/>
        </w:rPr>
        <w:t xml:space="preserve">ליקוטי </w:t>
      </w:r>
      <w:proofErr w:type="spellStart"/>
      <w:r>
        <w:rPr>
          <w:rFonts w:hint="cs"/>
          <w:rtl/>
        </w:rPr>
        <w:t>הש"ס</w:t>
      </w:r>
      <w:proofErr w:type="spellEnd"/>
      <w:r>
        <w:rPr>
          <w:rFonts w:hint="cs"/>
          <w:rtl/>
        </w:rPr>
        <w:t xml:space="preserve"> ריש מסכת שבת. עבודת הקדש ח"א </w:t>
      </w:r>
      <w:proofErr w:type="spellStart"/>
      <w:r>
        <w:rPr>
          <w:rFonts w:hint="cs"/>
          <w:rtl/>
        </w:rPr>
        <w:t>פי"א</w:t>
      </w:r>
      <w:proofErr w:type="spellEnd"/>
      <w:r>
        <w:rPr>
          <w:rFonts w:hint="cs"/>
          <w:rtl/>
        </w:rPr>
        <w:t>.</w:t>
      </w:r>
    </w:p>
  </w:endnote>
  <w:endnote w:id="7">
    <w:p w:rsidR="00842A62" w:rsidRDefault="00842A62" w:rsidP="00842A62">
      <w:pPr>
        <w:pStyle w:val="a4"/>
        <w:rPr>
          <w:rFonts w:hint="cs"/>
          <w:rtl/>
        </w:rPr>
      </w:pPr>
      <w:r>
        <w:rPr>
          <w:rtl/>
        </w:rPr>
        <w:tab/>
      </w:r>
      <w:r w:rsidRPr="00330483">
        <w:rPr>
          <w:rtl/>
        </w:rPr>
        <w:endnoteRef/>
      </w:r>
      <w:r>
        <w:rPr>
          <w:rtl/>
        </w:rPr>
        <w:t>.</w:t>
      </w:r>
      <w:r>
        <w:rPr>
          <w:rtl/>
        </w:rPr>
        <w:tab/>
      </w:r>
      <w:r>
        <w:rPr>
          <w:rFonts w:hint="cs"/>
          <w:rtl/>
        </w:rPr>
        <w:t xml:space="preserve">ראה תניא </w:t>
      </w:r>
      <w:proofErr w:type="spellStart"/>
      <w:r>
        <w:rPr>
          <w:rFonts w:hint="cs"/>
          <w:rtl/>
        </w:rPr>
        <w:t>פל"ה</w:t>
      </w:r>
      <w:proofErr w:type="spellEnd"/>
      <w:r>
        <w:rPr>
          <w:rFonts w:hint="cs"/>
          <w:rtl/>
        </w:rPr>
        <w:t xml:space="preserve"> בהגהה.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1D9" w:rsidRDefault="00C621D9" w:rsidP="00842A62">
      <w:pPr>
        <w:spacing w:after="0" w:line="240" w:lineRule="auto"/>
      </w:pPr>
      <w:r>
        <w:separator/>
      </w:r>
    </w:p>
  </w:footnote>
  <w:footnote w:type="continuationSeparator" w:id="0">
    <w:p w:rsidR="00C621D9" w:rsidRDefault="00C621D9" w:rsidP="00842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F7CBE"/>
    <w:multiLevelType w:val="hybridMultilevel"/>
    <w:tmpl w:val="7F62570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9CA"/>
    <w:rsid w:val="00061E65"/>
    <w:rsid w:val="00842A62"/>
    <w:rsid w:val="00AC2310"/>
    <w:rsid w:val="00BA09CA"/>
    <w:rsid w:val="00C62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42A6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42A6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42A62"/>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842A62"/>
    <w:rPr>
      <w:rFonts w:cs="MiriamMFO"/>
      <w:w w:val="100"/>
      <w:sz w:val="21"/>
      <w:szCs w:val="23"/>
    </w:rPr>
  </w:style>
  <w:style w:type="paragraph" w:styleId="a4">
    <w:name w:val="endnote text"/>
    <w:aliases w:val="Endnote Text"/>
    <w:basedOn w:val="a"/>
    <w:link w:val="a5"/>
    <w:semiHidden/>
    <w:rsid w:val="00842A62"/>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842A62"/>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842A62"/>
    <w:rPr>
      <w:noProof/>
      <w:position w:val="-4"/>
      <w:szCs w:val="27"/>
      <w:vertAlign w:val="superscript"/>
    </w:rPr>
  </w:style>
  <w:style w:type="paragraph" w:customStyle="1" w:styleId="a8">
    <w:name w:val="פתיח תו"/>
    <w:basedOn w:val="a"/>
    <w:link w:val="a9"/>
    <w:rsid w:val="00842A6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842A62"/>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842A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842A6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842A6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42A62"/>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842A62"/>
    <w:rPr>
      <w:rFonts w:cs="MiriamMFO"/>
      <w:w w:val="100"/>
      <w:sz w:val="21"/>
      <w:szCs w:val="23"/>
    </w:rPr>
  </w:style>
  <w:style w:type="paragraph" w:styleId="a4">
    <w:name w:val="endnote text"/>
    <w:aliases w:val="Endnote Text"/>
    <w:basedOn w:val="a"/>
    <w:link w:val="a5"/>
    <w:semiHidden/>
    <w:rsid w:val="00842A62"/>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842A62"/>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842A62"/>
    <w:rPr>
      <w:noProof/>
      <w:position w:val="-4"/>
      <w:szCs w:val="27"/>
      <w:vertAlign w:val="superscript"/>
    </w:rPr>
  </w:style>
  <w:style w:type="paragraph" w:customStyle="1" w:styleId="a8">
    <w:name w:val="פתיח תו"/>
    <w:basedOn w:val="a"/>
    <w:link w:val="a9"/>
    <w:rsid w:val="00842A6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842A62"/>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842A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1470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2017-08-15T06:39:00Z</dcterms:created>
  <dcterms:modified xsi:type="dcterms:W3CDTF">2017-08-15T06:40:00Z</dcterms:modified>
</cp:coreProperties>
</file>