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EAC" w:rsidRPr="00B46B4B" w:rsidRDefault="00154EAC" w:rsidP="00154EAC">
      <w:pPr>
        <w:pStyle w:val="2"/>
        <w:rPr>
          <w:rtl/>
        </w:rPr>
      </w:pPr>
      <w:bookmarkStart w:id="0" w:name="_Toc188281741"/>
      <w:bookmarkStart w:id="1" w:name="_Ref188282068"/>
      <w:r w:rsidRPr="00B46B4B">
        <w:rPr>
          <w:rFonts w:hint="cs"/>
          <w:rtl/>
        </w:rPr>
        <w:t>"כנשר יעיר קנו"</w:t>
      </w:r>
      <w:bookmarkEnd w:id="0"/>
      <w:bookmarkEnd w:id="1"/>
    </w:p>
    <w:p w:rsidR="00154EAC" w:rsidRPr="00EC3D1D" w:rsidRDefault="00154EAC" w:rsidP="00154EAC">
      <w:pPr>
        <w:keepNext/>
        <w:framePr w:dropCap="drop" w:lines="2" w:hSpace="57" w:wrap="around" w:vAnchor="text" w:hAnchor="text" w:xAlign="right"/>
        <w:spacing w:after="0" w:line="760" w:lineRule="exact"/>
        <w:textAlignment w:val="baseline"/>
        <w:rPr>
          <w:rStyle w:val="aa"/>
          <w:rtl/>
        </w:rPr>
      </w:pPr>
      <w:r w:rsidRPr="00EC3D1D">
        <w:rPr>
          <w:rStyle w:val="aa"/>
          <w:rFonts w:hint="cs"/>
          <w:rtl/>
        </w:rPr>
        <w:t>ה</w:t>
      </w:r>
    </w:p>
    <w:p w:rsidR="00154EAC" w:rsidRDefault="00154EAC" w:rsidP="00154EAC">
      <w:pPr>
        <w:widowControl w:val="0"/>
        <w:rPr>
          <w:rFonts w:hint="cs"/>
          <w:rtl/>
        </w:rPr>
      </w:pPr>
      <w:r w:rsidRPr="00B46B4B">
        <w:rPr>
          <w:rFonts w:hint="cs"/>
          <w:rtl/>
        </w:rPr>
        <w:t>פסוק "כנשר יעיר קנו על גוזליו ירחף יפר</w:t>
      </w:r>
      <w:r w:rsidRPr="009E0F14">
        <w:rPr>
          <w:rFonts w:hint="cs"/>
          <w:spacing w:val="-14"/>
          <w:rtl/>
        </w:rPr>
        <w:t>ֹ</w:t>
      </w:r>
      <w:r w:rsidRPr="002D1A6F">
        <w:rPr>
          <w:rFonts w:hint="cs"/>
          <w:spacing w:val="-6"/>
          <w:rtl/>
        </w:rPr>
        <w:t>ש</w:t>
      </w:r>
      <w:r w:rsidRPr="00B46B4B">
        <w:rPr>
          <w:rFonts w:hint="cs"/>
          <w:rtl/>
        </w:rPr>
        <w:t xml:space="preserve"> כנפיו </w:t>
      </w:r>
      <w:proofErr w:type="spellStart"/>
      <w:r w:rsidRPr="00B46B4B">
        <w:rPr>
          <w:rFonts w:hint="cs"/>
          <w:rtl/>
        </w:rPr>
        <w:t>יקחהו</w:t>
      </w:r>
      <w:proofErr w:type="spellEnd"/>
      <w:r w:rsidRPr="00B46B4B">
        <w:rPr>
          <w:rFonts w:hint="cs"/>
          <w:rtl/>
        </w:rPr>
        <w:t xml:space="preserve"> </w:t>
      </w:r>
      <w:proofErr w:type="spellStart"/>
      <w:r w:rsidRPr="00B46B4B">
        <w:rPr>
          <w:rFonts w:hint="cs"/>
          <w:rtl/>
        </w:rPr>
        <w:t>ישאהו</w:t>
      </w:r>
      <w:proofErr w:type="spellEnd"/>
      <w:r w:rsidRPr="00B46B4B">
        <w:rPr>
          <w:rFonts w:hint="cs"/>
          <w:rtl/>
        </w:rPr>
        <w:t xml:space="preserve"> על אברתו"</w:t>
      </w:r>
      <w:r w:rsidRPr="00C37DFC">
        <w:rPr>
          <w:rStyle w:val="a7"/>
          <w:rtl/>
        </w:rPr>
        <w:endnoteReference w:id="1"/>
      </w:r>
      <w:r w:rsidRPr="00B46B4B">
        <w:rPr>
          <w:rFonts w:hint="cs"/>
          <w:rtl/>
        </w:rPr>
        <w:t xml:space="preserve"> ממשיל את דאגת ה' לעמו ישראל לדאגת הנשר לצאצאיו, וכדברי רש"י "נהגם ברחמים ובחמלה כנשר הזה רחמני על בניו</w:t>
      </w:r>
      <w:r>
        <w:rPr>
          <w:rFonts w:hint="cs"/>
          <w:rtl/>
        </w:rPr>
        <w:t>…</w:t>
      </w:r>
      <w:r w:rsidRPr="00B46B4B">
        <w:rPr>
          <w:rFonts w:hint="cs"/>
          <w:rtl/>
        </w:rPr>
        <w:t>" (ואף במרכבה העליונה מכוונים "פני נשר" כנגד ספירת התפארת</w:t>
      </w:r>
      <w:r w:rsidRPr="00C37DFC">
        <w:rPr>
          <w:rStyle w:val="a7"/>
          <w:rtl/>
        </w:rPr>
        <w:endnoteReference w:id="2"/>
      </w:r>
      <w:r w:rsidRPr="00B46B4B">
        <w:rPr>
          <w:rFonts w:hint="cs"/>
          <w:rtl/>
        </w:rPr>
        <w:t>, שפנימיותה מדת הרחמים</w:t>
      </w:r>
      <w:r w:rsidRPr="00C37DFC">
        <w:rPr>
          <w:rStyle w:val="a7"/>
          <w:rtl/>
        </w:rPr>
        <w:endnoteReference w:id="3"/>
      </w:r>
      <w:r w:rsidRPr="00B46B4B">
        <w:rPr>
          <w:rFonts w:hint="cs"/>
          <w:rtl/>
        </w:rPr>
        <w:t xml:space="preserve">). </w:t>
      </w:r>
    </w:p>
    <w:p w:rsidR="00154EAC" w:rsidRPr="00B46B4B" w:rsidRDefault="00154EAC" w:rsidP="00154EAC">
      <w:pPr>
        <w:widowControl w:val="0"/>
        <w:rPr>
          <w:rFonts w:hint="cs"/>
          <w:rtl/>
        </w:rPr>
      </w:pPr>
      <w:r w:rsidRPr="00B46B4B">
        <w:rPr>
          <w:rFonts w:hint="cs"/>
          <w:rtl/>
        </w:rPr>
        <w:t xml:space="preserve">פשט הפסוק עוסק ביחסי הנשר וילדיו, אך </w:t>
      </w:r>
      <w:proofErr w:type="spellStart"/>
      <w:r w:rsidRPr="00B46B4B">
        <w:rPr>
          <w:rFonts w:hint="cs"/>
          <w:rtl/>
        </w:rPr>
        <w:t>מכיון</w:t>
      </w:r>
      <w:proofErr w:type="spellEnd"/>
      <w:r w:rsidRPr="00B46B4B">
        <w:rPr>
          <w:rFonts w:hint="cs"/>
          <w:rtl/>
        </w:rPr>
        <w:t xml:space="preserve"> ש"קנו" הוא ביתו של הנשר אפשר לדרוש את הפסוק גם על הקשר שלו עם "'ביתו' זו אשתו"</w:t>
      </w:r>
      <w:r w:rsidRPr="00C37DFC">
        <w:rPr>
          <w:rStyle w:val="a7"/>
          <w:rtl/>
        </w:rPr>
        <w:endnoteReference w:id="4"/>
      </w:r>
      <w:r>
        <w:rPr>
          <w:rFonts w:hint="cs"/>
          <w:rtl/>
        </w:rPr>
        <w:t xml:space="preserve"> ועל כללות </w:t>
      </w:r>
      <w:proofErr w:type="spellStart"/>
      <w:r>
        <w:rPr>
          <w:rFonts w:hint="cs"/>
          <w:rtl/>
        </w:rPr>
        <w:t>האוירה</w:t>
      </w:r>
      <w:proofErr w:type="spellEnd"/>
      <w:r>
        <w:rPr>
          <w:rFonts w:hint="cs"/>
          <w:rtl/>
        </w:rPr>
        <w:t xml:space="preserve"> בקן המשפחתי, ו</w:t>
      </w:r>
      <w:r w:rsidRPr="00B46B4B">
        <w:rPr>
          <w:rFonts w:hint="cs"/>
          <w:rtl/>
        </w:rPr>
        <w:t>ללמוד</w:t>
      </w:r>
      <w:r>
        <w:rPr>
          <w:rFonts w:hint="cs"/>
          <w:rtl/>
        </w:rPr>
        <w:t xml:space="preserve"> מכך</w:t>
      </w:r>
      <w:r w:rsidRPr="00B46B4B">
        <w:rPr>
          <w:rFonts w:hint="cs"/>
          <w:rtl/>
        </w:rPr>
        <w:t xml:space="preserve"> </w:t>
      </w:r>
      <w:r>
        <w:rPr>
          <w:rFonts w:hint="cs"/>
          <w:rtl/>
        </w:rPr>
        <w:t xml:space="preserve">על </w:t>
      </w:r>
      <w:r w:rsidRPr="00B46B4B">
        <w:rPr>
          <w:rFonts w:hint="cs"/>
          <w:rtl/>
        </w:rPr>
        <w:t xml:space="preserve">כל יחסי </w:t>
      </w:r>
      <w:r>
        <w:rPr>
          <w:rFonts w:hint="cs"/>
          <w:rtl/>
        </w:rPr>
        <w:t>ה</w:t>
      </w:r>
      <w:r w:rsidRPr="00B46B4B">
        <w:rPr>
          <w:rFonts w:hint="cs"/>
          <w:rtl/>
        </w:rPr>
        <w:t xml:space="preserve">איש </w:t>
      </w:r>
      <w:proofErr w:type="spellStart"/>
      <w:r w:rsidRPr="00B46B4B">
        <w:rPr>
          <w:rFonts w:hint="cs"/>
          <w:rtl/>
        </w:rPr>
        <w:t>ו</w:t>
      </w:r>
      <w:r>
        <w:rPr>
          <w:rFonts w:hint="cs"/>
          <w:rtl/>
        </w:rPr>
        <w:t>ה</w:t>
      </w:r>
      <w:r w:rsidRPr="00B46B4B">
        <w:rPr>
          <w:rFonts w:hint="cs"/>
          <w:rtl/>
        </w:rPr>
        <w:t>אשה</w:t>
      </w:r>
      <w:proofErr w:type="spellEnd"/>
      <w:r w:rsidRPr="00B46B4B">
        <w:rPr>
          <w:rFonts w:hint="cs"/>
          <w:rtl/>
        </w:rPr>
        <w:t xml:space="preserve"> ו</w:t>
      </w:r>
      <w:r>
        <w:rPr>
          <w:rFonts w:hint="cs"/>
          <w:rtl/>
        </w:rPr>
        <w:t xml:space="preserve">על </w:t>
      </w:r>
      <w:proofErr w:type="spellStart"/>
      <w:r>
        <w:rPr>
          <w:rFonts w:hint="cs"/>
          <w:rtl/>
        </w:rPr>
        <w:t>ה</w:t>
      </w:r>
      <w:r w:rsidRPr="00B46B4B">
        <w:rPr>
          <w:rFonts w:hint="cs"/>
          <w:rtl/>
        </w:rPr>
        <w:t>אוירה</w:t>
      </w:r>
      <w:proofErr w:type="spellEnd"/>
      <w:r w:rsidRPr="00B46B4B">
        <w:rPr>
          <w:rFonts w:hint="cs"/>
          <w:rtl/>
        </w:rPr>
        <w:t xml:space="preserve"> שצריכה לשרור בבית היהודי. ואכן, הרגש העיקרי שצריך לשרור בבית היהודי, לא רק בין ההורים לילדיהם, אלא גם בין איש לאשתו, הוא רגש הרחמים (המכיל הזדהות עמוקה יותר מאשר אהבה לבדה)</w:t>
      </w:r>
      <w:bookmarkStart w:id="2" w:name="_Ref188203591"/>
      <w:r w:rsidRPr="00C37DFC">
        <w:rPr>
          <w:rStyle w:val="a7"/>
          <w:rtl/>
        </w:rPr>
        <w:endnoteReference w:id="5"/>
      </w:r>
      <w:bookmarkEnd w:id="2"/>
      <w:r w:rsidRPr="00B46B4B">
        <w:rPr>
          <w:rFonts w:hint="cs"/>
          <w:rtl/>
        </w:rPr>
        <w:t>.</w:t>
      </w:r>
    </w:p>
    <w:p w:rsidR="00154EAC" w:rsidRPr="00B46B4B" w:rsidRDefault="00154EAC" w:rsidP="00154EAC">
      <w:pPr>
        <w:widowControl w:val="0"/>
        <w:rPr>
          <w:rFonts w:hint="cs"/>
          <w:rtl/>
        </w:rPr>
      </w:pPr>
      <w:r w:rsidRPr="00B46B4B">
        <w:rPr>
          <w:rFonts w:hint="cs"/>
          <w:rtl/>
        </w:rPr>
        <w:t xml:space="preserve">בכלל, בנין </w:t>
      </w:r>
      <w:r w:rsidRPr="00B46B4B">
        <w:rPr>
          <w:rFonts w:hint="cs"/>
          <w:b/>
          <w:bCs/>
          <w:sz w:val="28"/>
          <w:szCs w:val="28"/>
          <w:rtl/>
        </w:rPr>
        <w:t>קן</w:t>
      </w:r>
      <w:r w:rsidRPr="00B46B4B">
        <w:rPr>
          <w:rFonts w:hint="cs"/>
          <w:rtl/>
        </w:rPr>
        <w:t xml:space="preserve"> הוא דימוי נפוץ ומתאים </w:t>
      </w:r>
      <w:proofErr w:type="spellStart"/>
      <w:r w:rsidRPr="00B46B4B">
        <w:rPr>
          <w:rFonts w:hint="cs"/>
          <w:rtl/>
        </w:rPr>
        <w:t>לבנין</w:t>
      </w:r>
      <w:proofErr w:type="spellEnd"/>
      <w:r w:rsidRPr="00B46B4B">
        <w:rPr>
          <w:rFonts w:hint="cs"/>
          <w:rtl/>
        </w:rPr>
        <w:t xml:space="preserve"> ביתם של זוג צעיר, שזה עתה השתיתו את ביתם על </w:t>
      </w:r>
      <w:r w:rsidRPr="00B46B4B">
        <w:rPr>
          <w:rFonts w:hint="cs"/>
          <w:b/>
          <w:bCs/>
          <w:sz w:val="28"/>
          <w:szCs w:val="28"/>
          <w:rtl/>
        </w:rPr>
        <w:t>ק</w:t>
      </w:r>
      <w:r w:rsidRPr="00B46B4B">
        <w:rPr>
          <w:rFonts w:hint="cs"/>
          <w:rtl/>
        </w:rPr>
        <w:t>ידושין ו</w:t>
      </w:r>
      <w:r w:rsidRPr="00B46B4B">
        <w:rPr>
          <w:rFonts w:hint="cs"/>
          <w:b/>
          <w:bCs/>
          <w:sz w:val="28"/>
          <w:szCs w:val="28"/>
          <w:rtl/>
        </w:rPr>
        <w:t>נ</w:t>
      </w:r>
      <w:r w:rsidRPr="00B46B4B">
        <w:rPr>
          <w:rFonts w:hint="cs"/>
          <w:rtl/>
        </w:rPr>
        <w:t>ישואין</w:t>
      </w:r>
      <w:r w:rsidRPr="00C37DFC">
        <w:rPr>
          <w:rStyle w:val="a7"/>
          <w:rtl/>
        </w:rPr>
        <w:endnoteReference w:id="6"/>
      </w:r>
      <w:r w:rsidRPr="00B46B4B">
        <w:rPr>
          <w:rFonts w:hint="cs"/>
          <w:rtl/>
        </w:rPr>
        <w:t xml:space="preserve">. כשזוכים שישרור </w:t>
      </w:r>
      <w:r w:rsidRPr="00B46B4B">
        <w:rPr>
          <w:rFonts w:hint="cs"/>
          <w:b/>
          <w:bCs/>
          <w:sz w:val="28"/>
          <w:szCs w:val="28"/>
          <w:rtl/>
        </w:rPr>
        <w:t>שלום</w:t>
      </w:r>
      <w:r w:rsidRPr="00B46B4B">
        <w:rPr>
          <w:rFonts w:hint="cs"/>
          <w:rtl/>
        </w:rPr>
        <w:t xml:space="preserve"> בית </w:t>
      </w:r>
      <w:proofErr w:type="spellStart"/>
      <w:r w:rsidRPr="00B46B4B">
        <w:rPr>
          <w:rFonts w:hint="cs"/>
          <w:rtl/>
        </w:rPr>
        <w:t>אמיתי</w:t>
      </w:r>
      <w:proofErr w:type="spellEnd"/>
      <w:r w:rsidRPr="00B46B4B">
        <w:rPr>
          <w:rFonts w:hint="cs"/>
          <w:rtl/>
        </w:rPr>
        <w:t xml:space="preserve"> בתוך הקן הוא בסוד "היכל קן </w:t>
      </w:r>
      <w:r w:rsidRPr="00B46B4B">
        <w:rPr>
          <w:rFonts w:hint="cs"/>
          <w:b/>
          <w:bCs/>
          <w:sz w:val="28"/>
          <w:szCs w:val="28"/>
          <w:rtl/>
        </w:rPr>
        <w:t>צפור</w:t>
      </w:r>
      <w:r w:rsidRPr="00B46B4B">
        <w:rPr>
          <w:rFonts w:hint="cs"/>
          <w:rtl/>
        </w:rPr>
        <w:t>", בו שוכן מלך המשיח</w:t>
      </w:r>
      <w:r w:rsidRPr="00C37DFC">
        <w:rPr>
          <w:rStyle w:val="a7"/>
          <w:rtl/>
        </w:rPr>
        <w:endnoteReference w:id="7"/>
      </w:r>
      <w:r w:rsidRPr="00B46B4B">
        <w:rPr>
          <w:rFonts w:hint="cs"/>
          <w:rtl/>
        </w:rPr>
        <w:t xml:space="preserve">. אמנם, לשון הפסוק המדויקת </w:t>
      </w:r>
      <w:r w:rsidRPr="00B46B4B">
        <w:rPr>
          <w:rtl/>
        </w:rPr>
        <w:t>–</w:t>
      </w:r>
      <w:r w:rsidRPr="00B46B4B">
        <w:rPr>
          <w:rFonts w:hint="cs"/>
          <w:rtl/>
        </w:rPr>
        <w:t xml:space="preserve"> "</w:t>
      </w:r>
      <w:r w:rsidRPr="00B46B4B">
        <w:rPr>
          <w:rFonts w:hint="cs"/>
          <w:b/>
          <w:bCs/>
          <w:sz w:val="28"/>
          <w:szCs w:val="28"/>
          <w:rtl/>
        </w:rPr>
        <w:t>יעיר</w:t>
      </w:r>
      <w:r w:rsidRPr="00B46B4B">
        <w:rPr>
          <w:rFonts w:hint="cs"/>
          <w:rtl/>
        </w:rPr>
        <w:t xml:space="preserve"> </w:t>
      </w:r>
      <w:r w:rsidRPr="00B46B4B">
        <w:rPr>
          <w:rFonts w:hint="cs"/>
          <w:b/>
          <w:bCs/>
          <w:sz w:val="28"/>
          <w:szCs w:val="28"/>
          <w:rtl/>
        </w:rPr>
        <w:t>קנו</w:t>
      </w:r>
      <w:r w:rsidRPr="00B46B4B">
        <w:rPr>
          <w:rFonts w:hint="cs"/>
          <w:rtl/>
        </w:rPr>
        <w:t>" – רומזת גם לביטוי "[הוי' כגבור יצא כאיש מלחמות</w:t>
      </w:r>
      <w:r w:rsidRPr="00C37DFC">
        <w:rPr>
          <w:rStyle w:val="a7"/>
          <w:rtl/>
        </w:rPr>
        <w:endnoteReference w:id="8"/>
      </w:r>
      <w:r w:rsidRPr="00B46B4B">
        <w:rPr>
          <w:rFonts w:hint="cs"/>
          <w:rtl/>
        </w:rPr>
        <w:t xml:space="preserve">] </w:t>
      </w:r>
      <w:r w:rsidRPr="00B46B4B">
        <w:rPr>
          <w:rFonts w:hint="cs"/>
          <w:b/>
          <w:bCs/>
          <w:sz w:val="28"/>
          <w:szCs w:val="28"/>
          <w:rtl/>
        </w:rPr>
        <w:t>יעיר</w:t>
      </w:r>
      <w:r w:rsidRPr="00B46B4B">
        <w:rPr>
          <w:rFonts w:hint="cs"/>
          <w:rtl/>
        </w:rPr>
        <w:t xml:space="preserve"> </w:t>
      </w:r>
      <w:r w:rsidRPr="00B46B4B">
        <w:rPr>
          <w:rFonts w:hint="cs"/>
          <w:b/>
          <w:bCs/>
          <w:sz w:val="28"/>
          <w:szCs w:val="28"/>
          <w:rtl/>
        </w:rPr>
        <w:t>קנאה</w:t>
      </w:r>
      <w:r w:rsidRPr="00B46B4B">
        <w:rPr>
          <w:rFonts w:hint="cs"/>
          <w:rtl/>
        </w:rPr>
        <w:t>"</w:t>
      </w:r>
      <w:r w:rsidRPr="00C37DFC">
        <w:rPr>
          <w:rStyle w:val="a7"/>
          <w:rtl/>
        </w:rPr>
        <w:endnoteReference w:id="9"/>
      </w:r>
      <w:r w:rsidRPr="00B46B4B">
        <w:rPr>
          <w:rFonts w:hint="cs"/>
          <w:rtl/>
        </w:rPr>
        <w:t xml:space="preserve">. </w:t>
      </w:r>
      <w:proofErr w:type="spellStart"/>
      <w:r w:rsidRPr="00B46B4B">
        <w:rPr>
          <w:rFonts w:hint="cs"/>
          <w:rtl/>
        </w:rPr>
        <w:t>מכיון</w:t>
      </w:r>
      <w:proofErr w:type="spellEnd"/>
      <w:r w:rsidRPr="00B46B4B">
        <w:rPr>
          <w:rFonts w:hint="cs"/>
          <w:rtl/>
        </w:rPr>
        <w:t xml:space="preserve"> שמדובר בפסוק של שבח, ברור שהמדובר כאן בהתעוררות קנאה חיובית, </w:t>
      </w:r>
      <w:r w:rsidRPr="00707F15">
        <w:rPr>
          <w:rFonts w:hint="cs"/>
          <w:b/>
          <w:bCs/>
          <w:sz w:val="28"/>
          <w:szCs w:val="28"/>
          <w:rtl/>
        </w:rPr>
        <w:t>קנאה</w:t>
      </w:r>
      <w:r w:rsidRPr="00B46B4B">
        <w:rPr>
          <w:rFonts w:hint="cs"/>
          <w:rtl/>
        </w:rPr>
        <w:t xml:space="preserve"> שהיא </w:t>
      </w:r>
      <w:proofErr w:type="spellStart"/>
      <w:r w:rsidRPr="00B46B4B">
        <w:rPr>
          <w:rFonts w:hint="cs"/>
          <w:rtl/>
        </w:rPr>
        <w:t>ממדתו</w:t>
      </w:r>
      <w:proofErr w:type="spellEnd"/>
      <w:r w:rsidRPr="00B46B4B">
        <w:rPr>
          <w:rFonts w:hint="cs"/>
          <w:rtl/>
        </w:rPr>
        <w:t xml:space="preserve"> של </w:t>
      </w:r>
      <w:r w:rsidRPr="00B46B4B">
        <w:rPr>
          <w:rFonts w:hint="cs"/>
          <w:b/>
          <w:bCs/>
          <w:sz w:val="28"/>
          <w:szCs w:val="28"/>
          <w:rtl/>
        </w:rPr>
        <w:t>יוסף</w:t>
      </w:r>
      <w:r w:rsidRPr="00B46B4B">
        <w:rPr>
          <w:rFonts w:hint="cs"/>
          <w:rtl/>
        </w:rPr>
        <w:t xml:space="preserve"> הצדיק, שומר הברית, המגבירה את האהבה בין בני הזוג</w:t>
      </w:r>
      <w:r w:rsidRPr="00C37DFC">
        <w:rPr>
          <w:rStyle w:val="a7"/>
          <w:rtl/>
        </w:rPr>
        <w:endnoteReference w:id="10"/>
      </w:r>
      <w:r w:rsidRPr="00B46B4B">
        <w:rPr>
          <w:rFonts w:hint="cs"/>
          <w:rtl/>
        </w:rPr>
        <w:t>. איזו מין קנאה היא זו?</w:t>
      </w:r>
    </w:p>
    <w:p w:rsidR="00154EAC" w:rsidRDefault="00154EAC" w:rsidP="00154EAC">
      <w:pPr>
        <w:widowControl w:val="0"/>
        <w:rPr>
          <w:rFonts w:hint="cs"/>
          <w:rtl/>
        </w:rPr>
      </w:pPr>
      <w:r>
        <w:rPr>
          <w:rFonts w:hint="cs"/>
          <w:rtl/>
        </w:rPr>
        <w:t>בפרשת סוטה נאמר</w:t>
      </w:r>
      <w:r w:rsidRPr="00B46B4B">
        <w:rPr>
          <w:rFonts w:hint="cs"/>
          <w:rtl/>
        </w:rPr>
        <w:t xml:space="preserve"> "ועבר עליו רוח קנאה"</w:t>
      </w:r>
      <w:r w:rsidRPr="00C37DFC">
        <w:rPr>
          <w:rStyle w:val="a7"/>
          <w:rtl/>
        </w:rPr>
        <w:endnoteReference w:id="11"/>
      </w:r>
      <w:r>
        <w:rPr>
          <w:rFonts w:hint="cs"/>
          <w:rtl/>
        </w:rPr>
        <w:t>, ו</w:t>
      </w:r>
      <w:r w:rsidRPr="00B46B4B">
        <w:rPr>
          <w:rFonts w:hint="cs"/>
          <w:rtl/>
        </w:rPr>
        <w:t>נחלקו חז"ל</w:t>
      </w:r>
      <w:r w:rsidRPr="00C37DFC">
        <w:rPr>
          <w:rStyle w:val="a7"/>
          <w:rtl/>
        </w:rPr>
        <w:endnoteReference w:id="12"/>
      </w:r>
      <w:r w:rsidRPr="00B46B4B">
        <w:rPr>
          <w:rFonts w:hint="cs"/>
          <w:rtl/>
        </w:rPr>
        <w:t xml:space="preserve"> האם זו רוח טהרה או רוח טומאה. המסקנה להלכה היא שיש רוח קנאה טהורה, ומתוכה</w:t>
      </w:r>
      <w:r>
        <w:rPr>
          <w:rFonts w:hint="cs"/>
          <w:rtl/>
        </w:rPr>
        <w:t xml:space="preserve"> בא האדם לידי </w:t>
      </w:r>
      <w:proofErr w:type="spellStart"/>
      <w:r>
        <w:rPr>
          <w:rFonts w:hint="cs"/>
          <w:rtl/>
        </w:rPr>
        <w:t>קינוי</w:t>
      </w:r>
      <w:proofErr w:type="spellEnd"/>
      <w:r>
        <w:rPr>
          <w:rFonts w:hint="cs"/>
          <w:rtl/>
        </w:rPr>
        <w:t xml:space="preserve"> לאשתו כראוי. עם זאת, ממחלוקת זו</w:t>
      </w:r>
      <w:r w:rsidRPr="00B46B4B">
        <w:rPr>
          <w:rFonts w:hint="cs"/>
          <w:rtl/>
        </w:rPr>
        <w:t xml:space="preserve"> ברור ופשוט שישנה גם קנאה שלילית והרסנית</w:t>
      </w:r>
      <w:r>
        <w:rPr>
          <w:rFonts w:hint="cs"/>
          <w:rtl/>
        </w:rPr>
        <w:t>, ויש להבחין בין זו לזו. זהו היסוד להוראת הרמב"ם</w:t>
      </w:r>
      <w:bookmarkStart w:id="3" w:name="_Ref185583280"/>
      <w:r w:rsidRPr="00C37DFC">
        <w:rPr>
          <w:rStyle w:val="a7"/>
          <w:rtl/>
        </w:rPr>
        <w:endnoteReference w:id="13"/>
      </w:r>
      <w:bookmarkEnd w:id="3"/>
      <w:r>
        <w:rPr>
          <w:rFonts w:hint="cs"/>
          <w:rtl/>
        </w:rPr>
        <w:t xml:space="preserve">: </w:t>
      </w:r>
    </w:p>
    <w:p w:rsidR="00154EAC" w:rsidRPr="00B46B4B" w:rsidRDefault="00154EAC" w:rsidP="00154EAC">
      <w:pPr>
        <w:pStyle w:val="a3"/>
        <w:rPr>
          <w:rFonts w:hint="cs"/>
          <w:rtl/>
        </w:rPr>
      </w:pPr>
      <w:r w:rsidRPr="00B46B4B">
        <w:rPr>
          <w:rFonts w:hint="cs"/>
          <w:rtl/>
        </w:rPr>
        <w:t>ולא יקנא לה לא מתוך שחוק ולא מתוך שיחה ולא מתוך קלות ראש ולא מתוך מריבה ולא להטיל עליה אימה</w:t>
      </w:r>
      <w:r>
        <w:rPr>
          <w:rFonts w:hint="cs"/>
          <w:rtl/>
        </w:rPr>
        <w:t>…</w:t>
      </w:r>
      <w:r w:rsidRPr="00B46B4B">
        <w:rPr>
          <w:rFonts w:hint="cs"/>
          <w:rtl/>
        </w:rPr>
        <w:t xml:space="preserve"> אלא בינו לבינה בנחת ובדרך טהרה ואזהרה כדי להדריכה בדרך ישרה ולהסיר המכשול</w:t>
      </w:r>
      <w:r>
        <w:rPr>
          <w:rFonts w:hint="cs"/>
          <w:rtl/>
        </w:rPr>
        <w:t>…</w:t>
      </w:r>
      <w:r w:rsidRPr="00B46B4B">
        <w:rPr>
          <w:rFonts w:hint="cs"/>
          <w:rtl/>
        </w:rPr>
        <w:t xml:space="preserve"> </w:t>
      </w:r>
    </w:p>
    <w:p w:rsidR="00154EAC" w:rsidRPr="00B46B4B" w:rsidRDefault="00154EAC" w:rsidP="00154EAC">
      <w:pPr>
        <w:widowControl w:val="0"/>
        <w:rPr>
          <w:rFonts w:hint="cs"/>
          <w:rtl/>
        </w:rPr>
      </w:pPr>
      <w:r w:rsidRPr="00B46B4B">
        <w:rPr>
          <w:rFonts w:hint="cs"/>
          <w:rtl/>
        </w:rPr>
        <w:t xml:space="preserve">נראה כי קנאה שלילית היא </w:t>
      </w:r>
      <w:proofErr w:type="spellStart"/>
      <w:r w:rsidRPr="00B46B4B">
        <w:rPr>
          <w:rFonts w:hint="cs"/>
          <w:rtl/>
        </w:rPr>
        <w:t>נסיון</w:t>
      </w:r>
      <w:proofErr w:type="spellEnd"/>
      <w:r w:rsidRPr="00B46B4B">
        <w:rPr>
          <w:rFonts w:hint="cs"/>
          <w:rtl/>
        </w:rPr>
        <w:t xml:space="preserve"> רכושני לתפוס-לכלוא את בן הזוג, תוך כפיה של גדרות-הגדרות על נפשו וגופו. קנאה כזו אינה נתינת </w:t>
      </w:r>
      <w:proofErr w:type="spellStart"/>
      <w:r w:rsidRPr="00B46B4B">
        <w:rPr>
          <w:rFonts w:hint="cs"/>
          <w:rtl/>
        </w:rPr>
        <w:t>כח</w:t>
      </w:r>
      <w:proofErr w:type="spellEnd"/>
      <w:r w:rsidRPr="00B46B4B">
        <w:rPr>
          <w:rFonts w:hint="cs"/>
          <w:rtl/>
        </w:rPr>
        <w:t xml:space="preserve"> </w:t>
      </w:r>
      <w:proofErr w:type="spellStart"/>
      <w:r w:rsidRPr="00B46B4B">
        <w:rPr>
          <w:rFonts w:hint="cs"/>
          <w:rtl/>
        </w:rPr>
        <w:t>להשמר</w:t>
      </w:r>
      <w:proofErr w:type="spellEnd"/>
      <w:r w:rsidRPr="00B46B4B">
        <w:rPr>
          <w:rFonts w:hint="cs"/>
          <w:rtl/>
        </w:rPr>
        <w:t xml:space="preserve"> מפני חטא, אלא </w:t>
      </w:r>
      <w:proofErr w:type="spellStart"/>
      <w:r w:rsidRPr="00B46B4B">
        <w:rPr>
          <w:rFonts w:hint="cs"/>
          <w:rtl/>
        </w:rPr>
        <w:t>נסיון</w:t>
      </w:r>
      <w:proofErr w:type="spellEnd"/>
      <w:r w:rsidRPr="00B46B4B">
        <w:rPr>
          <w:rFonts w:hint="cs"/>
          <w:rtl/>
        </w:rPr>
        <w:t xml:space="preserve"> של המקנא לכפות את עצמו על הזולת</w:t>
      </w:r>
      <w:r>
        <w:rPr>
          <w:rFonts w:hint="cs"/>
          <w:rtl/>
        </w:rPr>
        <w:t xml:space="preserve"> בעל </w:t>
      </w:r>
      <w:proofErr w:type="spellStart"/>
      <w:r>
        <w:rPr>
          <w:rFonts w:hint="cs"/>
          <w:rtl/>
        </w:rPr>
        <w:t>כרחו</w:t>
      </w:r>
      <w:proofErr w:type="spellEnd"/>
      <w:r>
        <w:rPr>
          <w:rFonts w:hint="cs"/>
          <w:rtl/>
        </w:rPr>
        <w:t>, בלי להתחשב ברצונותיו.</w:t>
      </w:r>
      <w:r w:rsidRPr="00B46B4B">
        <w:rPr>
          <w:rFonts w:hint="cs"/>
          <w:rtl/>
        </w:rPr>
        <w:t xml:space="preserve"> </w:t>
      </w:r>
      <w:r>
        <w:rPr>
          <w:rFonts w:hint="cs"/>
          <w:rtl/>
        </w:rPr>
        <w:t xml:space="preserve">וכך מסיים </w:t>
      </w:r>
      <w:r w:rsidRPr="00B46B4B">
        <w:rPr>
          <w:rFonts w:hint="cs"/>
          <w:rtl/>
        </w:rPr>
        <w:t xml:space="preserve">הרמב"ם (אחרי שהוא מקדים "וחובה על כל איש לקנות לאשתו. אמרו חכמים אין אדם מקנא לאשתו אלא אם כן נכנסה בו רוח טהרה") – "ולא יקנא לה ביותר </w:t>
      </w:r>
      <w:proofErr w:type="spellStart"/>
      <w:r w:rsidRPr="00B46B4B">
        <w:rPr>
          <w:rFonts w:hint="cs"/>
          <w:rtl/>
        </w:rPr>
        <w:t>מדאי</w:t>
      </w:r>
      <w:proofErr w:type="spellEnd"/>
      <w:r w:rsidRPr="00B46B4B">
        <w:rPr>
          <w:rFonts w:hint="cs"/>
          <w:rtl/>
        </w:rPr>
        <w:t xml:space="preserve">. ולא יאנוס אותה </w:t>
      </w:r>
      <w:proofErr w:type="spellStart"/>
      <w:r w:rsidRPr="00B46B4B">
        <w:rPr>
          <w:rFonts w:hint="cs"/>
          <w:rtl/>
        </w:rPr>
        <w:t>ויבעול</w:t>
      </w:r>
      <w:proofErr w:type="spellEnd"/>
      <w:r w:rsidRPr="00B46B4B">
        <w:rPr>
          <w:rFonts w:hint="cs"/>
          <w:rtl/>
        </w:rPr>
        <w:t xml:space="preserve"> בעל </w:t>
      </w:r>
      <w:proofErr w:type="spellStart"/>
      <w:r w:rsidRPr="00B46B4B">
        <w:rPr>
          <w:rFonts w:hint="cs"/>
          <w:rtl/>
        </w:rPr>
        <w:t>כרחה</w:t>
      </w:r>
      <w:proofErr w:type="spellEnd"/>
      <w:r w:rsidRPr="00B46B4B">
        <w:rPr>
          <w:rFonts w:hint="cs"/>
          <w:rtl/>
        </w:rPr>
        <w:t xml:space="preserve"> אלא לדעתה ומתוך שיחה ושמחה"</w:t>
      </w:r>
      <w:r w:rsidRPr="00C37DFC">
        <w:rPr>
          <w:rStyle w:val="a7"/>
          <w:rtl/>
        </w:rPr>
        <w:endnoteReference w:id="14"/>
      </w:r>
      <w:r w:rsidRPr="00B46B4B">
        <w:rPr>
          <w:rFonts w:hint="cs"/>
          <w:rtl/>
        </w:rPr>
        <w:t>.</w:t>
      </w:r>
    </w:p>
    <w:p w:rsidR="00154EAC" w:rsidRPr="00B46B4B" w:rsidRDefault="00154EAC" w:rsidP="00154EAC">
      <w:pPr>
        <w:widowControl w:val="0"/>
        <w:rPr>
          <w:rFonts w:hint="cs"/>
          <w:rtl/>
        </w:rPr>
      </w:pPr>
      <w:r>
        <w:rPr>
          <w:rFonts w:hint="cs"/>
          <w:rtl/>
        </w:rPr>
        <w:lastRenderedPageBreak/>
        <w:t>לעומת הקנאה השלילית, שיש בה ממד של אונס</w:t>
      </w:r>
      <w:r w:rsidRPr="00B46B4B">
        <w:rPr>
          <w:rFonts w:hint="cs"/>
          <w:rtl/>
        </w:rPr>
        <w:t xml:space="preserve">, </w:t>
      </w:r>
      <w:r>
        <w:rPr>
          <w:rFonts w:hint="cs"/>
          <w:rtl/>
        </w:rPr>
        <w:t xml:space="preserve">עומדת </w:t>
      </w:r>
      <w:r w:rsidRPr="00B46B4B">
        <w:rPr>
          <w:rFonts w:hint="cs"/>
          <w:rtl/>
        </w:rPr>
        <w:t>הקנאה החיובית</w:t>
      </w:r>
      <w:r>
        <w:rPr>
          <w:rFonts w:hint="cs"/>
          <w:rtl/>
        </w:rPr>
        <w:t xml:space="preserve">. הקנאה הנובעת מרוח טהרה היא </w:t>
      </w:r>
      <w:r w:rsidRPr="00B46B4B">
        <w:rPr>
          <w:rFonts w:hint="cs"/>
          <w:rtl/>
        </w:rPr>
        <w:t xml:space="preserve">נתינת </w:t>
      </w:r>
      <w:proofErr w:type="spellStart"/>
      <w:r w:rsidRPr="00B46B4B">
        <w:rPr>
          <w:rFonts w:hint="cs"/>
          <w:rtl/>
        </w:rPr>
        <w:t>כח</w:t>
      </w:r>
      <w:proofErr w:type="spellEnd"/>
      <w:r w:rsidRPr="00B46B4B">
        <w:rPr>
          <w:rFonts w:hint="cs"/>
          <w:rtl/>
        </w:rPr>
        <w:t xml:space="preserve"> ועידוד לשמירה מחטא ולהסרת כל מכשול. בעומק, קנאה כזו באה מתוך רצון בריא לשמור על בן הזוג כאוצר יקר, עם ההכרה בכך שעומקו נותר בלתי מושג, ולפיכך מעורר געגוע וקנאה. זו קנאה מלאת התחשבות רגישה בבן הזוג ורצונותיו, המרגישה את המרחק שלו ומעודדת לנסות להתקרב אליו מתוך כבוד אין סופי. קנאה כזו, מתוך רוח טהרה, משרה את השראתה על כל קשר האהבה</w:t>
      </w:r>
      <w:r w:rsidRPr="00C37DFC">
        <w:rPr>
          <w:rStyle w:val="a7"/>
          <w:rtl/>
        </w:rPr>
        <w:endnoteReference w:id="15"/>
      </w:r>
      <w:r w:rsidRPr="00B46B4B">
        <w:rPr>
          <w:rFonts w:hint="cs"/>
          <w:rtl/>
        </w:rPr>
        <w:t xml:space="preserve"> ומביאה לשלום בית </w:t>
      </w:r>
      <w:proofErr w:type="spellStart"/>
      <w:r w:rsidRPr="00B46B4B">
        <w:rPr>
          <w:rFonts w:hint="cs"/>
          <w:rtl/>
        </w:rPr>
        <w:t>אמיתי</w:t>
      </w:r>
      <w:proofErr w:type="spellEnd"/>
      <w:r w:rsidRPr="00B46B4B">
        <w:rPr>
          <w:rFonts w:hint="cs"/>
          <w:rtl/>
        </w:rPr>
        <w:t>, כפי שחותם הרמב"ם את הלכות סוטה (בסיום לשונו שהובאה לעיל</w:t>
      </w:r>
      <w:r w:rsidRPr="00B46B4B">
        <w:rPr>
          <w:rStyle w:val="a7"/>
          <w:rtl/>
        </w:rPr>
        <w:fldChar w:fldCharType="begin"/>
      </w:r>
      <w:r w:rsidRPr="00B46B4B">
        <w:rPr>
          <w:rStyle w:val="a7"/>
          <w:rtl/>
        </w:rPr>
        <w:instrText xml:space="preserve"> </w:instrText>
      </w:r>
      <w:r w:rsidRPr="00B46B4B">
        <w:rPr>
          <w:rStyle w:val="a7"/>
          <w:rFonts w:hint="cs"/>
        </w:rPr>
        <w:instrText>NOTEREF</w:instrText>
      </w:r>
      <w:r w:rsidRPr="00B46B4B">
        <w:rPr>
          <w:rStyle w:val="a7"/>
          <w:rFonts w:hint="cs"/>
          <w:rtl/>
        </w:rPr>
        <w:instrText xml:space="preserve"> _</w:instrText>
      </w:r>
      <w:r w:rsidRPr="00B46B4B">
        <w:rPr>
          <w:rStyle w:val="a7"/>
          <w:rFonts w:hint="cs"/>
        </w:rPr>
        <w:instrText>Ref185583280 \h</w:instrText>
      </w:r>
      <w:r w:rsidRPr="00B46B4B">
        <w:rPr>
          <w:rStyle w:val="a7"/>
          <w:rtl/>
        </w:rPr>
        <w:instrText xml:space="preserve"> </w:instrText>
      </w:r>
      <w:r w:rsidRPr="00B46B4B">
        <w:rPr>
          <w:rStyle w:val="a7"/>
        </w:rPr>
      </w:r>
      <w:r w:rsidRPr="00B46B4B">
        <w:rPr>
          <w:rStyle w:val="a7"/>
          <w:rtl/>
        </w:rPr>
        <w:instrText xml:space="preserve"> \* </w:instrText>
      </w:r>
      <w:r w:rsidRPr="00B46B4B">
        <w:rPr>
          <w:rStyle w:val="a7"/>
        </w:rPr>
        <w:instrText>MERGEFORMAT</w:instrText>
      </w:r>
      <w:r w:rsidRPr="00B46B4B">
        <w:rPr>
          <w:rStyle w:val="a7"/>
          <w:rtl/>
        </w:rPr>
        <w:instrText xml:space="preserve"> </w:instrText>
      </w:r>
      <w:r w:rsidRPr="00B46B4B">
        <w:rPr>
          <w:rStyle w:val="a7"/>
          <w:rtl/>
        </w:rPr>
        <w:fldChar w:fldCharType="separate"/>
      </w:r>
      <w:r>
        <w:rPr>
          <w:rStyle w:val="a7"/>
          <w:rtl/>
        </w:rPr>
        <w:t>יג</w:t>
      </w:r>
      <w:r w:rsidRPr="00B46B4B">
        <w:rPr>
          <w:rStyle w:val="a7"/>
          <w:rtl/>
        </w:rPr>
        <w:fldChar w:fldCharType="end"/>
      </w:r>
      <w:r w:rsidRPr="00B46B4B">
        <w:rPr>
          <w:rFonts w:hint="cs"/>
          <w:rtl/>
        </w:rPr>
        <w:t xml:space="preserve">) בתכלית הרצויה – "וידעת כי שלום אהלך ופקדת </w:t>
      </w:r>
      <w:proofErr w:type="spellStart"/>
      <w:r w:rsidRPr="00B46B4B">
        <w:rPr>
          <w:rFonts w:hint="cs"/>
          <w:rtl/>
        </w:rPr>
        <w:t>נוך</w:t>
      </w:r>
      <w:proofErr w:type="spellEnd"/>
      <w:r w:rsidRPr="00B46B4B">
        <w:rPr>
          <w:rFonts w:hint="cs"/>
          <w:rtl/>
        </w:rPr>
        <w:t xml:space="preserve"> ולא תחטא"</w:t>
      </w:r>
      <w:r w:rsidRPr="00C37DFC">
        <w:rPr>
          <w:rStyle w:val="a7"/>
          <w:rtl/>
        </w:rPr>
        <w:endnoteReference w:id="16"/>
      </w:r>
      <w:r w:rsidRPr="00B46B4B">
        <w:rPr>
          <w:rFonts w:hint="cs"/>
          <w:rtl/>
        </w:rPr>
        <w:t>.</w:t>
      </w:r>
    </w:p>
    <w:p w:rsidR="005F4A47" w:rsidRDefault="00681063">
      <w:bookmarkStart w:id="4" w:name="_GoBack"/>
      <w:bookmarkEnd w:id="4"/>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063" w:rsidRDefault="00681063" w:rsidP="00154EAC">
      <w:pPr>
        <w:spacing w:after="0" w:line="240" w:lineRule="auto"/>
      </w:pPr>
      <w:r>
        <w:separator/>
      </w:r>
    </w:p>
  </w:endnote>
  <w:endnote w:type="continuationSeparator" w:id="0">
    <w:p w:rsidR="00681063" w:rsidRDefault="00681063" w:rsidP="00154EAC">
      <w:pPr>
        <w:spacing w:after="0" w:line="240" w:lineRule="auto"/>
      </w:pPr>
      <w:r>
        <w:continuationSeparator/>
      </w:r>
    </w:p>
  </w:endnote>
  <w:endnote w:id="1">
    <w:p w:rsidR="00154EAC" w:rsidRDefault="00154EAC" w:rsidP="00154EAC">
      <w:pPr>
        <w:pStyle w:val="a5"/>
        <w:rPr>
          <w:rFonts w:hint="cs"/>
          <w:rtl/>
        </w:rPr>
      </w:pPr>
      <w:r>
        <w:rPr>
          <w:rtl/>
        </w:rPr>
        <w:tab/>
      </w:r>
      <w:r w:rsidRPr="004377AB">
        <w:rPr>
          <w:rtl/>
        </w:rPr>
        <w:endnoteRef/>
      </w:r>
      <w:r>
        <w:rPr>
          <w:rtl/>
        </w:rPr>
        <w:t>.</w:t>
      </w:r>
      <w:r>
        <w:rPr>
          <w:rtl/>
        </w:rPr>
        <w:tab/>
      </w:r>
      <w:r>
        <w:rPr>
          <w:rFonts w:hint="cs"/>
          <w:rtl/>
        </w:rPr>
        <w:t>דברים לב, יא.</w:t>
      </w:r>
    </w:p>
  </w:endnote>
  <w:endnote w:id="2">
    <w:p w:rsidR="00154EAC" w:rsidRDefault="00154EAC" w:rsidP="00154EAC">
      <w:pPr>
        <w:pStyle w:val="a5"/>
        <w:rPr>
          <w:rFonts w:hint="cs"/>
          <w:rtl/>
        </w:rPr>
      </w:pPr>
      <w:r>
        <w:rPr>
          <w:rtl/>
        </w:rPr>
        <w:tab/>
      </w:r>
      <w:r w:rsidRPr="004377AB">
        <w:rPr>
          <w:rtl/>
        </w:rPr>
        <w:endnoteRef/>
      </w:r>
      <w:r>
        <w:rPr>
          <w:rtl/>
        </w:rPr>
        <w:t>.</w:t>
      </w:r>
      <w:r>
        <w:rPr>
          <w:rtl/>
        </w:rPr>
        <w:tab/>
      </w:r>
      <w:proofErr w:type="spellStart"/>
      <w:r>
        <w:rPr>
          <w:rFonts w:hint="cs"/>
          <w:rtl/>
        </w:rPr>
        <w:t>תקוני</w:t>
      </w:r>
      <w:proofErr w:type="spellEnd"/>
      <w:r>
        <w:rPr>
          <w:rFonts w:hint="cs"/>
          <w:rtl/>
        </w:rPr>
        <w:t xml:space="preserve"> זהר </w:t>
      </w:r>
      <w:proofErr w:type="spellStart"/>
      <w:r>
        <w:rPr>
          <w:rFonts w:hint="cs"/>
          <w:rtl/>
        </w:rPr>
        <w:t>תקון</w:t>
      </w:r>
      <w:proofErr w:type="spellEnd"/>
      <w:r>
        <w:rPr>
          <w:rFonts w:hint="cs"/>
          <w:rtl/>
        </w:rPr>
        <w:t xml:space="preserve"> ע (</w:t>
      </w:r>
      <w:proofErr w:type="spellStart"/>
      <w:r>
        <w:rPr>
          <w:rFonts w:hint="cs"/>
          <w:rtl/>
        </w:rPr>
        <w:t>קלג</w:t>
      </w:r>
      <w:proofErr w:type="spellEnd"/>
      <w:r>
        <w:rPr>
          <w:rFonts w:hint="cs"/>
          <w:rtl/>
        </w:rPr>
        <w:t xml:space="preserve">, ב). וראה הקדמת </w:t>
      </w:r>
      <w:proofErr w:type="spellStart"/>
      <w:r>
        <w:rPr>
          <w:rFonts w:hint="cs"/>
          <w:rtl/>
        </w:rPr>
        <w:t>הראב"ד</w:t>
      </w:r>
      <w:proofErr w:type="spellEnd"/>
      <w:r>
        <w:rPr>
          <w:rFonts w:hint="cs"/>
          <w:rtl/>
        </w:rPr>
        <w:t xml:space="preserve"> לספר יצירה (סמוך לסופו). זהר חדש יתרו מאמר ואתה תחזה.</w:t>
      </w:r>
    </w:p>
  </w:endnote>
  <w:endnote w:id="3">
    <w:p w:rsidR="00154EAC" w:rsidRDefault="00154EAC" w:rsidP="00154EAC">
      <w:pPr>
        <w:pStyle w:val="a5"/>
        <w:rPr>
          <w:rFonts w:hint="cs"/>
        </w:rPr>
      </w:pPr>
      <w:r>
        <w:rPr>
          <w:rtl/>
        </w:rPr>
        <w:tab/>
      </w:r>
      <w:r w:rsidRPr="004377AB">
        <w:rPr>
          <w:rtl/>
        </w:rPr>
        <w:endnoteRef/>
      </w:r>
      <w:r>
        <w:rPr>
          <w:rtl/>
        </w:rPr>
        <w:t>.</w:t>
      </w:r>
      <w:r>
        <w:rPr>
          <w:rtl/>
        </w:rPr>
        <w:tab/>
      </w:r>
      <w:r>
        <w:rPr>
          <w:rFonts w:hint="cs"/>
          <w:rtl/>
        </w:rPr>
        <w:t xml:space="preserve">זהר </w:t>
      </w:r>
      <w:proofErr w:type="spellStart"/>
      <w:r>
        <w:rPr>
          <w:rFonts w:hint="cs"/>
          <w:rtl/>
        </w:rPr>
        <w:t>ח"ג</w:t>
      </w:r>
      <w:proofErr w:type="spellEnd"/>
      <w:r>
        <w:rPr>
          <w:rFonts w:hint="cs"/>
          <w:rtl/>
        </w:rPr>
        <w:t xml:space="preserve"> יא, א.</w:t>
      </w:r>
    </w:p>
  </w:endnote>
  <w:endnote w:id="4">
    <w:p w:rsidR="00154EAC" w:rsidRDefault="00154EAC" w:rsidP="00154EAC">
      <w:pPr>
        <w:pStyle w:val="a5"/>
        <w:rPr>
          <w:rFonts w:hint="cs"/>
        </w:rPr>
      </w:pPr>
      <w:r>
        <w:rPr>
          <w:rtl/>
        </w:rPr>
        <w:tab/>
      </w:r>
      <w:r w:rsidRPr="004377AB">
        <w:rPr>
          <w:rtl/>
        </w:rPr>
        <w:endnoteRef/>
      </w:r>
      <w:r>
        <w:rPr>
          <w:rtl/>
        </w:rPr>
        <w:t>.</w:t>
      </w:r>
      <w:r>
        <w:rPr>
          <w:rtl/>
        </w:rPr>
        <w:tab/>
      </w:r>
      <w:r>
        <w:rPr>
          <w:rFonts w:hint="cs"/>
          <w:rtl/>
        </w:rPr>
        <w:t>יומא פ"א מ"א.</w:t>
      </w:r>
    </w:p>
  </w:endnote>
  <w:endnote w:id="5">
    <w:p w:rsidR="00154EAC" w:rsidRDefault="00154EAC" w:rsidP="00154EAC">
      <w:pPr>
        <w:pStyle w:val="a5"/>
        <w:rPr>
          <w:rFonts w:hint="cs"/>
        </w:rPr>
      </w:pPr>
      <w:r>
        <w:rPr>
          <w:rtl/>
        </w:rPr>
        <w:tab/>
      </w:r>
      <w:r w:rsidRPr="004377AB">
        <w:rPr>
          <w:rtl/>
        </w:rPr>
        <w:endnoteRef/>
      </w:r>
      <w:r>
        <w:rPr>
          <w:rtl/>
        </w:rPr>
        <w:t>.</w:t>
      </w:r>
      <w:r>
        <w:rPr>
          <w:rtl/>
        </w:rPr>
        <w:tab/>
      </w:r>
      <w:r>
        <w:rPr>
          <w:rFonts w:hint="cs"/>
          <w:rtl/>
        </w:rPr>
        <w:t xml:space="preserve">ראה שיחות </w:t>
      </w:r>
      <w:proofErr w:type="spellStart"/>
      <w:r>
        <w:rPr>
          <w:rFonts w:hint="cs"/>
          <w:rtl/>
        </w:rPr>
        <w:t>הר"ן</w:t>
      </w:r>
      <w:proofErr w:type="spellEnd"/>
      <w:r>
        <w:rPr>
          <w:rFonts w:hint="cs"/>
          <w:rtl/>
        </w:rPr>
        <w:t xml:space="preserve"> </w:t>
      </w:r>
      <w:proofErr w:type="spellStart"/>
      <w:r>
        <w:rPr>
          <w:rFonts w:hint="cs"/>
          <w:rtl/>
        </w:rPr>
        <w:t>רסד</w:t>
      </w:r>
      <w:proofErr w:type="spellEnd"/>
      <w:r>
        <w:rPr>
          <w:rFonts w:hint="cs"/>
          <w:rtl/>
        </w:rPr>
        <w:t xml:space="preserve"> וביין משמח ח"א שער ה בתורה "כמשפט הבנות", </w:t>
      </w:r>
      <w:proofErr w:type="spellStart"/>
      <w:r>
        <w:rPr>
          <w:rFonts w:hint="cs"/>
          <w:rtl/>
        </w:rPr>
        <w:t>ח"ב</w:t>
      </w:r>
      <w:proofErr w:type="spellEnd"/>
      <w:r>
        <w:rPr>
          <w:rFonts w:hint="cs"/>
          <w:rtl/>
        </w:rPr>
        <w:t xml:space="preserve"> שער א בתורה "</w:t>
      </w:r>
      <w:proofErr w:type="spellStart"/>
      <w:r>
        <w:rPr>
          <w:rFonts w:hint="cs"/>
          <w:rtl/>
        </w:rPr>
        <w:t>עזיזא</w:t>
      </w:r>
      <w:proofErr w:type="spellEnd"/>
      <w:r>
        <w:rPr>
          <w:rFonts w:hint="cs"/>
          <w:rtl/>
        </w:rPr>
        <w:t xml:space="preserve"> </w:t>
      </w:r>
      <w:proofErr w:type="spellStart"/>
      <w:r>
        <w:rPr>
          <w:rFonts w:hint="cs"/>
          <w:rtl/>
        </w:rPr>
        <w:t>רחימתין</w:t>
      </w:r>
      <w:proofErr w:type="spellEnd"/>
      <w:r>
        <w:rPr>
          <w:rFonts w:hint="cs"/>
          <w:rtl/>
        </w:rPr>
        <w:t xml:space="preserve">", </w:t>
      </w:r>
      <w:proofErr w:type="spellStart"/>
      <w:r>
        <w:rPr>
          <w:rFonts w:hint="cs"/>
          <w:rtl/>
        </w:rPr>
        <w:t>ח"ג</w:t>
      </w:r>
      <w:proofErr w:type="spellEnd"/>
      <w:r>
        <w:rPr>
          <w:rFonts w:hint="cs"/>
          <w:rtl/>
        </w:rPr>
        <w:t xml:space="preserve"> שער א בתורה "קידושין במחשבה דבור ומעשה" ושער ו בתורה "ישלח דברו וירפאם".</w:t>
      </w:r>
    </w:p>
  </w:endnote>
  <w:endnote w:id="6">
    <w:p w:rsidR="00154EAC" w:rsidRDefault="00154EAC" w:rsidP="00154EAC">
      <w:pPr>
        <w:pStyle w:val="a5"/>
        <w:rPr>
          <w:rFonts w:hint="cs"/>
          <w:rtl/>
        </w:rPr>
      </w:pPr>
      <w:r>
        <w:rPr>
          <w:rtl/>
        </w:rPr>
        <w:tab/>
      </w:r>
      <w:r w:rsidRPr="004377AB">
        <w:rPr>
          <w:rtl/>
        </w:rPr>
        <w:endnoteRef/>
      </w:r>
      <w:r>
        <w:rPr>
          <w:rtl/>
        </w:rPr>
        <w:t>.</w:t>
      </w:r>
      <w:r>
        <w:rPr>
          <w:rtl/>
        </w:rPr>
        <w:tab/>
      </w:r>
      <w:r>
        <w:rPr>
          <w:rFonts w:hint="cs"/>
          <w:rtl/>
        </w:rPr>
        <w:t xml:space="preserve">וראה גם יין משמח </w:t>
      </w:r>
      <w:proofErr w:type="spellStart"/>
      <w:r>
        <w:rPr>
          <w:rFonts w:hint="cs"/>
          <w:rtl/>
        </w:rPr>
        <w:t>ח"ג</w:t>
      </w:r>
      <w:proofErr w:type="spellEnd"/>
      <w:r>
        <w:rPr>
          <w:rFonts w:hint="cs"/>
          <w:rtl/>
        </w:rPr>
        <w:t xml:space="preserve"> שער שלישי בתורה "בורא עולם </w:t>
      </w:r>
      <w:proofErr w:type="spellStart"/>
      <w:r>
        <w:rPr>
          <w:rFonts w:hint="cs"/>
          <w:rtl/>
        </w:rPr>
        <w:t>בקנין</w:t>
      </w:r>
      <w:proofErr w:type="spellEnd"/>
      <w:r>
        <w:rPr>
          <w:rFonts w:hint="cs"/>
          <w:rtl/>
        </w:rPr>
        <w:t>".</w:t>
      </w:r>
    </w:p>
  </w:endnote>
  <w:endnote w:id="7">
    <w:p w:rsidR="00154EAC" w:rsidRDefault="00154EAC" w:rsidP="00154EAC">
      <w:pPr>
        <w:pStyle w:val="a5"/>
        <w:rPr>
          <w:rFonts w:hint="cs"/>
          <w:rtl/>
        </w:rPr>
      </w:pPr>
      <w:r>
        <w:rPr>
          <w:rtl/>
        </w:rPr>
        <w:tab/>
      </w:r>
      <w:r w:rsidRPr="004377AB">
        <w:rPr>
          <w:rtl/>
        </w:rPr>
        <w:endnoteRef/>
      </w:r>
      <w:r>
        <w:rPr>
          <w:rtl/>
        </w:rPr>
        <w:t>.</w:t>
      </w:r>
      <w:r>
        <w:rPr>
          <w:rtl/>
        </w:rPr>
        <w:tab/>
      </w:r>
      <w:r>
        <w:rPr>
          <w:rFonts w:hint="cs"/>
          <w:rtl/>
        </w:rPr>
        <w:t xml:space="preserve">ראה זהר </w:t>
      </w:r>
      <w:proofErr w:type="spellStart"/>
      <w:r>
        <w:rPr>
          <w:rFonts w:hint="cs"/>
          <w:rtl/>
        </w:rPr>
        <w:t>ח"ג</w:t>
      </w:r>
      <w:proofErr w:type="spellEnd"/>
      <w:r>
        <w:rPr>
          <w:rFonts w:hint="cs"/>
          <w:rtl/>
        </w:rPr>
        <w:t xml:space="preserve"> קצו, ב.</w:t>
      </w:r>
    </w:p>
  </w:endnote>
  <w:endnote w:id="8">
    <w:p w:rsidR="00154EAC" w:rsidRDefault="00154EAC" w:rsidP="00154EAC">
      <w:pPr>
        <w:pStyle w:val="a5"/>
        <w:rPr>
          <w:rFonts w:hint="cs"/>
          <w:rtl/>
        </w:rPr>
      </w:pPr>
      <w:r>
        <w:rPr>
          <w:rtl/>
        </w:rPr>
        <w:tab/>
      </w:r>
      <w:r w:rsidRPr="004377AB">
        <w:rPr>
          <w:rtl/>
        </w:rPr>
        <w:endnoteRef/>
      </w:r>
      <w:r>
        <w:rPr>
          <w:rtl/>
        </w:rPr>
        <w:t>.</w:t>
      </w:r>
      <w:r>
        <w:rPr>
          <w:rtl/>
        </w:rPr>
        <w:tab/>
      </w:r>
      <w:proofErr w:type="spellStart"/>
      <w:r>
        <w:rPr>
          <w:rFonts w:hint="cs"/>
          <w:rtl/>
        </w:rPr>
        <w:t>השוה</w:t>
      </w:r>
      <w:proofErr w:type="spellEnd"/>
      <w:r>
        <w:rPr>
          <w:rFonts w:hint="cs"/>
          <w:rtl/>
        </w:rPr>
        <w:t xml:space="preserve"> לרש"י במדבר ה, </w:t>
      </w:r>
      <w:proofErr w:type="spellStart"/>
      <w:r>
        <w:rPr>
          <w:rFonts w:hint="cs"/>
          <w:rtl/>
        </w:rPr>
        <w:t>יב</w:t>
      </w:r>
      <w:proofErr w:type="spellEnd"/>
      <w:r>
        <w:rPr>
          <w:rFonts w:hint="cs"/>
          <w:rtl/>
        </w:rPr>
        <w:t>.</w:t>
      </w:r>
    </w:p>
  </w:endnote>
  <w:endnote w:id="9">
    <w:p w:rsidR="00154EAC" w:rsidRDefault="00154EAC" w:rsidP="00154EAC">
      <w:pPr>
        <w:pStyle w:val="a5"/>
        <w:rPr>
          <w:rFonts w:hint="cs"/>
          <w:rtl/>
        </w:rPr>
      </w:pPr>
      <w:r>
        <w:rPr>
          <w:rtl/>
        </w:rPr>
        <w:tab/>
      </w:r>
      <w:r w:rsidRPr="004377AB">
        <w:rPr>
          <w:rtl/>
        </w:rPr>
        <w:endnoteRef/>
      </w:r>
      <w:r>
        <w:rPr>
          <w:rtl/>
        </w:rPr>
        <w:t>.</w:t>
      </w:r>
      <w:r>
        <w:rPr>
          <w:rtl/>
        </w:rPr>
        <w:tab/>
      </w:r>
      <w:r>
        <w:rPr>
          <w:rFonts w:hint="cs"/>
          <w:rtl/>
        </w:rPr>
        <w:t xml:space="preserve">ישעיה </w:t>
      </w:r>
      <w:proofErr w:type="spellStart"/>
      <w:r>
        <w:rPr>
          <w:rFonts w:hint="cs"/>
          <w:rtl/>
        </w:rPr>
        <w:t>מב</w:t>
      </w:r>
      <w:proofErr w:type="spellEnd"/>
      <w:r>
        <w:rPr>
          <w:rFonts w:hint="cs"/>
          <w:rtl/>
        </w:rPr>
        <w:t xml:space="preserve">, </w:t>
      </w:r>
      <w:proofErr w:type="spellStart"/>
      <w:r>
        <w:rPr>
          <w:rFonts w:hint="cs"/>
          <w:rtl/>
        </w:rPr>
        <w:t>יג</w:t>
      </w:r>
      <w:proofErr w:type="spellEnd"/>
      <w:r>
        <w:rPr>
          <w:rFonts w:hint="cs"/>
          <w:rtl/>
        </w:rPr>
        <w:t>.</w:t>
      </w:r>
    </w:p>
  </w:endnote>
  <w:endnote w:id="10">
    <w:p w:rsidR="00154EAC" w:rsidRDefault="00154EAC" w:rsidP="00154EAC">
      <w:pPr>
        <w:pStyle w:val="a5"/>
        <w:rPr>
          <w:rFonts w:hint="cs"/>
          <w:rtl/>
        </w:rPr>
      </w:pPr>
      <w:r>
        <w:rPr>
          <w:rtl/>
        </w:rPr>
        <w:tab/>
      </w:r>
      <w:r w:rsidRPr="004377AB">
        <w:rPr>
          <w:rtl/>
        </w:rPr>
        <w:endnoteRef/>
      </w:r>
      <w:r>
        <w:rPr>
          <w:rtl/>
        </w:rPr>
        <w:t>.</w:t>
      </w:r>
      <w:r>
        <w:rPr>
          <w:rtl/>
        </w:rPr>
        <w:tab/>
      </w:r>
      <w:r>
        <w:rPr>
          <w:rFonts w:hint="cs"/>
          <w:rtl/>
        </w:rPr>
        <w:t>ראה עוד יין משמח ח"א שער ששי בתורות "אהבה ללא פשרות" ו"רוח קנאה".</w:t>
      </w:r>
    </w:p>
  </w:endnote>
  <w:endnote w:id="11">
    <w:p w:rsidR="00154EAC" w:rsidRDefault="00154EAC" w:rsidP="00154EAC">
      <w:pPr>
        <w:pStyle w:val="a5"/>
        <w:rPr>
          <w:rFonts w:hint="cs"/>
          <w:rtl/>
        </w:rPr>
      </w:pPr>
      <w:r>
        <w:rPr>
          <w:rtl/>
        </w:rPr>
        <w:tab/>
      </w:r>
      <w:r w:rsidRPr="004377AB">
        <w:rPr>
          <w:rtl/>
        </w:rPr>
        <w:endnoteRef/>
      </w:r>
      <w:r>
        <w:rPr>
          <w:rtl/>
        </w:rPr>
        <w:t>.</w:t>
      </w:r>
      <w:r>
        <w:rPr>
          <w:rtl/>
        </w:rPr>
        <w:tab/>
      </w:r>
      <w:r>
        <w:rPr>
          <w:rFonts w:hint="cs"/>
          <w:rtl/>
        </w:rPr>
        <w:t>במדבר ה, יא.</w:t>
      </w:r>
    </w:p>
  </w:endnote>
  <w:endnote w:id="12">
    <w:p w:rsidR="00154EAC" w:rsidRDefault="00154EAC" w:rsidP="00154EAC">
      <w:pPr>
        <w:pStyle w:val="a5"/>
        <w:rPr>
          <w:rFonts w:hint="cs"/>
          <w:rtl/>
        </w:rPr>
      </w:pPr>
      <w:r>
        <w:rPr>
          <w:rtl/>
        </w:rPr>
        <w:tab/>
      </w:r>
      <w:r w:rsidRPr="004377AB">
        <w:rPr>
          <w:rtl/>
        </w:rPr>
        <w:endnoteRef/>
      </w:r>
      <w:r>
        <w:rPr>
          <w:rtl/>
        </w:rPr>
        <w:t>.</w:t>
      </w:r>
      <w:r>
        <w:rPr>
          <w:rtl/>
        </w:rPr>
        <w:tab/>
      </w:r>
      <w:r>
        <w:rPr>
          <w:rFonts w:hint="cs"/>
          <w:rtl/>
        </w:rPr>
        <w:t>סוטה ג, א.</w:t>
      </w:r>
    </w:p>
  </w:endnote>
  <w:endnote w:id="13">
    <w:p w:rsidR="00154EAC" w:rsidRDefault="00154EAC" w:rsidP="00154EAC">
      <w:pPr>
        <w:pStyle w:val="a5"/>
        <w:rPr>
          <w:rFonts w:hint="cs"/>
          <w:rtl/>
        </w:rPr>
      </w:pPr>
      <w:r>
        <w:rPr>
          <w:rtl/>
        </w:rPr>
        <w:tab/>
      </w:r>
      <w:r w:rsidRPr="004377AB">
        <w:rPr>
          <w:rtl/>
        </w:rPr>
        <w:endnoteRef/>
      </w:r>
      <w:r>
        <w:rPr>
          <w:rtl/>
        </w:rPr>
        <w:t>.</w:t>
      </w:r>
      <w:r>
        <w:rPr>
          <w:rtl/>
        </w:rPr>
        <w:tab/>
      </w:r>
      <w:r>
        <w:rPr>
          <w:rFonts w:hint="cs"/>
          <w:rtl/>
        </w:rPr>
        <w:t xml:space="preserve">הלכות שׂוטה פ"ד הלכות </w:t>
      </w:r>
      <w:proofErr w:type="spellStart"/>
      <w:r>
        <w:rPr>
          <w:rFonts w:hint="cs"/>
          <w:rtl/>
        </w:rPr>
        <w:t>יח-יט</w:t>
      </w:r>
      <w:proofErr w:type="spellEnd"/>
      <w:r>
        <w:rPr>
          <w:rFonts w:hint="cs"/>
          <w:rtl/>
        </w:rPr>
        <w:t>.</w:t>
      </w:r>
    </w:p>
  </w:endnote>
  <w:endnote w:id="14">
    <w:p w:rsidR="00154EAC" w:rsidRDefault="00154EAC" w:rsidP="00154EAC">
      <w:pPr>
        <w:pStyle w:val="a5"/>
        <w:rPr>
          <w:rFonts w:hint="cs"/>
          <w:rtl/>
        </w:rPr>
      </w:pPr>
      <w:r>
        <w:rPr>
          <w:rtl/>
        </w:rPr>
        <w:tab/>
      </w:r>
      <w:r w:rsidRPr="004377AB">
        <w:rPr>
          <w:rtl/>
        </w:rPr>
        <w:endnoteRef/>
      </w:r>
      <w:r>
        <w:rPr>
          <w:rtl/>
        </w:rPr>
        <w:t>.</w:t>
      </w:r>
      <w:r>
        <w:rPr>
          <w:rtl/>
        </w:rPr>
        <w:tab/>
      </w:r>
      <w:r>
        <w:rPr>
          <w:rFonts w:hint="cs"/>
          <w:rtl/>
        </w:rPr>
        <w:t xml:space="preserve">הלכות אישות </w:t>
      </w:r>
      <w:proofErr w:type="spellStart"/>
      <w:r>
        <w:rPr>
          <w:rFonts w:hint="cs"/>
          <w:rtl/>
        </w:rPr>
        <w:t>פט"ו</w:t>
      </w:r>
      <w:proofErr w:type="spellEnd"/>
      <w:r>
        <w:rPr>
          <w:rFonts w:hint="cs"/>
          <w:rtl/>
        </w:rPr>
        <w:t xml:space="preserve"> </w:t>
      </w:r>
      <w:proofErr w:type="spellStart"/>
      <w:r>
        <w:rPr>
          <w:rFonts w:hint="cs"/>
          <w:rtl/>
        </w:rPr>
        <w:t>הי"ז</w:t>
      </w:r>
      <w:proofErr w:type="spellEnd"/>
      <w:r>
        <w:rPr>
          <w:rFonts w:hint="cs"/>
          <w:rtl/>
        </w:rPr>
        <w:t>.</w:t>
      </w:r>
    </w:p>
  </w:endnote>
  <w:endnote w:id="15">
    <w:p w:rsidR="00154EAC" w:rsidRDefault="00154EAC" w:rsidP="00154EAC">
      <w:pPr>
        <w:pStyle w:val="a5"/>
        <w:rPr>
          <w:rFonts w:hint="cs"/>
          <w:rtl/>
        </w:rPr>
      </w:pPr>
      <w:r>
        <w:rPr>
          <w:rtl/>
        </w:rPr>
        <w:tab/>
      </w:r>
      <w:r w:rsidRPr="004377AB">
        <w:rPr>
          <w:rtl/>
        </w:rPr>
        <w:endnoteRef/>
      </w:r>
      <w:r>
        <w:rPr>
          <w:rtl/>
        </w:rPr>
        <w:t>.</w:t>
      </w:r>
      <w:r>
        <w:rPr>
          <w:rtl/>
        </w:rPr>
        <w:tab/>
      </w:r>
      <w:r>
        <w:rPr>
          <w:rFonts w:hint="cs"/>
          <w:rtl/>
        </w:rPr>
        <w:t>וראה עוד בתורה הבאה.</w:t>
      </w:r>
    </w:p>
  </w:endnote>
  <w:endnote w:id="16">
    <w:p w:rsidR="00154EAC" w:rsidRDefault="00154EAC" w:rsidP="00154EAC">
      <w:pPr>
        <w:pStyle w:val="a5"/>
        <w:rPr>
          <w:rFonts w:hint="cs"/>
          <w:rtl/>
        </w:rPr>
      </w:pPr>
      <w:r>
        <w:rPr>
          <w:rtl/>
        </w:rPr>
        <w:tab/>
      </w:r>
      <w:r w:rsidRPr="004377AB">
        <w:rPr>
          <w:rtl/>
        </w:rPr>
        <w:endnoteRef/>
      </w:r>
      <w:r>
        <w:rPr>
          <w:rtl/>
        </w:rPr>
        <w:t>.</w:t>
      </w:r>
      <w:r>
        <w:rPr>
          <w:rtl/>
        </w:rPr>
        <w:tab/>
      </w:r>
      <w:r>
        <w:rPr>
          <w:rFonts w:hint="cs"/>
          <w:rtl/>
        </w:rPr>
        <w:t>איוב ה, כד.</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Guttman-Soncino"/>
    <w:charset w:val="B1"/>
    <w:family w:val="auto"/>
    <w:pitch w:val="variable"/>
    <w:sig w:usb0="00001801"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063" w:rsidRDefault="00681063" w:rsidP="00154EAC">
      <w:pPr>
        <w:spacing w:after="0" w:line="240" w:lineRule="auto"/>
      </w:pPr>
      <w:r>
        <w:separator/>
      </w:r>
    </w:p>
  </w:footnote>
  <w:footnote w:type="continuationSeparator" w:id="0">
    <w:p w:rsidR="00681063" w:rsidRDefault="00681063" w:rsidP="00154E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115"/>
    <w:rsid w:val="00061E65"/>
    <w:rsid w:val="00154EAC"/>
    <w:rsid w:val="00202115"/>
    <w:rsid w:val="00681063"/>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154EAC"/>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154EAC"/>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154EAC"/>
    <w:rPr>
      <w:rFonts w:ascii="DF Calligraphic Ornaments LET" w:eastAsia="Times New Roman" w:hAnsi="DF Calligraphic Ornaments LET" w:cs="Guttman Soncino"/>
      <w:noProof/>
      <w:spacing w:val="20"/>
      <w:w w:val="90"/>
      <w:kern w:val="28"/>
      <w:sz w:val="44"/>
      <w:szCs w:val="46"/>
    </w:rPr>
  </w:style>
  <w:style w:type="paragraph" w:styleId="a3">
    <w:name w:val="Quote"/>
    <w:basedOn w:val="a"/>
    <w:link w:val="a4"/>
    <w:qFormat/>
    <w:rsid w:val="00154EAC"/>
    <w:pPr>
      <w:spacing w:line="340" w:lineRule="exact"/>
      <w:ind w:left="907"/>
      <w:contextualSpacing/>
    </w:pPr>
    <w:rPr>
      <w:rFonts w:cs="Guttman Soncino"/>
      <w:noProof/>
      <w:snapToGrid w:val="0"/>
      <w:sz w:val="23"/>
      <w:szCs w:val="22"/>
      <w:lang w:eastAsia="en-US"/>
    </w:rPr>
  </w:style>
  <w:style w:type="character" w:customStyle="1" w:styleId="a4">
    <w:name w:val="ציטוט תו"/>
    <w:basedOn w:val="a0"/>
    <w:link w:val="a3"/>
    <w:rsid w:val="00154EAC"/>
    <w:rPr>
      <w:rFonts w:ascii="Times New Roman" w:eastAsia="Times New Roman" w:hAnsi="Times New Roman" w:cs="Guttman Soncino"/>
      <w:noProof/>
      <w:snapToGrid w:val="0"/>
      <w:sz w:val="23"/>
    </w:rPr>
  </w:style>
  <w:style w:type="paragraph" w:styleId="a5">
    <w:name w:val="endnote text"/>
    <w:aliases w:val="Endnote Text"/>
    <w:basedOn w:val="a"/>
    <w:link w:val="a6"/>
    <w:semiHidden/>
    <w:rsid w:val="00154EAC"/>
    <w:pPr>
      <w:tabs>
        <w:tab w:val="right" w:pos="266"/>
        <w:tab w:val="left" w:pos="340"/>
      </w:tabs>
      <w:spacing w:after="20" w:line="260" w:lineRule="exact"/>
      <w:ind w:left="340" w:hanging="340"/>
    </w:pPr>
    <w:rPr>
      <w:sz w:val="20"/>
      <w:szCs w:val="23"/>
    </w:rPr>
  </w:style>
  <w:style w:type="character" w:customStyle="1" w:styleId="a6">
    <w:name w:val="טקסט הערת סיום תו"/>
    <w:basedOn w:val="a0"/>
    <w:link w:val="a5"/>
    <w:semiHidden/>
    <w:rsid w:val="00154EAC"/>
    <w:rPr>
      <w:rFonts w:ascii="Times New Roman" w:eastAsia="Times New Roman" w:hAnsi="Times New Roman" w:cs="FrankRuehl"/>
      <w:sz w:val="20"/>
      <w:szCs w:val="23"/>
      <w:lang w:eastAsia="he-IL"/>
    </w:rPr>
  </w:style>
  <w:style w:type="character" w:styleId="a7">
    <w:name w:val="endnote reference"/>
    <w:aliases w:val="Endnote Reference"/>
    <w:basedOn w:val="a8"/>
    <w:semiHidden/>
    <w:rsid w:val="00154EAC"/>
    <w:rPr>
      <w:noProof/>
      <w:position w:val="-4"/>
      <w:szCs w:val="27"/>
      <w:vertAlign w:val="superscript"/>
    </w:rPr>
  </w:style>
  <w:style w:type="paragraph" w:customStyle="1" w:styleId="a9">
    <w:name w:val="פתיח תו"/>
    <w:basedOn w:val="a"/>
    <w:link w:val="aa"/>
    <w:rsid w:val="00154EAC"/>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a">
    <w:name w:val="פתיח תו תו"/>
    <w:basedOn w:val="a0"/>
    <w:link w:val="a9"/>
    <w:rsid w:val="00154EAC"/>
    <w:rPr>
      <w:rFonts w:ascii="Times New Roman" w:eastAsia="Times New Roman" w:hAnsi="Times New Roman" w:cs="Guttman Soncino"/>
      <w:b/>
      <w:bCs/>
      <w:color w:val="808080"/>
      <w:position w:val="-5"/>
      <w:sz w:val="85"/>
      <w:szCs w:val="85"/>
      <w:lang w:eastAsia="he-IL"/>
    </w:rPr>
  </w:style>
  <w:style w:type="character" w:styleId="a8">
    <w:name w:val="footnote reference"/>
    <w:basedOn w:val="a0"/>
    <w:uiPriority w:val="99"/>
    <w:semiHidden/>
    <w:unhideWhenUsed/>
    <w:rsid w:val="00154EA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154EAC"/>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154EAC"/>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154EAC"/>
    <w:rPr>
      <w:rFonts w:ascii="DF Calligraphic Ornaments LET" w:eastAsia="Times New Roman" w:hAnsi="DF Calligraphic Ornaments LET" w:cs="Guttman Soncino"/>
      <w:noProof/>
      <w:spacing w:val="20"/>
      <w:w w:val="90"/>
      <w:kern w:val="28"/>
      <w:sz w:val="44"/>
      <w:szCs w:val="46"/>
    </w:rPr>
  </w:style>
  <w:style w:type="paragraph" w:styleId="a3">
    <w:name w:val="Quote"/>
    <w:basedOn w:val="a"/>
    <w:link w:val="a4"/>
    <w:qFormat/>
    <w:rsid w:val="00154EAC"/>
    <w:pPr>
      <w:spacing w:line="340" w:lineRule="exact"/>
      <w:ind w:left="907"/>
      <w:contextualSpacing/>
    </w:pPr>
    <w:rPr>
      <w:rFonts w:cs="Guttman Soncino"/>
      <w:noProof/>
      <w:snapToGrid w:val="0"/>
      <w:sz w:val="23"/>
      <w:szCs w:val="22"/>
      <w:lang w:eastAsia="en-US"/>
    </w:rPr>
  </w:style>
  <w:style w:type="character" w:customStyle="1" w:styleId="a4">
    <w:name w:val="ציטוט תו"/>
    <w:basedOn w:val="a0"/>
    <w:link w:val="a3"/>
    <w:rsid w:val="00154EAC"/>
    <w:rPr>
      <w:rFonts w:ascii="Times New Roman" w:eastAsia="Times New Roman" w:hAnsi="Times New Roman" w:cs="Guttman Soncino"/>
      <w:noProof/>
      <w:snapToGrid w:val="0"/>
      <w:sz w:val="23"/>
    </w:rPr>
  </w:style>
  <w:style w:type="paragraph" w:styleId="a5">
    <w:name w:val="endnote text"/>
    <w:aliases w:val="Endnote Text"/>
    <w:basedOn w:val="a"/>
    <w:link w:val="a6"/>
    <w:semiHidden/>
    <w:rsid w:val="00154EAC"/>
    <w:pPr>
      <w:tabs>
        <w:tab w:val="right" w:pos="266"/>
        <w:tab w:val="left" w:pos="340"/>
      </w:tabs>
      <w:spacing w:after="20" w:line="260" w:lineRule="exact"/>
      <w:ind w:left="340" w:hanging="340"/>
    </w:pPr>
    <w:rPr>
      <w:sz w:val="20"/>
      <w:szCs w:val="23"/>
    </w:rPr>
  </w:style>
  <w:style w:type="character" w:customStyle="1" w:styleId="a6">
    <w:name w:val="טקסט הערת סיום תו"/>
    <w:basedOn w:val="a0"/>
    <w:link w:val="a5"/>
    <w:semiHidden/>
    <w:rsid w:val="00154EAC"/>
    <w:rPr>
      <w:rFonts w:ascii="Times New Roman" w:eastAsia="Times New Roman" w:hAnsi="Times New Roman" w:cs="FrankRuehl"/>
      <w:sz w:val="20"/>
      <w:szCs w:val="23"/>
      <w:lang w:eastAsia="he-IL"/>
    </w:rPr>
  </w:style>
  <w:style w:type="character" w:styleId="a7">
    <w:name w:val="endnote reference"/>
    <w:aliases w:val="Endnote Reference"/>
    <w:basedOn w:val="a8"/>
    <w:semiHidden/>
    <w:rsid w:val="00154EAC"/>
    <w:rPr>
      <w:noProof/>
      <w:position w:val="-4"/>
      <w:szCs w:val="27"/>
      <w:vertAlign w:val="superscript"/>
    </w:rPr>
  </w:style>
  <w:style w:type="paragraph" w:customStyle="1" w:styleId="a9">
    <w:name w:val="פתיח תו"/>
    <w:basedOn w:val="a"/>
    <w:link w:val="aa"/>
    <w:rsid w:val="00154EAC"/>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a">
    <w:name w:val="פתיח תו תו"/>
    <w:basedOn w:val="a0"/>
    <w:link w:val="a9"/>
    <w:rsid w:val="00154EAC"/>
    <w:rPr>
      <w:rFonts w:ascii="Times New Roman" w:eastAsia="Times New Roman" w:hAnsi="Times New Roman" w:cs="Guttman Soncino"/>
      <w:b/>
      <w:bCs/>
      <w:color w:val="808080"/>
      <w:position w:val="-5"/>
      <w:sz w:val="85"/>
      <w:szCs w:val="85"/>
      <w:lang w:eastAsia="he-IL"/>
    </w:rPr>
  </w:style>
  <w:style w:type="character" w:styleId="a8">
    <w:name w:val="footnote reference"/>
    <w:basedOn w:val="a0"/>
    <w:uiPriority w:val="99"/>
    <w:semiHidden/>
    <w:unhideWhenUsed/>
    <w:rsid w:val="00154E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2152</Characters>
  <Application>Microsoft Office Word</Application>
  <DocSecurity>0</DocSecurity>
  <Lines>17</Lines>
  <Paragraphs>5</Paragraphs>
  <ScaleCrop>false</ScaleCrop>
  <Company/>
  <LinksUpToDate>false</LinksUpToDate>
  <CharactersWithSpaces>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2017-08-15T07:17:00Z</dcterms:created>
  <dcterms:modified xsi:type="dcterms:W3CDTF">2017-08-15T07:18:00Z</dcterms:modified>
</cp:coreProperties>
</file>