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E7" w:rsidRPr="00B46B4B" w:rsidRDefault="000507E7" w:rsidP="000507E7">
      <w:pPr>
        <w:pStyle w:val="2"/>
        <w:rPr>
          <w:rFonts w:hint="cs"/>
          <w:rtl/>
        </w:rPr>
      </w:pPr>
      <w:bookmarkStart w:id="0" w:name="_Toc188281742"/>
      <w:bookmarkStart w:id="1" w:name="_Ref188282069"/>
      <w:r w:rsidRPr="00B46B4B">
        <w:rPr>
          <w:rFonts w:hint="cs"/>
          <w:rtl/>
        </w:rPr>
        <w:t>ילד שעשועים</w:t>
      </w:r>
      <w:bookmarkEnd w:id="0"/>
      <w:bookmarkEnd w:id="1"/>
    </w:p>
    <w:p w:rsidR="000507E7" w:rsidRPr="00EC3D1D" w:rsidRDefault="000507E7" w:rsidP="000507E7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ה</w:t>
      </w:r>
    </w:p>
    <w:p w:rsidR="000507E7" w:rsidRPr="00B46B4B" w:rsidRDefault="000507E7" w:rsidP="000507E7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>פסוק "כנשר יעיר קנו על גוזליו ירחף"</w:t>
      </w:r>
      <w:r w:rsidRPr="00C37DFC">
        <w:rPr>
          <w:rStyle w:val="a6"/>
          <w:rtl/>
        </w:rPr>
        <w:endnoteReference w:id="1"/>
      </w:r>
      <w:r w:rsidRPr="00B46B4B">
        <w:rPr>
          <w:rFonts w:hint="cs"/>
          <w:rtl/>
        </w:rPr>
        <w:t xml:space="preserve"> נדרש נאה על חיי נישואין מתוקנים. דימוי הנשר, ה"רחמני" (כלשון רש"י), מלמד על מדת הרחמים שצריכה לשרור בבית היהודי</w:t>
      </w:r>
      <w:r w:rsidRPr="00C37DFC">
        <w:rPr>
          <w:rStyle w:val="a6"/>
          <w:rtl/>
        </w:rPr>
        <w:endnoteReference w:id="2"/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מהות ה</w:t>
      </w:r>
      <w:r w:rsidRPr="00B46B4B">
        <w:rPr>
          <w:rFonts w:hint="cs"/>
          <w:rtl/>
        </w:rPr>
        <w:t xml:space="preserve">רחמים </w:t>
      </w:r>
      <w:r>
        <w:rPr>
          <w:rFonts w:hint="cs"/>
          <w:rtl/>
        </w:rPr>
        <w:t xml:space="preserve">היא </w:t>
      </w:r>
      <w:r w:rsidRPr="00B46B4B">
        <w:rPr>
          <w:rFonts w:hint="cs"/>
          <w:rtl/>
        </w:rPr>
        <w:t>הזדהות עם בן הזוג ורגישות למשוב מצדו על כל פעולה ביחס אליו (בניגוד לאהבה גרידא, שעלולה להיות רצון להעניק שאיננו מתחשב באופן בו מתקבל השפע הטוב</w:t>
      </w:r>
      <w:r w:rsidRPr="00C37DFC">
        <w:rPr>
          <w:rStyle w:val="a6"/>
          <w:rtl/>
        </w:rPr>
        <w:endnoteReference w:id="3"/>
      </w:r>
      <w:r w:rsidRPr="00B46B4B">
        <w:rPr>
          <w:rFonts w:hint="cs"/>
          <w:rtl/>
        </w:rPr>
        <w:t xml:space="preserve">). "יעיר </w:t>
      </w:r>
      <w:r w:rsidRPr="00B46B4B">
        <w:rPr>
          <w:rFonts w:hint="cs"/>
          <w:b/>
          <w:bCs/>
          <w:sz w:val="28"/>
          <w:szCs w:val="28"/>
          <w:rtl/>
        </w:rPr>
        <w:t>קנו</w:t>
      </w:r>
      <w:r w:rsidRPr="00B46B4B">
        <w:rPr>
          <w:rFonts w:hint="cs"/>
          <w:rtl/>
        </w:rPr>
        <w:t xml:space="preserve">" מרמז להתעוררות מדת </w:t>
      </w:r>
      <w:r w:rsidRPr="00B46B4B">
        <w:rPr>
          <w:rFonts w:hint="cs"/>
          <w:b/>
          <w:bCs/>
          <w:sz w:val="28"/>
          <w:szCs w:val="28"/>
          <w:rtl/>
        </w:rPr>
        <w:t>קנאה</w:t>
      </w:r>
      <w:r w:rsidRPr="00B46B4B">
        <w:rPr>
          <w:rFonts w:hint="cs"/>
          <w:rtl/>
        </w:rPr>
        <w:t xml:space="preserve"> ברוכה בבית היהודי, קנאה הנובעת מרוח טהרה וכל ענינה הידוק קשר האהבה העל-שכלי</w:t>
      </w:r>
      <w:r w:rsidRPr="00C37DFC">
        <w:rPr>
          <w:rStyle w:val="a6"/>
          <w:rtl/>
        </w:rPr>
        <w:endnoteReference w:id="4"/>
      </w:r>
      <w:r w:rsidRPr="00B46B4B">
        <w:rPr>
          <w:rFonts w:hint="cs"/>
          <w:rtl/>
        </w:rPr>
        <w:t>, מתוך כבוד והכרה במעלותיו של בן הזוג ובסוד הכמוס שלו</w:t>
      </w:r>
      <w:bookmarkStart w:id="2" w:name="_Ref185583989"/>
      <w:r w:rsidRPr="00C37DFC">
        <w:rPr>
          <w:rStyle w:val="a6"/>
          <w:rtl/>
        </w:rPr>
        <w:endnoteReference w:id="5"/>
      </w:r>
      <w:bookmarkEnd w:id="2"/>
      <w:r w:rsidRPr="00B46B4B">
        <w:rPr>
          <w:rFonts w:hint="cs"/>
          <w:rtl/>
        </w:rPr>
        <w:t>.</w:t>
      </w:r>
    </w:p>
    <w:p w:rsidR="000507E7" w:rsidRPr="00B46B4B" w:rsidRDefault="000507E7" w:rsidP="000507E7">
      <w:pPr>
        <w:widowControl w:val="0"/>
        <w:rPr>
          <w:rFonts w:hint="cs"/>
          <w:rtl/>
        </w:rPr>
      </w:pPr>
      <w:r w:rsidRPr="00B46B4B">
        <w:rPr>
          <w:rFonts w:hint="cs"/>
          <w:rtl/>
        </w:rPr>
        <w:t>והנה, מדת הרחמים היא מדתו של יעקב אבינו, האב המרחם על בניו, ומדת ה</w:t>
      </w:r>
      <w:r w:rsidRPr="00B46B4B">
        <w:rPr>
          <w:rFonts w:hint="cs"/>
          <w:b/>
          <w:bCs/>
          <w:sz w:val="28"/>
          <w:szCs w:val="28"/>
          <w:rtl/>
        </w:rPr>
        <w:t>קנאה</w:t>
      </w:r>
      <w:r w:rsidRPr="00B46B4B">
        <w:rPr>
          <w:rFonts w:hint="cs"/>
          <w:rtl/>
        </w:rPr>
        <w:t xml:space="preserve"> הבריאה והברוכה היא מדתו של </w:t>
      </w:r>
      <w:r w:rsidRPr="00B46B4B">
        <w:rPr>
          <w:rFonts w:hint="cs"/>
          <w:b/>
          <w:bCs/>
          <w:sz w:val="28"/>
          <w:szCs w:val="28"/>
          <w:rtl/>
        </w:rPr>
        <w:t>יוסף</w:t>
      </w:r>
      <w:r w:rsidRPr="00B46B4B">
        <w:rPr>
          <w:rFonts w:hint="cs"/>
          <w:rtl/>
        </w:rPr>
        <w:t xml:space="preserve"> הצדיק, שומר הברית. דווקא הרחמים הרגישים מזהים היכן בן</w:t>
      </w:r>
      <w:r>
        <w:rPr>
          <w:rFonts w:hint="cs"/>
          <w:rtl/>
        </w:rPr>
        <w:t xml:space="preserve"> הזוג צריך חיזוק, אותו </w:t>
      </w:r>
      <w:r w:rsidRPr="00B46B4B">
        <w:rPr>
          <w:rFonts w:hint="cs"/>
          <w:rtl/>
        </w:rPr>
        <w:t>נותנת הקנאה הבריאה</w:t>
      </w:r>
      <w:r w:rsidRPr="00B46B4B">
        <w:rPr>
          <w:rStyle w:val="a6"/>
          <w:rtl/>
        </w:rPr>
        <w:fldChar w:fldCharType="begin"/>
      </w:r>
      <w:r w:rsidRPr="00B46B4B">
        <w:rPr>
          <w:rStyle w:val="a6"/>
          <w:rtl/>
        </w:rPr>
        <w:instrText xml:space="preserve"> </w:instrText>
      </w:r>
      <w:r w:rsidRPr="00B46B4B">
        <w:rPr>
          <w:rStyle w:val="a6"/>
          <w:rFonts w:hint="cs"/>
        </w:rPr>
        <w:instrText>NOTEREF</w:instrText>
      </w:r>
      <w:r w:rsidRPr="00B46B4B">
        <w:rPr>
          <w:rStyle w:val="a6"/>
          <w:rFonts w:hint="cs"/>
          <w:rtl/>
        </w:rPr>
        <w:instrText xml:space="preserve"> _</w:instrText>
      </w:r>
      <w:r w:rsidRPr="00B46B4B">
        <w:rPr>
          <w:rStyle w:val="a6"/>
          <w:rFonts w:hint="cs"/>
        </w:rPr>
        <w:instrText>Ref185583989 \h</w:instrText>
      </w:r>
      <w:r w:rsidRPr="00B46B4B">
        <w:rPr>
          <w:rStyle w:val="a6"/>
          <w:rtl/>
        </w:rPr>
        <w:instrText xml:space="preserve"> </w:instrText>
      </w:r>
      <w:r w:rsidRPr="00B46B4B">
        <w:rPr>
          <w:rStyle w:val="a6"/>
        </w:rPr>
      </w:r>
      <w:r w:rsidRPr="00B46B4B">
        <w:rPr>
          <w:rStyle w:val="a6"/>
        </w:rPr>
        <w:instrText xml:space="preserve"> \* MERGEFORMAT </w:instrText>
      </w:r>
      <w:r w:rsidRPr="00B46B4B">
        <w:rPr>
          <w:rStyle w:val="a6"/>
          <w:rtl/>
        </w:rPr>
        <w:fldChar w:fldCharType="separate"/>
      </w:r>
      <w:r>
        <w:rPr>
          <w:rStyle w:val="a6"/>
          <w:rtl/>
        </w:rPr>
        <w:t>ה</w:t>
      </w:r>
      <w:r w:rsidRPr="00B46B4B">
        <w:rPr>
          <w:rStyle w:val="a6"/>
          <w:rtl/>
        </w:rPr>
        <w:fldChar w:fldCharType="end"/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הם</w:t>
      </w:r>
      <w:r>
        <w:rPr>
          <w:rFonts w:hint="cs"/>
          <w:rtl/>
        </w:rPr>
        <w:t xml:space="preserve"> גם</w:t>
      </w:r>
      <w:r w:rsidRPr="00B46B4B">
        <w:rPr>
          <w:rFonts w:hint="cs"/>
          <w:rtl/>
        </w:rPr>
        <w:t xml:space="preserve"> המאפשרים לקנא מתוך חוש במעלות בן הזוג, ולא מתוך רצון לנכס אותו ולכפות עליו. הקשר העצמי של יעקב ויוסף נלמד מהפסוק "אלה </w:t>
      </w:r>
      <w:proofErr w:type="spellStart"/>
      <w:r w:rsidRPr="00B46B4B">
        <w:rPr>
          <w:rFonts w:hint="cs"/>
          <w:rtl/>
        </w:rPr>
        <w:t>ת</w:t>
      </w:r>
      <w:r w:rsidRPr="009E0F14">
        <w:rPr>
          <w:rFonts w:hint="cs"/>
          <w:spacing w:val="-14"/>
          <w:rtl/>
        </w:rPr>
        <w:t>ֹ</w:t>
      </w:r>
      <w:r w:rsidRPr="00B46B4B">
        <w:rPr>
          <w:rFonts w:hint="cs"/>
          <w:rtl/>
        </w:rPr>
        <w:t>לדות</w:t>
      </w:r>
      <w:proofErr w:type="spellEnd"/>
      <w:r w:rsidRPr="00B46B4B">
        <w:rPr>
          <w:rFonts w:hint="cs"/>
          <w:rtl/>
        </w:rPr>
        <w:t xml:space="preserve"> יעקב יוסף"</w:t>
      </w:r>
      <w:r w:rsidRPr="00C37DFC">
        <w:rPr>
          <w:rStyle w:val="a6"/>
          <w:rtl/>
        </w:rPr>
        <w:endnoteReference w:id="6"/>
      </w:r>
      <w:r w:rsidRPr="00B46B4B">
        <w:rPr>
          <w:rFonts w:hint="cs"/>
          <w:rtl/>
        </w:rPr>
        <w:t>, עליו דרשו חז"ל</w:t>
      </w:r>
      <w:r w:rsidRPr="00C37DFC">
        <w:rPr>
          <w:rStyle w:val="a6"/>
          <w:rtl/>
        </w:rPr>
        <w:endnoteReference w:id="7"/>
      </w:r>
      <w:r w:rsidRPr="00B46B4B">
        <w:rPr>
          <w:rFonts w:hint="cs"/>
          <w:rtl/>
        </w:rPr>
        <w:t xml:space="preserve"> כי כל תולדותיו של יעקב באו לו באמצעות יוסף הצדיק, </w:t>
      </w:r>
      <w:proofErr w:type="spellStart"/>
      <w:r w:rsidRPr="00B46B4B">
        <w:rPr>
          <w:rFonts w:hint="cs"/>
          <w:rtl/>
        </w:rPr>
        <w:t>כח</w:t>
      </w:r>
      <w:proofErr w:type="spellEnd"/>
      <w:r w:rsidRPr="00B46B4B">
        <w:rPr>
          <w:rFonts w:hint="cs"/>
          <w:rtl/>
        </w:rPr>
        <w:t xml:space="preserve"> ההולדה וההתפשטות שלו. בלשון הזהר נאמר על הקשר הזה "גופא </w:t>
      </w:r>
      <w:proofErr w:type="spellStart"/>
      <w:r w:rsidRPr="00B46B4B">
        <w:rPr>
          <w:rFonts w:hint="cs"/>
          <w:rtl/>
        </w:rPr>
        <w:t>ובריתא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חשבינן</w:t>
      </w:r>
      <w:proofErr w:type="spellEnd"/>
      <w:r w:rsidRPr="00B46B4B">
        <w:rPr>
          <w:rFonts w:hint="cs"/>
          <w:rtl/>
        </w:rPr>
        <w:t xml:space="preserve"> חד"</w:t>
      </w:r>
      <w:r w:rsidRPr="00C37DFC">
        <w:rPr>
          <w:rStyle w:val="a6"/>
          <w:rtl/>
        </w:rPr>
        <w:endnoteReference w:id="8"/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הגוף ("תפארת גופא"</w:t>
      </w:r>
      <w:r w:rsidRPr="00C37DFC">
        <w:rPr>
          <w:rStyle w:val="a6"/>
          <w:rtl/>
        </w:rPr>
        <w:endnoteReference w:id="9"/>
      </w:r>
      <w:r w:rsidRPr="00B46B4B">
        <w:rPr>
          <w:rFonts w:hint="cs"/>
          <w:rtl/>
        </w:rPr>
        <w:t>, מדת יעקב) והברית (היסוד, מדת יוסף) נחשבים אחד.</w:t>
      </w:r>
    </w:p>
    <w:p w:rsidR="000507E7" w:rsidRPr="00B46B4B" w:rsidRDefault="000507E7" w:rsidP="000507E7">
      <w:pPr>
        <w:widowControl w:val="0"/>
        <w:rPr>
          <w:rFonts w:hint="cs"/>
          <w:rtl/>
        </w:rPr>
      </w:pPr>
      <w:r>
        <w:rPr>
          <w:rFonts w:hint="cs"/>
          <w:rtl/>
        </w:rPr>
        <w:t>סדר זה ממשיך לדור נוסף:</w:t>
      </w:r>
      <w:r w:rsidRPr="00B46B4B">
        <w:rPr>
          <w:rFonts w:hint="cs"/>
          <w:rtl/>
        </w:rPr>
        <w:t xml:space="preserve"> כשם שיוסף הצדיק הוא </w:t>
      </w:r>
      <w:proofErr w:type="spellStart"/>
      <w:r w:rsidRPr="00B46B4B">
        <w:rPr>
          <w:rFonts w:hint="cs"/>
          <w:rtl/>
        </w:rPr>
        <w:t>כח</w:t>
      </w:r>
      <w:proofErr w:type="spellEnd"/>
      <w:r w:rsidRPr="00B46B4B">
        <w:rPr>
          <w:rFonts w:hint="cs"/>
          <w:rtl/>
        </w:rPr>
        <w:t xml:space="preserve"> התולדה של יעקב אבינו, כך עצם </w:t>
      </w:r>
      <w:proofErr w:type="spellStart"/>
      <w:r w:rsidRPr="00B46B4B">
        <w:rPr>
          <w:rFonts w:hint="cs"/>
          <w:rtl/>
        </w:rPr>
        <w:t>כח</w:t>
      </w:r>
      <w:proofErr w:type="spellEnd"/>
      <w:r w:rsidRPr="00B46B4B">
        <w:rPr>
          <w:rFonts w:hint="cs"/>
          <w:rtl/>
        </w:rPr>
        <w:t xml:space="preserve"> ה</w:t>
      </w:r>
      <w:r w:rsidRPr="00B04702">
        <w:rPr>
          <w:rStyle w:val="a3"/>
          <w:rFonts w:hint="cs"/>
          <w:rtl/>
        </w:rPr>
        <w:t>פוריות</w:t>
      </w:r>
      <w:r w:rsidRPr="00B46B4B">
        <w:rPr>
          <w:rFonts w:hint="cs"/>
          <w:rtl/>
        </w:rPr>
        <w:t xml:space="preserve"> של יוסף מתבטא ב</w:t>
      </w:r>
      <w:r>
        <w:rPr>
          <w:rFonts w:hint="cs"/>
          <w:rtl/>
        </w:rPr>
        <w:t xml:space="preserve">בנו </w:t>
      </w:r>
      <w:r w:rsidRPr="00B04702">
        <w:rPr>
          <w:rStyle w:val="a3"/>
          <w:rFonts w:hint="cs"/>
          <w:rtl/>
        </w:rPr>
        <w:t>אפרים</w:t>
      </w:r>
      <w:r w:rsidRPr="00B46B4B">
        <w:rPr>
          <w:rFonts w:hint="cs"/>
          <w:rtl/>
        </w:rPr>
        <w:t xml:space="preserve"> ("אפרים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כי הפרני </w:t>
      </w:r>
      <w:proofErr w:type="spellStart"/>
      <w:r w:rsidRPr="00B46B4B">
        <w:rPr>
          <w:rFonts w:hint="cs"/>
          <w:rtl/>
        </w:rPr>
        <w:t>אלהים</w:t>
      </w:r>
      <w:proofErr w:type="spellEnd"/>
      <w:r w:rsidRPr="00B46B4B">
        <w:rPr>
          <w:rFonts w:hint="cs"/>
          <w:rtl/>
        </w:rPr>
        <w:t xml:space="preserve"> בארץ עניי"</w:t>
      </w:r>
      <w:r w:rsidRPr="00C37DFC">
        <w:rPr>
          <w:rStyle w:val="a6"/>
          <w:rtl/>
        </w:rPr>
        <w:endnoteReference w:id="10"/>
      </w:r>
      <w:r w:rsidRPr="00B46B4B">
        <w:rPr>
          <w:rFonts w:hint="cs"/>
          <w:rtl/>
        </w:rPr>
        <w:t xml:space="preserve">). והנה, כשם שיוסף עולה "[כנשר יעיר] </w:t>
      </w:r>
      <w:r w:rsidRPr="00B46B4B">
        <w:rPr>
          <w:rFonts w:hint="cs"/>
          <w:b/>
          <w:bCs/>
          <w:sz w:val="28"/>
          <w:szCs w:val="28"/>
          <w:rtl/>
        </w:rPr>
        <w:t>קנו</w:t>
      </w:r>
      <w:r w:rsidRPr="00B46B4B">
        <w:rPr>
          <w:rFonts w:hint="cs"/>
          <w:rtl/>
        </w:rPr>
        <w:t xml:space="preserve">" (העולה </w:t>
      </w:r>
      <w:r w:rsidRPr="00B46B4B">
        <w:rPr>
          <w:rFonts w:hint="cs"/>
          <w:b/>
          <w:bCs/>
          <w:sz w:val="28"/>
          <w:szCs w:val="28"/>
          <w:rtl/>
        </w:rPr>
        <w:t>קנאה</w:t>
      </w:r>
      <w:r w:rsidRPr="00B46B4B">
        <w:rPr>
          <w:rFonts w:hint="cs"/>
          <w:rtl/>
        </w:rPr>
        <w:t xml:space="preserve">), </w:t>
      </w:r>
      <w:r w:rsidRPr="00F05182">
        <w:rPr>
          <w:rFonts w:hint="cs"/>
          <w:rtl/>
        </w:rPr>
        <w:t>כך</w:t>
      </w:r>
      <w:r w:rsidRPr="00F05182">
        <w:rPr>
          <w:rFonts w:hint="cs"/>
          <w:b/>
          <w:bCs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אפרים</w:t>
      </w:r>
      <w:r w:rsidRPr="00B46B4B">
        <w:rPr>
          <w:rFonts w:hint="cs"/>
          <w:rtl/>
        </w:rPr>
        <w:t xml:space="preserve"> עולה כלשון בה מתאר רש"י על הפסוק את ריחוף הנשר </w:t>
      </w:r>
      <w:r w:rsidRPr="00B46B4B">
        <w:rPr>
          <w:rFonts w:hint="eastAsia"/>
          <w:rtl/>
        </w:rPr>
        <w:t xml:space="preserve">– </w:t>
      </w:r>
      <w:r w:rsidRPr="00B46B4B">
        <w:rPr>
          <w:rFonts w:hint="cs"/>
          <w:rtl/>
        </w:rPr>
        <w:t>"[</w:t>
      </w:r>
      <w:r w:rsidRPr="00B46B4B">
        <w:rPr>
          <w:rtl/>
        </w:rPr>
        <w:t>אינו מכביד עצמו עליהם אלא מחופף</w:t>
      </w:r>
      <w:r w:rsidRPr="00B46B4B">
        <w:rPr>
          <w:rFonts w:hint="cs"/>
          <w:rtl/>
        </w:rPr>
        <w:t>]</w:t>
      </w:r>
      <w:r w:rsidRPr="00B46B4B">
        <w:rPr>
          <w:rtl/>
        </w:rPr>
        <w:t xml:space="preserve"> </w:t>
      </w:r>
      <w:r w:rsidRPr="00B46B4B">
        <w:rPr>
          <w:b/>
          <w:bCs/>
          <w:sz w:val="28"/>
          <w:szCs w:val="28"/>
          <w:rtl/>
        </w:rPr>
        <w:t>נוגע</w:t>
      </w:r>
      <w:r w:rsidRPr="00B46B4B">
        <w:rPr>
          <w:rtl/>
        </w:rPr>
        <w:t xml:space="preserve"> </w:t>
      </w:r>
      <w:r w:rsidRPr="00B46B4B">
        <w:rPr>
          <w:b/>
          <w:bCs/>
          <w:sz w:val="28"/>
          <w:szCs w:val="28"/>
          <w:rtl/>
        </w:rPr>
        <w:t>ואינו</w:t>
      </w:r>
      <w:r w:rsidRPr="00B46B4B">
        <w:rPr>
          <w:rtl/>
        </w:rPr>
        <w:t xml:space="preserve"> </w:t>
      </w:r>
      <w:r w:rsidRPr="00B46B4B">
        <w:rPr>
          <w:b/>
          <w:bCs/>
          <w:sz w:val="28"/>
          <w:szCs w:val="28"/>
          <w:rtl/>
        </w:rPr>
        <w:t>נוגע</w:t>
      </w:r>
      <w:r w:rsidRPr="00B46B4B">
        <w:rPr>
          <w:rFonts w:hint="cs"/>
          <w:rtl/>
        </w:rPr>
        <w:t xml:space="preserve">". כלומר, הרחמים (מדת יעקב) מולידים קנאה חיובית (מדת יוסף), </w:t>
      </w:r>
      <w:r>
        <w:rPr>
          <w:rFonts w:hint="cs"/>
          <w:rtl/>
        </w:rPr>
        <w:t xml:space="preserve">שאינה מכבידה על בן הזוג, </w:t>
      </w:r>
      <w:r w:rsidRPr="00B46B4B">
        <w:rPr>
          <w:rFonts w:hint="cs"/>
          <w:rtl/>
        </w:rPr>
        <w:t>אלא מעוררת ומעודדת אותו</w:t>
      </w:r>
      <w:r w:rsidRPr="00B46B4B">
        <w:rPr>
          <w:rStyle w:val="a6"/>
          <w:rtl/>
        </w:rPr>
        <w:fldChar w:fldCharType="begin"/>
      </w:r>
      <w:r w:rsidRPr="00B46B4B">
        <w:rPr>
          <w:rStyle w:val="a6"/>
          <w:rtl/>
        </w:rPr>
        <w:instrText xml:space="preserve"> </w:instrText>
      </w:r>
      <w:r w:rsidRPr="00B46B4B">
        <w:rPr>
          <w:rStyle w:val="a6"/>
          <w:rFonts w:hint="cs"/>
        </w:rPr>
        <w:instrText>NOTEREF</w:instrText>
      </w:r>
      <w:r w:rsidRPr="00B46B4B">
        <w:rPr>
          <w:rStyle w:val="a6"/>
          <w:rFonts w:hint="cs"/>
          <w:rtl/>
        </w:rPr>
        <w:instrText xml:space="preserve"> _</w:instrText>
      </w:r>
      <w:r w:rsidRPr="00B46B4B">
        <w:rPr>
          <w:rStyle w:val="a6"/>
          <w:rFonts w:hint="cs"/>
        </w:rPr>
        <w:instrText>Ref185583989 \h</w:instrText>
      </w:r>
      <w:r w:rsidRPr="00B46B4B">
        <w:rPr>
          <w:rStyle w:val="a6"/>
          <w:rtl/>
        </w:rPr>
        <w:instrText xml:space="preserve"> </w:instrText>
      </w:r>
      <w:r w:rsidRPr="00B46B4B">
        <w:rPr>
          <w:rStyle w:val="a6"/>
        </w:rPr>
      </w:r>
      <w:r w:rsidRPr="00B46B4B">
        <w:rPr>
          <w:rStyle w:val="a6"/>
        </w:rPr>
        <w:instrText xml:space="preserve"> \* MERGEFORMAT </w:instrText>
      </w:r>
      <w:r w:rsidRPr="00B46B4B">
        <w:rPr>
          <w:rStyle w:val="a6"/>
          <w:rtl/>
        </w:rPr>
        <w:fldChar w:fldCharType="separate"/>
      </w:r>
      <w:r>
        <w:rPr>
          <w:rStyle w:val="a6"/>
          <w:rtl/>
        </w:rPr>
        <w:t>ה</w:t>
      </w:r>
      <w:r w:rsidRPr="00B46B4B">
        <w:rPr>
          <w:rStyle w:val="a6"/>
          <w:rtl/>
        </w:rPr>
        <w:fldChar w:fldCharType="end"/>
      </w:r>
      <w:r>
        <w:rPr>
          <w:rFonts w:hint="cs"/>
          <w:rtl/>
        </w:rPr>
        <w:t>. קנאה חיובית ובלתי-מכבידה זאת</w:t>
      </w:r>
      <w:r w:rsidRPr="00B46B4B">
        <w:rPr>
          <w:rFonts w:hint="cs"/>
          <w:rtl/>
        </w:rPr>
        <w:t xml:space="preserve"> מולידה מגע רגיש ועדין, "נוגע ואינו נוגע"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>, שבבחינת "אפרים</w:t>
      </w:r>
      <w:r>
        <w:rPr>
          <w:rFonts w:hint="cs"/>
          <w:rtl/>
        </w:rPr>
        <w:t>…</w:t>
      </w:r>
      <w:r w:rsidRPr="00B46B4B">
        <w:rPr>
          <w:rFonts w:hint="cs"/>
          <w:rtl/>
        </w:rPr>
        <w:t xml:space="preserve"> ילד שעשֻעים"</w:t>
      </w:r>
      <w:r w:rsidRPr="00C37DFC">
        <w:rPr>
          <w:rStyle w:val="a6"/>
          <w:rtl/>
        </w:rPr>
        <w:endnoteReference w:id="12"/>
      </w:r>
      <w:r w:rsidRPr="00B46B4B">
        <w:rPr>
          <w:rFonts w:hint="cs"/>
          <w:rtl/>
        </w:rPr>
        <w:t xml:space="preserve">. בלשון הקבלה, </w:t>
      </w:r>
      <w:r>
        <w:rPr>
          <w:rFonts w:hint="cs"/>
          <w:rtl/>
        </w:rPr>
        <w:t>מכוון אפרים כנגד עטרת היסוד</w:t>
      </w:r>
      <w:r w:rsidRPr="00C37DFC">
        <w:rPr>
          <w:rStyle w:val="a6"/>
          <w:rtl/>
        </w:rPr>
        <w:endnoteReference w:id="13"/>
      </w:r>
      <w:r>
        <w:rPr>
          <w:rFonts w:hint="cs"/>
          <w:rtl/>
        </w:rPr>
        <w:t xml:space="preserve">, הבאה </w:t>
      </w:r>
      <w:r w:rsidRPr="00B46B4B">
        <w:rPr>
          <w:rFonts w:hint="cs"/>
          <w:rtl/>
        </w:rPr>
        <w:t>כהמשך לגוף ולברית</w:t>
      </w:r>
      <w:r>
        <w:rPr>
          <w:rFonts w:hint="cs"/>
          <w:rtl/>
        </w:rPr>
        <w:t xml:space="preserve"> (יעקב ויוסף, התפארת והיסוד). העטרה הרגישה היא</w:t>
      </w:r>
      <w:r w:rsidRPr="00B46B4B">
        <w:rPr>
          <w:rFonts w:hint="cs"/>
          <w:rtl/>
        </w:rPr>
        <w:t xml:space="preserve"> שרש חוש המישוש-המגע העדין</w:t>
      </w:r>
      <w:r w:rsidRPr="00C37DFC">
        <w:rPr>
          <w:rStyle w:val="a6"/>
          <w:rtl/>
        </w:rPr>
        <w:endnoteReference w:id="14"/>
      </w:r>
      <w:r>
        <w:rPr>
          <w:rFonts w:hint="cs"/>
          <w:rtl/>
        </w:rPr>
        <w:t xml:space="preserve">, ודווקא היא מחוללת בפועל את עצם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עם בן הזוג</w:t>
      </w:r>
      <w:r w:rsidRPr="00B46B4B">
        <w:rPr>
          <w:rFonts w:hint="cs"/>
          <w:rtl/>
        </w:rPr>
        <w:t>.</w:t>
      </w:r>
    </w:p>
    <w:p w:rsidR="005F4A47" w:rsidRDefault="00F41065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065" w:rsidRDefault="00F41065" w:rsidP="000507E7">
      <w:pPr>
        <w:spacing w:after="0" w:line="240" w:lineRule="auto"/>
      </w:pPr>
      <w:r>
        <w:separator/>
      </w:r>
    </w:p>
  </w:endnote>
  <w:endnote w:type="continuationSeparator" w:id="0">
    <w:p w:rsidR="00F41065" w:rsidRDefault="00F41065" w:rsidP="000507E7">
      <w:pPr>
        <w:spacing w:after="0" w:line="240" w:lineRule="auto"/>
      </w:pPr>
      <w:r>
        <w:continuationSeparator/>
      </w:r>
    </w:p>
  </w:endnote>
  <w:endnote w:id="1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לב, יא.</w:t>
      </w:r>
    </w:p>
  </w:endnote>
  <w:endnote w:id="2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עוד בתורה הקודמת (</w:t>
      </w:r>
      <w:proofErr w:type="spellStart"/>
      <w:r>
        <w:rPr>
          <w:rFonts w:hint="cs"/>
          <w:rtl/>
        </w:rPr>
        <w:t>ובנסמן</w:t>
      </w:r>
      <w:proofErr w:type="spellEnd"/>
      <w:r>
        <w:rPr>
          <w:rFonts w:hint="cs"/>
          <w:rtl/>
        </w:rPr>
        <w:t xml:space="preserve"> שם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Ref188203591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ה</w:t>
      </w:r>
      <w:r>
        <w:rPr>
          <w:rtl/>
        </w:rPr>
        <w:fldChar w:fldCharType="end"/>
      </w:r>
      <w:r>
        <w:rPr>
          <w:rFonts w:hint="cs"/>
          <w:rtl/>
        </w:rPr>
        <w:t>).</w:t>
      </w:r>
    </w:p>
  </w:endnote>
  <w:endnote w:id="3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גם בספר הנפש פ"י (עמ' </w:t>
      </w:r>
      <w:proofErr w:type="spellStart"/>
      <w:r>
        <w:rPr>
          <w:rFonts w:hint="cs"/>
          <w:rtl/>
        </w:rPr>
        <w:t>קסה</w:t>
      </w:r>
      <w:proofErr w:type="spellEnd"/>
      <w:r>
        <w:rPr>
          <w:rFonts w:hint="cs"/>
          <w:rtl/>
        </w:rPr>
        <w:t xml:space="preserve"> ואילך).</w:t>
      </w:r>
    </w:p>
  </w:endnote>
  <w:endnote w:id="4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יין משמח ח"א שער ששי בתורות "אהבה ללא פשרות" ו"רוח קנאה".</w:t>
      </w:r>
    </w:p>
  </w:endnote>
  <w:endnote w:id="5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כפי שהתבאר באורך בתורה הקודמת.</w:t>
      </w:r>
    </w:p>
  </w:endnote>
  <w:endnote w:id="6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</w:t>
      </w:r>
      <w:proofErr w:type="spellStart"/>
      <w:r>
        <w:rPr>
          <w:rFonts w:hint="cs"/>
          <w:rtl/>
        </w:rPr>
        <w:t>לז</w:t>
      </w:r>
      <w:proofErr w:type="spellEnd"/>
      <w:r>
        <w:rPr>
          <w:rFonts w:hint="cs"/>
          <w:rtl/>
        </w:rPr>
        <w:t>, ב.</w:t>
      </w:r>
    </w:p>
  </w:endnote>
  <w:endnote w:id="7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רבה פד, ה.</w:t>
      </w:r>
    </w:p>
  </w:endnote>
  <w:endnote w:id="8">
    <w:p w:rsidR="000507E7" w:rsidRDefault="000507E7" w:rsidP="000507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רלו</w:t>
      </w:r>
      <w:proofErr w:type="spellEnd"/>
      <w:r>
        <w:rPr>
          <w:rFonts w:hint="cs"/>
          <w:rtl/>
        </w:rPr>
        <w:t xml:space="preserve">, א. </w:t>
      </w:r>
    </w:p>
  </w:endnote>
  <w:endnote w:id="9">
    <w:p w:rsidR="000507E7" w:rsidRDefault="000507E7" w:rsidP="000507E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"פתח אליהו" </w:t>
      </w:r>
      <w:r>
        <w:rPr>
          <w:rtl/>
        </w:rPr>
        <w:t>–</w:t>
      </w:r>
      <w:r>
        <w:rPr>
          <w:rFonts w:hint="cs"/>
          <w:rtl/>
        </w:rPr>
        <w:t xml:space="preserve"> הקדמת </w:t>
      </w:r>
      <w:proofErr w:type="spellStart"/>
      <w:r>
        <w:rPr>
          <w:rFonts w:hint="cs"/>
          <w:rtl/>
        </w:rPr>
        <w:t>תקו"ז</w:t>
      </w:r>
      <w:proofErr w:type="spellEnd"/>
      <w:r>
        <w:rPr>
          <w:rFonts w:hint="cs"/>
          <w:rtl/>
        </w:rPr>
        <w:t>.</w:t>
      </w:r>
    </w:p>
  </w:endnote>
  <w:endnote w:id="10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>, נב.</w:t>
      </w:r>
    </w:p>
  </w:endnote>
  <w:endnote w:id="11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ביתר פירוט בתורה הבאה.</w:t>
      </w:r>
    </w:p>
  </w:endnote>
  <w:endnote w:id="12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ירמיה לא,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 וראה עוד לקמן בתורה "געגועים-נענועים-שעשועים".</w:t>
      </w:r>
    </w:p>
  </w:endnote>
  <w:endnote w:id="13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עץ חיים שער לב, פ"ט (</w:t>
      </w:r>
      <w:proofErr w:type="spellStart"/>
      <w:r>
        <w:rPr>
          <w:rFonts w:hint="cs"/>
          <w:rtl/>
        </w:rPr>
        <w:t>מ"ת</w:t>
      </w:r>
      <w:proofErr w:type="spellEnd"/>
      <w:r>
        <w:rPr>
          <w:rFonts w:hint="cs"/>
          <w:rtl/>
        </w:rPr>
        <w:t>).</w:t>
      </w:r>
    </w:p>
  </w:endnote>
  <w:endnote w:id="14">
    <w:p w:rsidR="000507E7" w:rsidRDefault="000507E7" w:rsidP="000507E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בספר גוף נפש ונשמה פרק ג (ובפרט שם עמ' </w:t>
      </w:r>
      <w:proofErr w:type="spellStart"/>
      <w:r>
        <w:rPr>
          <w:rFonts w:hint="cs"/>
          <w:rtl/>
        </w:rPr>
        <w:t>עג</w:t>
      </w:r>
      <w:proofErr w:type="spellEnd"/>
      <w:r>
        <w:rPr>
          <w:rFonts w:hint="cs"/>
          <w:rtl/>
        </w:rPr>
        <w:t>-עד) כי עטרת היסוד היא שרש כל מערכת העור, אליה משתייכים המישוש, התחושה והרגישות למגע. וראה עוד על חוש המישוש בתורה הבאה.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065" w:rsidRDefault="00F41065" w:rsidP="000507E7">
      <w:pPr>
        <w:spacing w:after="0" w:line="240" w:lineRule="auto"/>
      </w:pPr>
      <w:r>
        <w:separator/>
      </w:r>
    </w:p>
  </w:footnote>
  <w:footnote w:type="continuationSeparator" w:id="0">
    <w:p w:rsidR="00F41065" w:rsidRDefault="00F41065" w:rsidP="00050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57F"/>
    <w:rsid w:val="000507E7"/>
    <w:rsid w:val="00061E65"/>
    <w:rsid w:val="0010357F"/>
    <w:rsid w:val="00AC2310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0507E7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0507E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507E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0507E7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0507E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0507E7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0507E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0507E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0507E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0507E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0507E7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0507E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507E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0507E7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0507E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0507E7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0507E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0507E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0507E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0507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2017-08-15T07:18:00Z</dcterms:created>
  <dcterms:modified xsi:type="dcterms:W3CDTF">2017-08-15T07:18:00Z</dcterms:modified>
</cp:coreProperties>
</file>