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64" w:rsidRPr="00B46B4B" w:rsidRDefault="00820E64" w:rsidP="00820E64">
      <w:pPr>
        <w:pStyle w:val="2"/>
        <w:rPr>
          <w:rFonts w:hint="cs"/>
          <w:rtl/>
        </w:rPr>
      </w:pPr>
      <w:bookmarkStart w:id="0" w:name="_Toc188281743"/>
      <w:bookmarkStart w:id="1" w:name="_Ref188282071"/>
      <w:r w:rsidRPr="00B46B4B">
        <w:rPr>
          <w:rFonts w:hint="cs"/>
          <w:rtl/>
        </w:rPr>
        <w:t xml:space="preserve">תשרי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חוש המישוש</w:t>
      </w:r>
      <w:bookmarkEnd w:id="0"/>
      <w:bookmarkEnd w:id="1"/>
    </w:p>
    <w:p w:rsidR="00820E64" w:rsidRPr="00EC3D1D" w:rsidRDefault="00820E64" w:rsidP="00820E64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ב</w:t>
      </w:r>
    </w:p>
    <w:p w:rsidR="00820E64" w:rsidRDefault="00820E64" w:rsidP="00820E64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 xml:space="preserve">פרשת האזינו, הנקראת תמיד בחדש </w:t>
      </w:r>
      <w:r w:rsidRPr="00B04702">
        <w:rPr>
          <w:rStyle w:val="a3"/>
          <w:rFonts w:hint="cs"/>
          <w:rtl/>
        </w:rPr>
        <w:t>תשרי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>, קוראים את הפסוק "כ</w:t>
      </w:r>
      <w:r w:rsidRPr="00B04702">
        <w:rPr>
          <w:rStyle w:val="a3"/>
          <w:rFonts w:hint="cs"/>
          <w:rtl/>
        </w:rPr>
        <w:t>נשר</w:t>
      </w:r>
      <w:r w:rsidRPr="00B46B4B">
        <w:rPr>
          <w:rFonts w:hint="cs"/>
          <w:rtl/>
        </w:rPr>
        <w:t xml:space="preserve"> יעיר קנו על גוזליו ירחף"</w:t>
      </w:r>
      <w:r w:rsidRPr="00C37DFC">
        <w:rPr>
          <w:rStyle w:val="a6"/>
          <w:rtl/>
        </w:rPr>
        <w:endnoteReference w:id="2"/>
      </w:r>
      <w:r>
        <w:rPr>
          <w:rFonts w:hint="cs"/>
          <w:rtl/>
        </w:rPr>
        <w:t xml:space="preserve">, עליו </w:t>
      </w:r>
      <w:r w:rsidRPr="00B46B4B">
        <w:rPr>
          <w:rFonts w:hint="cs"/>
          <w:rtl/>
        </w:rPr>
        <w:t>מפרש רש"י כי הנשר הרחמני על בניו "</w:t>
      </w:r>
      <w:r w:rsidRPr="00B46B4B">
        <w:rPr>
          <w:rtl/>
        </w:rPr>
        <w:t>אינו מכביד עצמו עליהם אלא מחופף נוגע</w:t>
      </w:r>
      <w:r w:rsidRPr="00B46B4B">
        <w:rPr>
          <w:sz w:val="24"/>
          <w:szCs w:val="24"/>
          <w:rtl/>
        </w:rPr>
        <w:t xml:space="preserve"> </w:t>
      </w:r>
      <w:r w:rsidRPr="00B46B4B">
        <w:rPr>
          <w:rtl/>
        </w:rPr>
        <w:t>ואינו</w:t>
      </w:r>
      <w:r w:rsidRPr="00B46B4B">
        <w:rPr>
          <w:sz w:val="24"/>
          <w:szCs w:val="24"/>
          <w:rtl/>
        </w:rPr>
        <w:t xml:space="preserve"> </w:t>
      </w:r>
      <w:r w:rsidRPr="00B46B4B">
        <w:rPr>
          <w:rtl/>
        </w:rPr>
        <w:t>נוגע</w:t>
      </w:r>
      <w:r>
        <w:rPr>
          <w:rFonts w:hint="cs"/>
          <w:rtl/>
        </w:rPr>
        <w:t xml:space="preserve">". </w:t>
      </w:r>
      <w:r w:rsidRPr="00B46B4B">
        <w:rPr>
          <w:rFonts w:hint="cs"/>
          <w:rtl/>
        </w:rPr>
        <w:t xml:space="preserve">פרשת </w:t>
      </w:r>
      <w:r w:rsidRPr="00B04702">
        <w:rPr>
          <w:rStyle w:val="a3"/>
          <w:rFonts w:hint="cs"/>
          <w:rtl/>
        </w:rPr>
        <w:t>האזינו</w:t>
      </w:r>
      <w:r w:rsidRPr="00B46B4B">
        <w:rPr>
          <w:rFonts w:hint="cs"/>
          <w:rtl/>
        </w:rPr>
        <w:t xml:space="preserve"> שייכת גם למזלו של חדש תשרי, מזל </w:t>
      </w:r>
      <w:r w:rsidRPr="00B04702">
        <w:rPr>
          <w:rStyle w:val="a3"/>
          <w:rFonts w:hint="cs"/>
          <w:rtl/>
        </w:rPr>
        <w:t>מאזנים</w:t>
      </w:r>
      <w:r w:rsidRPr="00B46B4B">
        <w:rPr>
          <w:rFonts w:hint="cs"/>
          <w:rtl/>
        </w:rPr>
        <w:t>, ול</w:t>
      </w:r>
      <w:r w:rsidRPr="00B04702">
        <w:rPr>
          <w:rStyle w:val="a3"/>
          <w:rFonts w:hint="cs"/>
          <w:rtl/>
        </w:rPr>
        <w:t>איזון</w:t>
      </w:r>
      <w:r>
        <w:rPr>
          <w:rFonts w:hint="cs"/>
          <w:rtl/>
        </w:rPr>
        <w:t xml:space="preserve"> של "נוגע ואינו נוגע"</w:t>
      </w:r>
      <w:r w:rsidRPr="00B46B4B">
        <w:rPr>
          <w:rFonts w:hint="cs"/>
          <w:rtl/>
        </w:rPr>
        <w:t xml:space="preserve">. </w:t>
      </w:r>
    </w:p>
    <w:p w:rsidR="00820E64" w:rsidRPr="00B46B4B" w:rsidRDefault="00820E64" w:rsidP="00820E64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והנה, "</w:t>
      </w:r>
      <w:r w:rsidRPr="00B46B4B">
        <w:rPr>
          <w:rFonts w:hint="cs"/>
          <w:b/>
          <w:bCs/>
          <w:sz w:val="28"/>
          <w:szCs w:val="28"/>
          <w:rtl/>
        </w:rPr>
        <w:t>נוגע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ואינו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נוגע</w:t>
      </w:r>
      <w:r w:rsidRPr="00B46B4B">
        <w:rPr>
          <w:rFonts w:hint="cs"/>
          <w:rtl/>
        </w:rPr>
        <w:t xml:space="preserve">" עולה </w:t>
      </w:r>
      <w:proofErr w:type="spellStart"/>
      <w:r w:rsidRPr="00B46B4B">
        <w:rPr>
          <w:rFonts w:hint="cs"/>
          <w:rtl/>
        </w:rPr>
        <w:t>בגימטריא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אפרים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>, השבט המכוון בחדשי השנה כנגד חדש תשרי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>. לחדש זה שייך גם חוש התשמיש</w:t>
      </w:r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>, המקביל בספר יצירה לחוש המישוש, החוש אליו שייכת העדינות של "נוגע ואינו נוגע" (</w:t>
      </w:r>
      <w:r>
        <w:rPr>
          <w:rFonts w:hint="cs"/>
          <w:rtl/>
        </w:rPr>
        <w:t>כשהזהות בין המישוש-תשמיש מלמדת ש</w:t>
      </w:r>
      <w:r w:rsidRPr="00B46B4B">
        <w:rPr>
          <w:rFonts w:hint="cs"/>
          <w:rtl/>
        </w:rPr>
        <w:t>תכלית המגע המתוקן והעדין הוא חיבור מלא ופורה).</w:t>
      </w:r>
    </w:p>
    <w:p w:rsidR="00820E64" w:rsidRDefault="00820E64" w:rsidP="00820E64">
      <w:pPr>
        <w:widowControl w:val="0"/>
        <w:rPr>
          <w:rFonts w:hint="cs"/>
          <w:rtl/>
        </w:rPr>
      </w:pPr>
      <w:r>
        <w:rPr>
          <w:rFonts w:hint="cs"/>
          <w:rtl/>
        </w:rPr>
        <w:t xml:space="preserve">תשרי הוא </w:t>
      </w:r>
      <w:r w:rsidRPr="00B46B4B">
        <w:rPr>
          <w:rFonts w:hint="cs"/>
          <w:rtl/>
        </w:rPr>
        <w:t>החדש ה</w:t>
      </w:r>
      <w:r w:rsidRPr="00B04702">
        <w:rPr>
          <w:rStyle w:val="a3"/>
          <w:rFonts w:hint="cs"/>
          <w:rtl/>
        </w:rPr>
        <w:t>שביעי</w:t>
      </w:r>
      <w:r w:rsidRPr="00B46B4B">
        <w:rPr>
          <w:rFonts w:hint="cs"/>
          <w:rtl/>
        </w:rPr>
        <w:t>, ה</w:t>
      </w:r>
      <w:r w:rsidRPr="00B04702">
        <w:rPr>
          <w:rStyle w:val="a3"/>
          <w:rFonts w:hint="cs"/>
          <w:rtl/>
        </w:rPr>
        <w:t>מושבע</w:t>
      </w:r>
      <w:r w:rsidRPr="00B46B4B">
        <w:rPr>
          <w:rFonts w:hint="cs"/>
          <w:rtl/>
        </w:rPr>
        <w:t xml:space="preserve"> מכל טוב</w:t>
      </w:r>
      <w:r w:rsidRPr="00C37DFC">
        <w:rPr>
          <w:rStyle w:val="a6"/>
          <w:rtl/>
        </w:rPr>
        <w:endnoteReference w:id="6"/>
      </w:r>
      <w:r>
        <w:rPr>
          <w:rFonts w:hint="cs"/>
          <w:rtl/>
        </w:rPr>
        <w:t xml:space="preserve">, </w:t>
      </w:r>
      <w:r w:rsidRPr="00B46B4B">
        <w:rPr>
          <w:rFonts w:hint="cs"/>
          <w:rtl/>
        </w:rPr>
        <w:t xml:space="preserve">בסוד "מצא </w:t>
      </w:r>
      <w:proofErr w:type="spellStart"/>
      <w:r w:rsidRPr="00B46B4B">
        <w:rPr>
          <w:rFonts w:hint="cs"/>
          <w:rtl/>
        </w:rPr>
        <w:t>אשה</w:t>
      </w:r>
      <w:proofErr w:type="spellEnd"/>
      <w:r w:rsidRPr="00B46B4B">
        <w:rPr>
          <w:rFonts w:hint="cs"/>
          <w:rtl/>
        </w:rPr>
        <w:t xml:space="preserve"> מצא </w:t>
      </w:r>
      <w:r w:rsidRPr="00B04702">
        <w:rPr>
          <w:rStyle w:val="a3"/>
          <w:rFonts w:hint="cs"/>
          <w:rtl/>
        </w:rPr>
        <w:t>טוב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7"/>
      </w:r>
      <w:r>
        <w:rPr>
          <w:rFonts w:hint="cs"/>
          <w:rtl/>
        </w:rPr>
        <w:t xml:space="preserve"> (</w:t>
      </w:r>
      <w:r w:rsidRPr="00B46B4B">
        <w:rPr>
          <w:rFonts w:hint="cs"/>
          <w:rtl/>
        </w:rPr>
        <w:t xml:space="preserve">כאשר </w:t>
      </w:r>
      <w:r w:rsidRPr="00B46B4B">
        <w:rPr>
          <w:rFonts w:hint="cs"/>
          <w:b/>
          <w:bCs/>
          <w:sz w:val="28"/>
          <w:szCs w:val="28"/>
          <w:rtl/>
        </w:rPr>
        <w:t>שובע</w:t>
      </w:r>
      <w:r w:rsidRPr="00B46B4B">
        <w:rPr>
          <w:rFonts w:hint="cs"/>
          <w:rtl/>
        </w:rPr>
        <w:t xml:space="preserve"> רומז ל</w:t>
      </w:r>
      <w:r w:rsidRPr="00B46B4B">
        <w:rPr>
          <w:rFonts w:hint="cs"/>
          <w:b/>
          <w:bCs/>
          <w:sz w:val="28"/>
          <w:szCs w:val="28"/>
          <w:rtl/>
        </w:rPr>
        <w:t>שלום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</w:t>
      </w:r>
      <w:r w:rsidRPr="00B46B4B">
        <w:rPr>
          <w:rFonts w:hint="cs"/>
          <w:rtl/>
        </w:rPr>
        <w:t>ית)</w:t>
      </w:r>
      <w:r>
        <w:rPr>
          <w:rFonts w:hint="cs"/>
          <w:rtl/>
        </w:rPr>
        <w:t xml:space="preserve">. זהו </w:t>
      </w:r>
      <w:r w:rsidRPr="00B46B4B">
        <w:rPr>
          <w:rFonts w:hint="cs"/>
          <w:rtl/>
        </w:rPr>
        <w:t>"ירח ה</w:t>
      </w:r>
      <w:r w:rsidRPr="00B46B4B">
        <w:rPr>
          <w:rFonts w:hint="cs"/>
          <w:b/>
          <w:bCs/>
          <w:sz w:val="28"/>
          <w:szCs w:val="28"/>
          <w:rtl/>
        </w:rPr>
        <w:t>דבש</w:t>
      </w:r>
      <w:r>
        <w:rPr>
          <w:rFonts w:hint="cs"/>
          <w:rtl/>
        </w:rPr>
        <w:t>" היהודי, ה</w:t>
      </w:r>
      <w:r w:rsidRPr="00B46B4B">
        <w:rPr>
          <w:rFonts w:hint="cs"/>
          <w:rtl/>
        </w:rPr>
        <w:t>ר</w:t>
      </w:r>
      <w:r>
        <w:rPr>
          <w:rFonts w:hint="cs"/>
          <w:rtl/>
        </w:rPr>
        <w:t>ו</w:t>
      </w:r>
      <w:r w:rsidRPr="00B46B4B">
        <w:rPr>
          <w:rFonts w:hint="cs"/>
          <w:rtl/>
        </w:rPr>
        <w:t xml:space="preserve">מז לשלמות </w:t>
      </w:r>
      <w:proofErr w:type="spellStart"/>
      <w:r w:rsidRPr="00B46B4B">
        <w:rPr>
          <w:rFonts w:hint="cs"/>
          <w:rtl/>
        </w:rPr>
        <w:t>היחוד</w:t>
      </w:r>
      <w:proofErr w:type="spellEnd"/>
      <w:r w:rsidRPr="00B46B4B">
        <w:rPr>
          <w:rFonts w:hint="cs"/>
          <w:rtl/>
        </w:rPr>
        <w:t xml:space="preserve"> של </w:t>
      </w:r>
      <w:r w:rsidRPr="00B46B4B">
        <w:rPr>
          <w:rFonts w:hint="cs"/>
          <w:b/>
          <w:bCs/>
          <w:sz w:val="28"/>
          <w:szCs w:val="28"/>
          <w:rtl/>
        </w:rPr>
        <w:t>ד</w:t>
      </w:r>
      <w:r w:rsidRPr="00B46B4B">
        <w:rPr>
          <w:rFonts w:hint="cs"/>
          <w:rtl/>
        </w:rPr>
        <w:t xml:space="preserve">וד </w:t>
      </w:r>
      <w:r w:rsidRPr="00B46B4B">
        <w:rPr>
          <w:rFonts w:hint="cs"/>
          <w:b/>
          <w:bCs/>
          <w:sz w:val="28"/>
          <w:szCs w:val="28"/>
          <w:rtl/>
        </w:rPr>
        <w:t>ב</w:t>
      </w:r>
      <w:r w:rsidRPr="00B46B4B">
        <w:rPr>
          <w:rFonts w:hint="cs"/>
          <w:rtl/>
        </w:rPr>
        <w:t xml:space="preserve">ת </w:t>
      </w:r>
      <w:r w:rsidRPr="00B46B4B">
        <w:rPr>
          <w:rFonts w:hint="cs"/>
          <w:b/>
          <w:bCs/>
          <w:sz w:val="28"/>
          <w:szCs w:val="28"/>
          <w:rtl/>
        </w:rPr>
        <w:t>ש</w:t>
      </w:r>
      <w:r w:rsidRPr="00B46B4B">
        <w:rPr>
          <w:rFonts w:hint="cs"/>
          <w:rtl/>
        </w:rPr>
        <w:t>בע</w:t>
      </w:r>
      <w:r w:rsidRPr="00C37DFC">
        <w:rPr>
          <w:rStyle w:val="a6"/>
          <w:rtl/>
        </w:rPr>
        <w:endnoteReference w:id="8"/>
      </w:r>
      <w:r>
        <w:rPr>
          <w:rFonts w:hint="cs"/>
          <w:rtl/>
        </w:rPr>
        <w:t xml:space="preserve"> (</w:t>
      </w:r>
      <w:r w:rsidRPr="00B46B4B">
        <w:rPr>
          <w:rFonts w:hint="cs"/>
          <w:rtl/>
        </w:rPr>
        <w:t xml:space="preserve">גם היא מלשון </w:t>
      </w:r>
      <w:r w:rsidRPr="00B04702">
        <w:rPr>
          <w:rStyle w:val="a3"/>
          <w:rFonts w:hint="cs"/>
          <w:rtl/>
        </w:rPr>
        <w:t>שובע</w:t>
      </w:r>
      <w:r w:rsidRPr="00B46B4B">
        <w:rPr>
          <w:rFonts w:hint="cs"/>
          <w:rtl/>
        </w:rPr>
        <w:t xml:space="preserve">). </w:t>
      </w:r>
      <w:r>
        <w:rPr>
          <w:rFonts w:hint="cs"/>
          <w:rtl/>
        </w:rPr>
        <w:t xml:space="preserve">בהתאם לכך, תוכן עבודת תשרי, בכל חגיו, מצוותיו </w:t>
      </w:r>
      <w:proofErr w:type="spellStart"/>
      <w:r>
        <w:rPr>
          <w:rFonts w:hint="cs"/>
          <w:rtl/>
        </w:rPr>
        <w:t>ותפלותיו</w:t>
      </w:r>
      <w:proofErr w:type="spellEnd"/>
      <w:r>
        <w:rPr>
          <w:rFonts w:hint="cs"/>
          <w:rtl/>
        </w:rPr>
        <w:t xml:space="preserve">, </w:t>
      </w:r>
      <w:r w:rsidRPr="00B46B4B">
        <w:rPr>
          <w:rFonts w:hint="cs"/>
          <w:rtl/>
        </w:rPr>
        <w:t>הוא בנין המלכות-</w:t>
      </w:r>
      <w:proofErr w:type="spellStart"/>
      <w:r w:rsidRPr="00B46B4B">
        <w:rPr>
          <w:rFonts w:hint="cs"/>
          <w:rtl/>
        </w:rPr>
        <w:t>הנוקבא</w:t>
      </w:r>
      <w:proofErr w:type="spellEnd"/>
      <w:r>
        <w:rPr>
          <w:rFonts w:hint="cs"/>
          <w:rtl/>
        </w:rPr>
        <w:t xml:space="preserve">, עד לזווג בשמיני עצרת. </w:t>
      </w:r>
    </w:p>
    <w:p w:rsidR="00820E64" w:rsidRPr="00B46B4B" w:rsidRDefault="00820E64" w:rsidP="00820E64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סדר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העבודה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של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</w:t>
      </w:r>
      <w:r w:rsidRPr="00B46B4B">
        <w:rPr>
          <w:rFonts w:hint="cs"/>
          <w:b/>
          <w:bCs/>
          <w:sz w:val="28"/>
          <w:szCs w:val="28"/>
          <w:rtl/>
        </w:rPr>
        <w:t>נוגע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ואינו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נוגע</w:t>
      </w:r>
      <w:r w:rsidRPr="00B46B4B">
        <w:rPr>
          <w:rFonts w:hint="cs"/>
          <w:rtl/>
        </w:rPr>
        <w:t>",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עבודת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אפרים</w:t>
      </w:r>
      <w:r w:rsidRPr="00B46B4B">
        <w:rPr>
          <w:rFonts w:hint="cs"/>
          <w:rtl/>
        </w:rPr>
        <w:t>,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מתבטא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בחדש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תשרי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במעבר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מימי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היראה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שבראשיתו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(שבבחינת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"אינו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נוגע")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לימי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האהבה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והשמחה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שבסופו</w:t>
      </w:r>
      <w:r w:rsidRPr="00C37DFC">
        <w:rPr>
          <w:rStyle w:val="a6"/>
          <w:rtl/>
        </w:rPr>
        <w:endnoteReference w:id="9"/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(שבבחינת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"נוגע",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"וימינו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תחבקני"</w:t>
      </w:r>
      <w:r w:rsidRPr="00C37DFC">
        <w:rPr>
          <w:rStyle w:val="a6"/>
          <w:rtl/>
        </w:rPr>
        <w:endnoteReference w:id="10"/>
      </w:r>
      <w:r w:rsidRPr="006C6056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rtl/>
        </w:rPr>
        <w:t>ו"ישמחנה</w:t>
      </w:r>
      <w:proofErr w:type="spellEnd"/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בדבר</w:t>
      </w:r>
      <w:r w:rsidRPr="006C6056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מצוה"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>).</w:t>
      </w:r>
      <w:r w:rsidRPr="006C6056">
        <w:rPr>
          <w:rFonts w:hint="cs"/>
          <w:spacing w:val="1"/>
          <w:rtl/>
        </w:rPr>
        <w:t xml:space="preserve"> </w:t>
      </w:r>
    </w:p>
    <w:p w:rsidR="00820E64" w:rsidRPr="00B46B4B" w:rsidRDefault="00820E64" w:rsidP="00820E64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עבודת היראה (עליה נאמר "</w:t>
      </w:r>
      <w:r w:rsidRPr="00B04702">
        <w:rPr>
          <w:rStyle w:val="a3"/>
          <w:rFonts w:hint="cs"/>
          <w:rtl/>
        </w:rPr>
        <w:t>יגעת</w:t>
      </w:r>
      <w:r w:rsidRPr="00B46B4B">
        <w:rPr>
          <w:rFonts w:hint="cs"/>
          <w:rtl/>
        </w:rPr>
        <w:t xml:space="preserve"> ביראה"</w:t>
      </w:r>
      <w:bookmarkStart w:id="2" w:name="_Ref188204080"/>
      <w:r w:rsidRPr="00C37DFC">
        <w:rPr>
          <w:rStyle w:val="a6"/>
          <w:rtl/>
        </w:rPr>
        <w:endnoteReference w:id="12"/>
      </w:r>
      <w:bookmarkEnd w:id="2"/>
      <w:r w:rsidRPr="00B46B4B">
        <w:rPr>
          <w:rFonts w:hint="cs"/>
          <w:rtl/>
        </w:rPr>
        <w:t xml:space="preserve"> ו"אוי לו לבשר שלא </w:t>
      </w:r>
      <w:r w:rsidRPr="00B04702">
        <w:rPr>
          <w:rStyle w:val="a3"/>
          <w:rFonts w:hint="cs"/>
          <w:rtl/>
        </w:rPr>
        <w:t>נתייגע</w:t>
      </w:r>
      <w:r w:rsidRPr="00B46B4B">
        <w:rPr>
          <w:rFonts w:hint="cs"/>
          <w:rtl/>
        </w:rPr>
        <w:t xml:space="preserve"> ביראה"</w:t>
      </w:r>
      <w:r w:rsidRPr="00A1281B">
        <w:rPr>
          <w:rStyle w:val="a6"/>
        </w:rPr>
        <w:fldChar w:fldCharType="begin"/>
      </w:r>
      <w:r w:rsidRPr="00A1281B">
        <w:rPr>
          <w:rStyle w:val="a6"/>
          <w:rtl/>
        </w:rPr>
        <w:instrText xml:space="preserve"> </w:instrText>
      </w:r>
      <w:r w:rsidRPr="00A1281B">
        <w:rPr>
          <w:rStyle w:val="a6"/>
          <w:rFonts w:hint="cs"/>
        </w:rPr>
        <w:instrText>NOTEREF</w:instrText>
      </w:r>
      <w:r w:rsidRPr="00A1281B">
        <w:rPr>
          <w:rStyle w:val="a6"/>
          <w:rFonts w:hint="cs"/>
          <w:rtl/>
        </w:rPr>
        <w:instrText xml:space="preserve"> _</w:instrText>
      </w:r>
      <w:r w:rsidRPr="00A1281B">
        <w:rPr>
          <w:rStyle w:val="a6"/>
          <w:rFonts w:hint="cs"/>
        </w:rPr>
        <w:instrText>Ref188204080 \h</w:instrText>
      </w:r>
      <w:r w:rsidRPr="00A1281B">
        <w:rPr>
          <w:rStyle w:val="a6"/>
          <w:rtl/>
        </w:rPr>
        <w:instrText xml:space="preserve"> </w:instrText>
      </w:r>
      <w:r w:rsidRPr="00A1281B">
        <w:rPr>
          <w:rStyle w:val="a6"/>
        </w:rPr>
      </w:r>
      <w:r>
        <w:rPr>
          <w:rStyle w:val="a6"/>
        </w:rPr>
        <w:instrText xml:space="preserve"> \* MERGEFORMAT </w:instrText>
      </w:r>
      <w:r w:rsidRPr="00A1281B">
        <w:rPr>
          <w:rStyle w:val="a6"/>
        </w:rPr>
        <w:fldChar w:fldCharType="separate"/>
      </w:r>
      <w:r>
        <w:rPr>
          <w:rStyle w:val="a6"/>
          <w:rtl/>
        </w:rPr>
        <w:t>יב</w:t>
      </w:r>
      <w:r w:rsidRPr="00A1281B">
        <w:rPr>
          <w:rStyle w:val="a6"/>
        </w:rPr>
        <w:fldChar w:fldCharType="end"/>
      </w:r>
      <w:r w:rsidRPr="00B46B4B">
        <w:rPr>
          <w:rFonts w:hint="cs"/>
          <w:rtl/>
        </w:rPr>
        <w:t>) מזככת את האדם ומביאה אותו למדת "</w:t>
      </w:r>
      <w:r w:rsidRPr="00B04702">
        <w:rPr>
          <w:rStyle w:val="a3"/>
          <w:rFonts w:hint="cs"/>
          <w:rtl/>
        </w:rPr>
        <w:t>נוגע</w:t>
      </w:r>
      <w:r w:rsidRPr="00B46B4B">
        <w:rPr>
          <w:rFonts w:hint="cs"/>
          <w:rtl/>
        </w:rPr>
        <w:t xml:space="preserve"> ואינו </w:t>
      </w:r>
      <w:r w:rsidRPr="00B04702">
        <w:rPr>
          <w:rStyle w:val="a3"/>
          <w:rFonts w:hint="cs"/>
          <w:rtl/>
        </w:rPr>
        <w:t>נוגע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3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מתוך כך הוא יכול להגיע לרוב אהבה ושמחה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בקדושה ובטהרה. בסדר זה תנועת ה"אינו נוגע" קודמת (</w:t>
      </w:r>
      <w:proofErr w:type="spellStart"/>
      <w:r w:rsidRPr="00B46B4B">
        <w:rPr>
          <w:rFonts w:hint="cs"/>
          <w:rtl/>
        </w:rPr>
        <w:t>בכח</w:t>
      </w:r>
      <w:proofErr w:type="spellEnd"/>
      <w:r w:rsidRPr="00B46B4B">
        <w:rPr>
          <w:rFonts w:hint="cs"/>
          <w:rtl/>
        </w:rPr>
        <w:t>) למעשה ה"נוגע", והיא השומרת מהתמכרות למגע ומשמרת בתוכו את העדינות והריחוף. קדימה זו היא על דרך המבואר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 xml:space="preserve"> כי רבי עקיבא "נכנס בשלום ויצא בשלום"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 xml:space="preserve"> לפרדס רק משום שכבר </w:t>
      </w:r>
      <w:r w:rsidRPr="00B04702">
        <w:rPr>
          <w:rStyle w:val="a3"/>
          <w:rFonts w:hint="cs"/>
          <w:rtl/>
        </w:rPr>
        <w:t>קודם לכניסתו</w:t>
      </w:r>
      <w:r w:rsidRPr="00B46B4B">
        <w:rPr>
          <w:rFonts w:hint="cs"/>
          <w:rtl/>
        </w:rPr>
        <w:t xml:space="preserve"> גמר בדעתו כי בבוא העת יפנה לצאת מהפרדס בתנועת "שוב" ("אינו נוגע", בסודות התורה), בטרם שתכלה נפשו ב"רצוא"</w:t>
      </w:r>
      <w:r w:rsidRPr="00C37DFC">
        <w:rPr>
          <w:rStyle w:val="a6"/>
          <w:rtl/>
        </w:rPr>
        <w:endnoteReference w:id="16"/>
      </w:r>
      <w:r w:rsidRPr="00B46B4B">
        <w:rPr>
          <w:rFonts w:hint="cs"/>
          <w:rtl/>
        </w:rPr>
        <w:t xml:space="preserve"> ("נוגע" בסודות התורה). </w:t>
      </w:r>
    </w:p>
    <w:p w:rsidR="00820E64" w:rsidRPr="00B46B4B" w:rsidRDefault="00820E64" w:rsidP="00820E64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עם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זאת,</w:t>
      </w:r>
      <w:r w:rsidRPr="00020B92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קדימת</w:t>
      </w:r>
      <w:proofErr w:type="spellEnd"/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ה"שוב"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אינה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מגבילה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את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ה"רצוא",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הנעשה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בזמנו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במלוא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העוצמה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והאמת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(כשהחלטת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ה"שוב"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נותרת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לא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מודעת,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עד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שמגיע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זמנה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להתממש)</w:t>
      </w:r>
      <w:r w:rsidRPr="00C37DFC">
        <w:rPr>
          <w:rStyle w:val="a6"/>
          <w:rtl/>
        </w:rPr>
        <w:endnoteReference w:id="17"/>
      </w:r>
      <w:r w:rsidRPr="00B46B4B">
        <w:rPr>
          <w:rFonts w:hint="cs"/>
          <w:rtl/>
        </w:rPr>
        <w:t>.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וכך,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גם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ב"נוגע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ואינו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נוגע"</w:t>
      </w:r>
      <w:r w:rsidRPr="00020B92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הקדמת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היראה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והזהירות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מנגיעה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חוטאת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אינה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נותרת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כגורם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מעכב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בשלב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ה"נוגע",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ואזי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האדם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נוגע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במלוא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החבה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והשמחה,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ללא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כל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הסתייגות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וחשש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שמא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יחטא</w:t>
      </w:r>
      <w:r>
        <w:rPr>
          <w:rFonts w:hint="cs"/>
          <w:rtl/>
        </w:rPr>
        <w:t>.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שהרי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"לעשות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שלום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בין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איש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לאשתו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אמרה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תורה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שמי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שנכתב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בקדושה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ימחה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על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המים"</w:t>
      </w:r>
      <w:r w:rsidRPr="00C37DFC">
        <w:rPr>
          <w:rStyle w:val="a6"/>
          <w:rtl/>
        </w:rPr>
        <w:endnoteReference w:id="18"/>
      </w:r>
      <w:r w:rsidRPr="00B46B4B">
        <w:rPr>
          <w:rFonts w:hint="cs"/>
          <w:rtl/>
        </w:rPr>
        <w:t>,</w:t>
      </w:r>
      <w:r w:rsidRPr="00020B92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וק"ו</w:t>
      </w:r>
      <w:proofErr w:type="spellEnd"/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שיש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לבטל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בעת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הזיווג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כל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חשש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מחטא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הגורם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להסתייגות,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חציצה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או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ריחוק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בין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בני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הזוג</w:t>
      </w:r>
      <w:r w:rsidRPr="00C37DFC">
        <w:rPr>
          <w:rStyle w:val="a6"/>
          <w:rtl/>
        </w:rPr>
        <w:endnoteReference w:id="19"/>
      </w:r>
      <w:r>
        <w:rPr>
          <w:rFonts w:hint="cs"/>
          <w:rtl/>
        </w:rPr>
        <w:t>.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אז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השראת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ה"לא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נוגע</w:t>
      </w:r>
      <w:r>
        <w:rPr>
          <w:rFonts w:hint="cs"/>
          <w:rtl/>
        </w:rPr>
        <w:t>"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רק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מחדדת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את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הרגישות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לבן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הזוג,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ומסמנת,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בבוא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העת,</w:t>
      </w:r>
      <w:r w:rsidRPr="00020B92">
        <w:rPr>
          <w:rFonts w:hint="cs"/>
          <w:rtl/>
        </w:rPr>
        <w:t xml:space="preserve"> </w:t>
      </w:r>
      <w:r w:rsidRPr="00B46B4B">
        <w:rPr>
          <w:rFonts w:hint="cs"/>
          <w:rtl/>
        </w:rPr>
        <w:t>כי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נסתיימה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עת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הרצון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לנגיעה</w:t>
      </w:r>
      <w:r w:rsidRPr="00020B92">
        <w:rPr>
          <w:rFonts w:hint="cs"/>
          <w:rtl/>
        </w:rPr>
        <w:t xml:space="preserve"> </w:t>
      </w:r>
      <w:r>
        <w:rPr>
          <w:rFonts w:hint="cs"/>
          <w:rtl/>
        </w:rPr>
        <w:t>האוהבת</w:t>
      </w:r>
      <w:r w:rsidRPr="00B46B4B">
        <w:rPr>
          <w:rFonts w:hint="cs"/>
          <w:rtl/>
        </w:rPr>
        <w:t>.</w:t>
      </w:r>
    </w:p>
    <w:p w:rsidR="005F4A47" w:rsidRDefault="00970AB2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B2" w:rsidRDefault="00970AB2" w:rsidP="00820E64">
      <w:pPr>
        <w:spacing w:after="0" w:line="240" w:lineRule="auto"/>
      </w:pPr>
      <w:r>
        <w:separator/>
      </w:r>
    </w:p>
  </w:endnote>
  <w:endnote w:type="continuationSeparator" w:id="0">
    <w:p w:rsidR="00970AB2" w:rsidRDefault="00970AB2" w:rsidP="00820E64">
      <w:pPr>
        <w:spacing w:after="0" w:line="240" w:lineRule="auto"/>
      </w:pPr>
      <w:r>
        <w:continuationSeparator/>
      </w:r>
    </w:p>
  </w:endnote>
  <w:endnote w:id="1">
    <w:p w:rsidR="00820E64" w:rsidRPr="00672B3D" w:rsidRDefault="00820E64" w:rsidP="00820E64">
      <w:pPr>
        <w:spacing w:before="240"/>
        <w:rPr>
          <w:rFonts w:cs="Guttman Soncino" w:hint="cs"/>
          <w:spacing w:val="60"/>
          <w:sz w:val="22"/>
          <w:szCs w:val="22"/>
        </w:rPr>
      </w:pPr>
      <w:r w:rsidRPr="00672B3D">
        <w:rPr>
          <w:rFonts w:cs="Guttman Soncino" w:hint="cs"/>
          <w:spacing w:val="60"/>
          <w:sz w:val="22"/>
          <w:szCs w:val="22"/>
          <w:rtl/>
        </w:rPr>
        <w:t>מקורות:</w:t>
      </w:r>
    </w:p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טושו"ע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או"ח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תכח</w:t>
      </w:r>
      <w:proofErr w:type="spellEnd"/>
      <w:r>
        <w:rPr>
          <w:rFonts w:hint="cs"/>
          <w:rtl/>
        </w:rPr>
        <w:t>.</w:t>
      </w:r>
    </w:p>
  </w:endnote>
  <w:endnote w:id="2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לב, יא.</w:t>
      </w:r>
    </w:p>
  </w:endnote>
  <w:endnote w:id="3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כנ"ל בתורה הקודמת.</w:t>
      </w:r>
    </w:p>
  </w:endnote>
  <w:endnote w:id="4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ספר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הש"ס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להאריז"ל</w:t>
      </w:r>
      <w:proofErr w:type="spellEnd"/>
      <w:r>
        <w:rPr>
          <w:rFonts w:hint="cs"/>
          <w:rtl/>
        </w:rPr>
        <w:t>.</w:t>
      </w:r>
    </w:p>
  </w:endnote>
  <w:endnote w:id="5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ספר יצירה פ"ה מ"ט.</w:t>
      </w:r>
    </w:p>
  </w:endnote>
  <w:endnote w:id="6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פסיקתא </w:t>
      </w:r>
      <w:proofErr w:type="spellStart"/>
      <w:r>
        <w:rPr>
          <w:rFonts w:hint="cs"/>
          <w:rtl/>
        </w:rPr>
        <w:t>דרב</w:t>
      </w:r>
      <w:proofErr w:type="spellEnd"/>
      <w:r>
        <w:rPr>
          <w:rFonts w:hint="cs"/>
          <w:rtl/>
        </w:rPr>
        <w:t xml:space="preserve"> כהנא </w:t>
      </w:r>
      <w:proofErr w:type="spellStart"/>
      <w:r>
        <w:rPr>
          <w:rFonts w:hint="cs"/>
          <w:rtl/>
        </w:rPr>
        <w:t>פסקא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 אות ט. ויקרא רבה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>, ח.</w:t>
      </w:r>
    </w:p>
  </w:endnote>
  <w:endnote w:id="7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חי,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 xml:space="preserve"> (וראה באורך בהקדמת הספר שכינה ביניהם).</w:t>
      </w:r>
    </w:p>
  </w:endnote>
  <w:endnote w:id="8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שכינה ביניהם פ"ה.</w:t>
      </w:r>
    </w:p>
  </w:endnote>
  <w:endnote w:id="9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דרושים לר"ה ס, ג.</w:t>
      </w:r>
    </w:p>
  </w:endnote>
  <w:endnote w:id="10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ב, ו; ג, ח.</w:t>
      </w:r>
    </w:p>
  </w:endnote>
  <w:endnote w:id="11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מסכת כלה פרק ב. פסחים עב, ב (וראה באורך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ד בתורה "משמחה למסירות נפש" ובכללות שער ו).</w:t>
      </w:r>
    </w:p>
  </w:endnote>
  <w:endnote w:id="12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</w:t>
      </w:r>
      <w:proofErr w:type="spellStart"/>
      <w:r>
        <w:rPr>
          <w:rFonts w:hint="cs"/>
          <w:rtl/>
        </w:rPr>
        <w:t>אגה"ק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 (וראה עוד לקמן בתורה הבאה).</w:t>
      </w:r>
    </w:p>
  </w:endnote>
  <w:endnote w:id="13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B46B4B">
        <w:rPr>
          <w:rFonts w:hint="cs"/>
          <w:rtl/>
        </w:rPr>
        <w:t>כשמתחולל בתוכו, בלשון מורנו הבעל שם טוב</w:t>
      </w:r>
      <w:r>
        <w:rPr>
          <w:rFonts w:hint="cs"/>
          <w:rtl/>
        </w:rPr>
        <w:t xml:space="preserve"> (כתר שם טוב אות צג)</w:t>
      </w:r>
      <w:r w:rsidRPr="00B46B4B">
        <w:rPr>
          <w:rFonts w:hint="cs"/>
          <w:rtl/>
        </w:rPr>
        <w:t>, "יחוד יראה-נורא", שהוא התייחסות נ</w:t>
      </w:r>
      <w:r>
        <w:rPr>
          <w:rFonts w:hint="cs"/>
          <w:rtl/>
        </w:rPr>
        <w:t>כונה לפלא נעלם המתגלה במציאות.</w:t>
      </w:r>
    </w:p>
  </w:endnote>
  <w:endnote w:id="14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סוף ד"ה "אחרי מות" תרמ"ט (</w:t>
      </w:r>
      <w:proofErr w:type="spellStart"/>
      <w:r>
        <w:rPr>
          <w:rFonts w:hint="cs"/>
          <w:rtl/>
        </w:rPr>
        <w:t>סה"מ</w:t>
      </w:r>
      <w:proofErr w:type="spellEnd"/>
      <w:r>
        <w:rPr>
          <w:rFonts w:hint="cs"/>
          <w:rtl/>
        </w:rPr>
        <w:t xml:space="preserve"> תרמ"ו-</w:t>
      </w:r>
      <w:proofErr w:type="spellStart"/>
      <w:r>
        <w:rPr>
          <w:rFonts w:hint="cs"/>
          <w:rtl/>
        </w:rPr>
        <w:t>תר"ן</w:t>
      </w:r>
      <w:proofErr w:type="spellEnd"/>
      <w:r>
        <w:rPr>
          <w:rFonts w:hint="cs"/>
          <w:rtl/>
        </w:rPr>
        <w:t xml:space="preserve"> עמ' רנט ואילך), ובכ"ד </w:t>
      </w:r>
      <w:proofErr w:type="spellStart"/>
      <w:r>
        <w:rPr>
          <w:rFonts w:hint="cs"/>
          <w:rtl/>
        </w:rPr>
        <w:t>בדא"ח</w:t>
      </w:r>
      <w:proofErr w:type="spellEnd"/>
      <w:r>
        <w:rPr>
          <w:rFonts w:hint="cs"/>
          <w:rtl/>
        </w:rPr>
        <w:t>, וראה גם בספר נפש בריאה עמ' פט.</w:t>
      </w:r>
    </w:p>
  </w:endnote>
  <w:endnote w:id="15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ירושלמי חגיגה פ"ב ה"א (ט, א). ראה גם </w:t>
      </w:r>
      <w:proofErr w:type="spellStart"/>
      <w:r>
        <w:rPr>
          <w:rFonts w:hint="cs"/>
          <w:rtl/>
        </w:rPr>
        <w:t>תוספתא</w:t>
      </w:r>
      <w:proofErr w:type="spellEnd"/>
      <w:r>
        <w:rPr>
          <w:rFonts w:hint="cs"/>
          <w:rtl/>
        </w:rPr>
        <w:t xml:space="preserve"> חגיגה פ"ב מ"ב.</w:t>
      </w:r>
    </w:p>
  </w:endnote>
  <w:endnote w:id="16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יחזקאל א, יד: "והחיות רצוא ושוב".</w:t>
      </w:r>
    </w:p>
  </w:endnote>
  <w:endnote w:id="17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וראה, לדוגמה, ד"ה "חייב </w:t>
      </w:r>
      <w:proofErr w:type="spellStart"/>
      <w:r>
        <w:rPr>
          <w:rFonts w:hint="cs"/>
          <w:rtl/>
        </w:rPr>
        <w:t>איניש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לבסומי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תשח"י</w:t>
      </w:r>
      <w:proofErr w:type="spellEnd"/>
      <w:r>
        <w:rPr>
          <w:rFonts w:hint="cs"/>
          <w:rtl/>
        </w:rPr>
        <w:t xml:space="preserve"> סעיף ה: "שהיה אצלו רצוא היותר עליון שלמעלה ממדידה והגבלה ולמעלה מכל ענין של כלים, עד שנקרא בשם רצוא </w:t>
      </w:r>
      <w:proofErr w:type="spellStart"/>
      <w:r>
        <w:rPr>
          <w:rFonts w:hint="cs"/>
          <w:rtl/>
        </w:rPr>
        <w:t>דתהו</w:t>
      </w:r>
      <w:proofErr w:type="spellEnd"/>
      <w:r>
        <w:rPr>
          <w:rFonts w:hint="cs"/>
          <w:rtl/>
        </w:rPr>
        <w:t xml:space="preserve">" (וראה גם המצוין שם </w:t>
      </w:r>
      <w:proofErr w:type="spellStart"/>
      <w:r>
        <w:rPr>
          <w:rFonts w:hint="cs"/>
          <w:rtl/>
        </w:rPr>
        <w:t>לתו"א</w:t>
      </w:r>
      <w:proofErr w:type="spellEnd"/>
      <w:r>
        <w:rPr>
          <w:rFonts w:hint="cs"/>
          <w:rtl/>
        </w:rPr>
        <w:t xml:space="preserve"> וישלח כה, ב).</w:t>
      </w:r>
    </w:p>
  </w:endnote>
  <w:endnote w:id="18">
    <w:p w:rsidR="00820E64" w:rsidRDefault="00820E64" w:rsidP="00820E64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שבת </w:t>
      </w:r>
      <w:proofErr w:type="spellStart"/>
      <w:r>
        <w:rPr>
          <w:rFonts w:hint="cs"/>
          <w:rtl/>
        </w:rPr>
        <w:t>קטז</w:t>
      </w:r>
      <w:proofErr w:type="spellEnd"/>
      <w:r>
        <w:rPr>
          <w:rFonts w:hint="cs"/>
          <w:rtl/>
        </w:rPr>
        <w:t>, א.</w:t>
      </w:r>
    </w:p>
  </w:endnote>
  <w:endnote w:id="19">
    <w:p w:rsidR="00820E64" w:rsidRDefault="00820E64" w:rsidP="00820E64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שערי אהבה ורצון מאמר "ארך אפים" (עמ' רמה ואילך).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B2" w:rsidRDefault="00970AB2" w:rsidP="00820E64">
      <w:pPr>
        <w:spacing w:after="0" w:line="240" w:lineRule="auto"/>
      </w:pPr>
      <w:r>
        <w:separator/>
      </w:r>
    </w:p>
  </w:footnote>
  <w:footnote w:type="continuationSeparator" w:id="0">
    <w:p w:rsidR="00970AB2" w:rsidRDefault="00970AB2" w:rsidP="00820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0F"/>
    <w:rsid w:val="00061E65"/>
    <w:rsid w:val="00820E64"/>
    <w:rsid w:val="00970AB2"/>
    <w:rsid w:val="00A5230F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20E6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20E6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20E6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20E64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820E64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820E64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820E64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820E6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820E6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820E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20E6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20E6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20E6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20E64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820E64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820E64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820E64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820E6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820E6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820E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2017-08-15T07:18:00Z</dcterms:created>
  <dcterms:modified xsi:type="dcterms:W3CDTF">2017-08-15T07:18:00Z</dcterms:modified>
</cp:coreProperties>
</file>