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FA3" w:rsidRPr="00B46B4B" w:rsidRDefault="00844FA3" w:rsidP="00844FA3">
      <w:pPr>
        <w:pStyle w:val="2"/>
        <w:rPr>
          <w:rFonts w:hint="cs"/>
          <w:rtl/>
        </w:rPr>
      </w:pPr>
      <w:bookmarkStart w:id="0" w:name="_Toc188281744"/>
      <w:bookmarkStart w:id="1" w:name="_Ref188282074"/>
      <w:r w:rsidRPr="00B46B4B">
        <w:rPr>
          <w:rFonts w:hint="cs"/>
          <w:rtl/>
        </w:rPr>
        <w:t>יגעת ונגעת</w:t>
      </w:r>
      <w:bookmarkEnd w:id="0"/>
      <w:bookmarkEnd w:id="1"/>
    </w:p>
    <w:p w:rsidR="00844FA3" w:rsidRPr="00EC3D1D" w:rsidRDefault="00844FA3" w:rsidP="00844FA3">
      <w:pPr>
        <w:keepNext/>
        <w:framePr w:dropCap="drop" w:lines="2" w:hSpace="57" w:wrap="around" w:vAnchor="text" w:hAnchor="text" w:xAlign="right"/>
        <w:spacing w:after="0" w:line="760" w:lineRule="exact"/>
        <w:textAlignment w:val="baseline"/>
        <w:rPr>
          <w:rStyle w:val="a9"/>
          <w:rtl/>
        </w:rPr>
      </w:pPr>
      <w:r w:rsidRPr="00EC3D1D">
        <w:rPr>
          <w:rStyle w:val="a9"/>
          <w:rFonts w:hint="cs"/>
          <w:rtl/>
        </w:rPr>
        <w:t>ה</w:t>
      </w:r>
    </w:p>
    <w:p w:rsidR="00844FA3" w:rsidRPr="00B46B4B" w:rsidRDefault="00844FA3" w:rsidP="00844FA3">
      <w:pPr>
        <w:widowControl w:val="0"/>
        <w:rPr>
          <w:rFonts w:hint="cs"/>
          <w:rtl/>
        </w:rPr>
      </w:pPr>
      <w:r w:rsidRPr="00B46B4B">
        <w:rPr>
          <w:rFonts w:hint="cs"/>
          <w:rtl/>
        </w:rPr>
        <w:t xml:space="preserve">יכולת </w:t>
      </w:r>
      <w:r w:rsidRPr="00B04702">
        <w:rPr>
          <w:rStyle w:val="a3"/>
          <w:rFonts w:hint="cs"/>
          <w:rtl/>
        </w:rPr>
        <w:t>לגעת</w:t>
      </w:r>
      <w:r w:rsidRPr="00B46B4B">
        <w:rPr>
          <w:rFonts w:hint="cs"/>
          <w:rtl/>
        </w:rPr>
        <w:t xml:space="preserve"> באופן נכון ומתוקן, עדין ורגיש, בבחינת "נוגע ואינו נוגע"</w:t>
      </w:r>
      <w:r w:rsidRPr="00C37DFC">
        <w:rPr>
          <w:rStyle w:val="a6"/>
          <w:rtl/>
        </w:rPr>
        <w:endnoteReference w:id="1"/>
      </w:r>
      <w:r w:rsidRPr="00B46B4B">
        <w:rPr>
          <w:rFonts w:hint="cs"/>
          <w:rtl/>
        </w:rPr>
        <w:t xml:space="preserve">, דורשת </w:t>
      </w:r>
      <w:r w:rsidRPr="00B04702">
        <w:rPr>
          <w:rStyle w:val="a3"/>
          <w:rFonts w:hint="cs"/>
          <w:rtl/>
        </w:rPr>
        <w:t>יגיעה</w:t>
      </w:r>
      <w:r w:rsidRPr="00B46B4B">
        <w:rPr>
          <w:rFonts w:hint="cs"/>
          <w:rtl/>
        </w:rPr>
        <w:t xml:space="preserve"> מצד האדם. מי שמתייגע כדבעי זוכה ל"יגעת ומצאת"</w:t>
      </w:r>
      <w:r w:rsidRPr="00C37DFC">
        <w:rPr>
          <w:rStyle w:val="a6"/>
          <w:rtl/>
        </w:rPr>
        <w:endnoteReference w:id="2"/>
      </w:r>
      <w:r>
        <w:rPr>
          <w:rFonts w:hint="cs"/>
          <w:rtl/>
        </w:rPr>
        <w:t>.</w:t>
      </w:r>
      <w:r w:rsidRPr="00B46B4B">
        <w:rPr>
          <w:rFonts w:hint="cs"/>
          <w:rtl/>
        </w:rPr>
        <w:t xml:space="preserve"> הוא מוצא את שחיפש, את המגע בנקודה הפנימית של בן/בת הזוג, ואף יודע מתי הזמן הנכון לפרוש מהמגע</w:t>
      </w:r>
      <w:r>
        <w:rPr>
          <w:rFonts w:hint="cs"/>
          <w:rtl/>
        </w:rPr>
        <w:t>, קודם שיהפוך זה לחיצוני ומכביד. המציאה את המגע המבוקש והידיעה מתי לפרוש הן בגדר</w:t>
      </w:r>
      <w:r w:rsidRPr="00B46B4B">
        <w:rPr>
          <w:rFonts w:hint="cs"/>
          <w:rtl/>
        </w:rPr>
        <w:t xml:space="preserve"> "נכנס בשלום ויצא בשלום"</w:t>
      </w:r>
      <w:r w:rsidRPr="00C37DFC">
        <w:rPr>
          <w:rStyle w:val="a6"/>
          <w:rtl/>
        </w:rPr>
        <w:endnoteReference w:id="3"/>
      </w:r>
      <w:r w:rsidRPr="00B46B4B">
        <w:rPr>
          <w:rFonts w:hint="cs"/>
          <w:rtl/>
        </w:rPr>
        <w:t xml:space="preserve"> (ובדרך צחות, </w:t>
      </w:r>
      <w:r>
        <w:rPr>
          <w:rFonts w:hint="cs"/>
          <w:rtl/>
        </w:rPr>
        <w:t>המתייגע זוכה</w:t>
      </w:r>
      <w:r w:rsidRPr="00B46B4B">
        <w:rPr>
          <w:rFonts w:hint="cs"/>
          <w:rtl/>
        </w:rPr>
        <w:t xml:space="preserve"> </w:t>
      </w:r>
      <w:proofErr w:type="spellStart"/>
      <w:r w:rsidRPr="00B46B4B">
        <w:rPr>
          <w:rFonts w:hint="cs"/>
          <w:rtl/>
        </w:rPr>
        <w:t>ליגעת</w:t>
      </w:r>
      <w:proofErr w:type="spellEnd"/>
      <w:r w:rsidRPr="00B46B4B">
        <w:rPr>
          <w:rFonts w:hint="cs"/>
          <w:rtl/>
        </w:rPr>
        <w:t>-נגעת ו</w:t>
      </w:r>
      <w:r w:rsidRPr="00B04702">
        <w:rPr>
          <w:rStyle w:val="a3"/>
          <w:rFonts w:hint="cs"/>
          <w:rtl/>
        </w:rPr>
        <w:t>מצאת</w:t>
      </w:r>
      <w:r w:rsidRPr="00B46B4B">
        <w:rPr>
          <w:rFonts w:hint="cs"/>
          <w:rtl/>
        </w:rPr>
        <w:t xml:space="preserve"> ויגעת-נגעת ו</w:t>
      </w:r>
      <w:r w:rsidRPr="00B04702">
        <w:rPr>
          <w:rStyle w:val="a3"/>
          <w:rFonts w:hint="cs"/>
          <w:rtl/>
        </w:rPr>
        <w:t>יצאת</w:t>
      </w:r>
      <w:r w:rsidRPr="00B46B4B">
        <w:rPr>
          <w:rFonts w:hint="cs"/>
          <w:rtl/>
        </w:rPr>
        <w:t xml:space="preserve"> בשלום).</w:t>
      </w:r>
    </w:p>
    <w:p w:rsidR="00844FA3" w:rsidRPr="00B46B4B" w:rsidRDefault="00844FA3" w:rsidP="00844FA3">
      <w:pPr>
        <w:widowControl w:val="0"/>
        <w:rPr>
          <w:rFonts w:hint="cs"/>
          <w:rtl/>
        </w:rPr>
      </w:pPr>
      <w:r w:rsidRPr="00B46B4B">
        <w:rPr>
          <w:rFonts w:hint="cs"/>
          <w:rtl/>
        </w:rPr>
        <w:t xml:space="preserve">בספר </w:t>
      </w:r>
      <w:proofErr w:type="spellStart"/>
      <w:r w:rsidRPr="00B46B4B">
        <w:rPr>
          <w:rFonts w:hint="cs"/>
          <w:rtl/>
        </w:rPr>
        <w:t>התניא</w:t>
      </w:r>
      <w:proofErr w:type="spellEnd"/>
      <w:r w:rsidRPr="00C37DFC">
        <w:rPr>
          <w:rStyle w:val="a6"/>
          <w:rtl/>
        </w:rPr>
        <w:endnoteReference w:id="4"/>
      </w:r>
      <w:r w:rsidRPr="00B46B4B">
        <w:rPr>
          <w:rFonts w:hint="cs"/>
          <w:rtl/>
        </w:rPr>
        <w:t xml:space="preserve"> מבואר כי בעב</w:t>
      </w:r>
      <w:r>
        <w:rPr>
          <w:rFonts w:hint="cs"/>
          <w:rtl/>
        </w:rPr>
        <w:t xml:space="preserve">ודת ההתבוננות נדרשת יגיעה כפולה: יגיעת בשר, </w:t>
      </w:r>
      <w:r w:rsidRPr="00B46B4B">
        <w:rPr>
          <w:rFonts w:hint="cs"/>
          <w:rtl/>
        </w:rPr>
        <w:t>לייגע</w:t>
      </w:r>
      <w:r>
        <w:rPr>
          <w:rFonts w:hint="cs"/>
          <w:rtl/>
        </w:rPr>
        <w:t xml:space="preserve"> את הבשר בישיבה ממושכת ומתמידה (עבודה שדורשת '</w:t>
      </w:r>
      <w:proofErr w:type="spellStart"/>
      <w:r>
        <w:rPr>
          <w:rFonts w:hint="cs"/>
          <w:rtl/>
        </w:rPr>
        <w:t>זיץ-פלייש</w:t>
      </w:r>
      <w:proofErr w:type="spellEnd"/>
      <w:r>
        <w:rPr>
          <w:rFonts w:hint="cs"/>
          <w:rtl/>
        </w:rPr>
        <w:t xml:space="preserve">' </w:t>
      </w:r>
      <w:proofErr w:type="spellStart"/>
      <w:r>
        <w:rPr>
          <w:rFonts w:hint="cs"/>
          <w:rtl/>
        </w:rPr>
        <w:t>בל"א</w:t>
      </w:r>
      <w:proofErr w:type="spellEnd"/>
      <w:r>
        <w:rPr>
          <w:rFonts w:hint="cs"/>
          <w:rtl/>
        </w:rPr>
        <w:t xml:space="preserve">), ויגיעת נפש, </w:t>
      </w:r>
      <w:r w:rsidRPr="00B46B4B">
        <w:rPr>
          <w:rFonts w:hint="cs"/>
          <w:rtl/>
        </w:rPr>
        <w:t>שלא יכבד על</w:t>
      </w:r>
      <w:r>
        <w:rPr>
          <w:rFonts w:hint="cs"/>
          <w:rtl/>
        </w:rPr>
        <w:t>יה</w:t>
      </w:r>
      <w:r w:rsidRPr="00B46B4B">
        <w:rPr>
          <w:rFonts w:hint="cs"/>
          <w:rtl/>
        </w:rPr>
        <w:t xml:space="preserve"> להתעמק במחשבה זמן ארוך רצוף. כמו בהתבוננות</w:t>
      </w:r>
      <w:r w:rsidRPr="00C37DFC">
        <w:rPr>
          <w:rStyle w:val="a6"/>
          <w:rtl/>
        </w:rPr>
        <w:endnoteReference w:id="5"/>
      </w:r>
      <w:r w:rsidRPr="00B46B4B">
        <w:rPr>
          <w:rFonts w:hint="cs"/>
          <w:rtl/>
        </w:rPr>
        <w:t>, גם בחיי הנישואין נדרשת יגיעה כפולה זו. יגיעת הבשר ויגיעת</w:t>
      </w:r>
      <w:r>
        <w:rPr>
          <w:rFonts w:hint="cs"/>
          <w:rtl/>
        </w:rPr>
        <w:t xml:space="preserve"> הנפש הן עצמן "נוגע ואינו נוגע". </w:t>
      </w:r>
      <w:r w:rsidRPr="00B46B4B">
        <w:rPr>
          <w:rFonts w:hint="cs"/>
          <w:rtl/>
        </w:rPr>
        <w:t>יגיעת הבשר הארצית היא</w:t>
      </w:r>
      <w:r>
        <w:rPr>
          <w:rFonts w:hint="cs"/>
          <w:rtl/>
        </w:rPr>
        <w:t xml:space="preserve"> לגעת במציאות באופן ממשי ומתוקן, ויג</w:t>
      </w:r>
      <w:r w:rsidRPr="00B46B4B">
        <w:rPr>
          <w:rFonts w:hint="cs"/>
          <w:rtl/>
        </w:rPr>
        <w:t>יעת הנפש השמימית היא שלא להתמכר למגע במציאות אלא להיות כל הזמן מרחף ממעל.</w:t>
      </w:r>
    </w:p>
    <w:p w:rsidR="00844FA3" w:rsidRPr="00B46B4B" w:rsidRDefault="00844FA3" w:rsidP="00844FA3">
      <w:pPr>
        <w:widowControl w:val="0"/>
        <w:rPr>
          <w:rFonts w:hint="cs"/>
          <w:rtl/>
        </w:rPr>
      </w:pPr>
      <w:r w:rsidRPr="00B46B4B">
        <w:rPr>
          <w:rFonts w:hint="cs"/>
          <w:rtl/>
        </w:rPr>
        <w:t>וביתר הסבר: אפשר לטעות ולחשוב ש"נוגע ואינו נוגע" היינו נגיעה רגעית וניתוק מגע מיד לאחריה, מתוך פחד להשהות את המגע ולהכביד בו. באמת, נגיעה כזו איננה "נוגע ואינו נוגע" מתוקן, אלא נגיעה ובריחה בשל חוסר תיקון ובשלות של הנגיעה. באמת, דווקא בנגיעה עדינה יש יכולת לשהות בלי להכביד, ולשם כך</w:t>
      </w:r>
      <w:r>
        <w:rPr>
          <w:rFonts w:hint="cs"/>
          <w:rtl/>
        </w:rPr>
        <w:t xml:space="preserve"> נדרשת יגיעת בשר תוך כדי הנגיעה. זו</w:t>
      </w:r>
      <w:r w:rsidRPr="00B46B4B">
        <w:rPr>
          <w:rFonts w:hint="cs"/>
          <w:rtl/>
        </w:rPr>
        <w:t xml:space="preserve"> יגיעה על האיפוק, שמאפשר לשמור על מתח של מגע בלי לברוח ממנו ובלי לפרוק אותו מיד. אכן, בשביל שלא להכביד נדרשת תוך </w:t>
      </w:r>
      <w:r>
        <w:rPr>
          <w:rFonts w:hint="cs"/>
          <w:rtl/>
        </w:rPr>
        <w:t>כדי יגיעת הבשר הזו גם יגיעת נפש. זו</w:t>
      </w:r>
      <w:r w:rsidRPr="00B46B4B">
        <w:rPr>
          <w:rFonts w:hint="cs"/>
          <w:rtl/>
        </w:rPr>
        <w:t xml:space="preserve"> </w:t>
      </w:r>
      <w:r>
        <w:rPr>
          <w:rFonts w:hint="cs"/>
          <w:rtl/>
        </w:rPr>
        <w:t>ה</w:t>
      </w:r>
      <w:r w:rsidRPr="00B46B4B">
        <w:rPr>
          <w:rFonts w:hint="cs"/>
          <w:rtl/>
        </w:rPr>
        <w:t>יגיעה לשמור על חיבור שמימי, על הכוונה הטהורה להיטיב, על נקודת אחיזה למעלה שגורמת שלא לשקוע למטה (בהתמכרות נהנתנית למגע) ולהכביד על הזולת.</w:t>
      </w:r>
    </w:p>
    <w:p w:rsidR="005F4A47" w:rsidRDefault="00844FA3" w:rsidP="00844FA3">
      <w:r w:rsidRPr="00B46B4B">
        <w:rPr>
          <w:rFonts w:hint="cs"/>
          <w:rtl/>
        </w:rPr>
        <w:t xml:space="preserve">הביטוי למגע כזה הוא הנהגתם של "אנשים </w:t>
      </w:r>
      <w:proofErr w:type="spellStart"/>
      <w:r w:rsidRPr="00B46B4B">
        <w:rPr>
          <w:rFonts w:hint="cs"/>
          <w:rtl/>
        </w:rPr>
        <w:t>גבורי</w:t>
      </w:r>
      <w:proofErr w:type="spellEnd"/>
      <w:r w:rsidRPr="00B46B4B">
        <w:rPr>
          <w:rFonts w:hint="cs"/>
          <w:rtl/>
        </w:rPr>
        <w:t xml:space="preserve"> חיל ד</w:t>
      </w:r>
      <w:r w:rsidRPr="009E0F14">
        <w:rPr>
          <w:rFonts w:hint="cs"/>
          <w:spacing w:val="-14"/>
          <w:rtl/>
        </w:rPr>
        <w:t>ֹ</w:t>
      </w:r>
      <w:r w:rsidRPr="002D1A6F">
        <w:rPr>
          <w:rFonts w:hint="cs"/>
          <w:spacing w:val="-6"/>
          <w:rtl/>
        </w:rPr>
        <w:t>ר</w:t>
      </w:r>
      <w:r w:rsidRPr="00B46B4B">
        <w:rPr>
          <w:rFonts w:hint="cs"/>
          <w:rtl/>
        </w:rPr>
        <w:t>כי קשת ומרבים בנים ובני בנים"</w:t>
      </w:r>
      <w:r w:rsidRPr="00C37DFC">
        <w:rPr>
          <w:rStyle w:val="a6"/>
          <w:rtl/>
        </w:rPr>
        <w:endnoteReference w:id="6"/>
      </w:r>
      <w:r w:rsidRPr="00B46B4B">
        <w:rPr>
          <w:rFonts w:hint="cs"/>
          <w:rtl/>
        </w:rPr>
        <w:t xml:space="preserve"> אשר "משהין עצמן בבטן [כדי שיזריעו נשותיהם תחלה]"</w:t>
      </w:r>
      <w:r w:rsidRPr="00C37DFC">
        <w:rPr>
          <w:rStyle w:val="a6"/>
          <w:rtl/>
        </w:rPr>
        <w:endnoteReference w:id="7"/>
      </w:r>
      <w:r w:rsidRPr="00B46B4B">
        <w:rPr>
          <w:rFonts w:hint="cs"/>
          <w:rtl/>
        </w:rPr>
        <w:t xml:space="preserve">. ההשהיה שאינה מכבידה </w:t>
      </w:r>
      <w:r w:rsidRPr="00B46B4B">
        <w:rPr>
          <w:rtl/>
        </w:rPr>
        <w:t>–</w:t>
      </w:r>
      <w:r w:rsidRPr="00B46B4B">
        <w:rPr>
          <w:rFonts w:hint="cs"/>
          <w:rtl/>
        </w:rPr>
        <w:t xml:space="preserve"> ולהיפך, גורמת לתענוג ושמחה </w:t>
      </w:r>
      <w:r w:rsidRPr="00B46B4B">
        <w:rPr>
          <w:rtl/>
        </w:rPr>
        <w:t>–</w:t>
      </w:r>
      <w:r w:rsidRPr="00B46B4B">
        <w:rPr>
          <w:rFonts w:hint="cs"/>
          <w:rtl/>
        </w:rPr>
        <w:t xml:space="preserve"> תלויה ב"יגיעת בשר" של איפוק נכון תוך כדי הנג</w:t>
      </w:r>
      <w:r>
        <w:rPr>
          <w:rFonts w:hint="cs"/>
          <w:rtl/>
        </w:rPr>
        <w:t xml:space="preserve">יעה </w:t>
      </w:r>
      <w:proofErr w:type="spellStart"/>
      <w:r>
        <w:rPr>
          <w:rFonts w:hint="cs"/>
          <w:rtl/>
        </w:rPr>
        <w:t>החפשית</w:t>
      </w:r>
      <w:proofErr w:type="spellEnd"/>
      <w:r>
        <w:rPr>
          <w:rFonts w:hint="cs"/>
          <w:rtl/>
        </w:rPr>
        <w:t xml:space="preserve"> והשמחה. </w:t>
      </w:r>
      <w:r w:rsidRPr="00B46B4B">
        <w:rPr>
          <w:rFonts w:hint="cs"/>
          <w:rtl/>
        </w:rPr>
        <w:t>עם זאת, זהו הזמן בו חשוב ביותר לכוון כוונה טהורה ב"יגיעת נפש", כדי שלא לשקוע בתאוותנות גשמית.</w:t>
      </w:r>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29D" w:rsidRDefault="00BB629D" w:rsidP="00844FA3">
      <w:pPr>
        <w:spacing w:after="0" w:line="240" w:lineRule="auto"/>
      </w:pPr>
      <w:r>
        <w:separator/>
      </w:r>
    </w:p>
  </w:endnote>
  <w:endnote w:type="continuationSeparator" w:id="0">
    <w:p w:rsidR="00BB629D" w:rsidRDefault="00BB629D" w:rsidP="00844FA3">
      <w:pPr>
        <w:spacing w:after="0" w:line="240" w:lineRule="auto"/>
      </w:pPr>
      <w:r>
        <w:continuationSeparator/>
      </w:r>
    </w:p>
  </w:endnote>
  <w:endnote w:id="1">
    <w:p w:rsidR="00844FA3" w:rsidRDefault="00844FA3" w:rsidP="00844FA3">
      <w:pPr>
        <w:pStyle w:val="a4"/>
        <w:rPr>
          <w:rFonts w:hint="cs"/>
        </w:rPr>
      </w:pPr>
      <w:r>
        <w:rPr>
          <w:rtl/>
        </w:rPr>
        <w:tab/>
      </w:r>
      <w:r w:rsidRPr="004377AB">
        <w:rPr>
          <w:rtl/>
        </w:rPr>
        <w:endnoteRef/>
      </w:r>
      <w:r>
        <w:rPr>
          <w:rtl/>
        </w:rPr>
        <w:t>.</w:t>
      </w:r>
      <w:r>
        <w:rPr>
          <w:rtl/>
        </w:rPr>
        <w:tab/>
      </w:r>
      <w:r>
        <w:rPr>
          <w:rFonts w:hint="cs"/>
          <w:rtl/>
        </w:rPr>
        <w:t>ירושלמי חגיגה פ"ב ה"א (ט, א). רש"י לדברים לב, יא.</w:t>
      </w:r>
    </w:p>
  </w:endnote>
  <w:endnote w:id="2">
    <w:p w:rsidR="00844FA3" w:rsidRDefault="00844FA3" w:rsidP="00844FA3">
      <w:pPr>
        <w:pStyle w:val="a4"/>
        <w:rPr>
          <w:rFonts w:hint="cs"/>
          <w:rtl/>
        </w:rPr>
      </w:pPr>
      <w:r>
        <w:rPr>
          <w:rtl/>
        </w:rPr>
        <w:tab/>
      </w:r>
      <w:r w:rsidRPr="004377AB">
        <w:rPr>
          <w:rtl/>
        </w:rPr>
        <w:endnoteRef/>
      </w:r>
      <w:r>
        <w:rPr>
          <w:rtl/>
        </w:rPr>
        <w:t>.</w:t>
      </w:r>
      <w:r>
        <w:rPr>
          <w:rtl/>
        </w:rPr>
        <w:tab/>
      </w:r>
      <w:r>
        <w:rPr>
          <w:rFonts w:hint="cs"/>
          <w:rtl/>
        </w:rPr>
        <w:t>מגילה ו, ב.</w:t>
      </w:r>
    </w:p>
  </w:endnote>
  <w:endnote w:id="3">
    <w:p w:rsidR="00844FA3" w:rsidRDefault="00844FA3" w:rsidP="00844FA3">
      <w:pPr>
        <w:pStyle w:val="a4"/>
        <w:rPr>
          <w:rFonts w:hint="cs"/>
          <w:rtl/>
        </w:rPr>
      </w:pPr>
      <w:r>
        <w:rPr>
          <w:rtl/>
        </w:rPr>
        <w:tab/>
      </w:r>
      <w:r w:rsidRPr="004377AB">
        <w:rPr>
          <w:rtl/>
        </w:rPr>
        <w:endnoteRef/>
      </w:r>
      <w:r>
        <w:rPr>
          <w:rtl/>
        </w:rPr>
        <w:t>.</w:t>
      </w:r>
      <w:r>
        <w:rPr>
          <w:rtl/>
        </w:rPr>
        <w:tab/>
      </w:r>
      <w:r>
        <w:rPr>
          <w:rFonts w:hint="cs"/>
          <w:rtl/>
        </w:rPr>
        <w:t>ירושלמי חגיגה פ"ב ה"א (ט, א), וראה גם בתורה הקודמת.</w:t>
      </w:r>
    </w:p>
  </w:endnote>
  <w:endnote w:id="4">
    <w:p w:rsidR="00844FA3" w:rsidRDefault="00844FA3" w:rsidP="00844FA3">
      <w:pPr>
        <w:pStyle w:val="a4"/>
        <w:rPr>
          <w:rFonts w:hint="cs"/>
        </w:rPr>
      </w:pPr>
      <w:r>
        <w:rPr>
          <w:rtl/>
        </w:rPr>
        <w:tab/>
      </w:r>
      <w:r w:rsidRPr="004377AB">
        <w:rPr>
          <w:rtl/>
        </w:rPr>
        <w:endnoteRef/>
      </w:r>
      <w:r>
        <w:rPr>
          <w:rtl/>
        </w:rPr>
        <w:t>.</w:t>
      </w:r>
      <w:r>
        <w:rPr>
          <w:rtl/>
        </w:rPr>
        <w:tab/>
      </w:r>
      <w:r>
        <w:rPr>
          <w:rFonts w:hint="cs"/>
          <w:rtl/>
        </w:rPr>
        <w:t xml:space="preserve">פרק </w:t>
      </w:r>
      <w:proofErr w:type="spellStart"/>
      <w:r>
        <w:rPr>
          <w:rFonts w:hint="cs"/>
          <w:rtl/>
        </w:rPr>
        <w:t>מב</w:t>
      </w:r>
      <w:proofErr w:type="spellEnd"/>
      <w:r>
        <w:rPr>
          <w:rFonts w:hint="cs"/>
          <w:rtl/>
        </w:rPr>
        <w:t>.</w:t>
      </w:r>
      <w:r>
        <w:rPr>
          <w:rtl/>
        </w:rPr>
        <w:tab/>
      </w:r>
    </w:p>
  </w:endnote>
  <w:endnote w:id="5">
    <w:p w:rsidR="00844FA3" w:rsidRDefault="00844FA3" w:rsidP="00844FA3">
      <w:pPr>
        <w:pStyle w:val="a4"/>
        <w:rPr>
          <w:rFonts w:hint="cs"/>
        </w:rPr>
      </w:pPr>
      <w:r>
        <w:rPr>
          <w:rtl/>
        </w:rPr>
        <w:tab/>
      </w:r>
      <w:r w:rsidRPr="004377AB">
        <w:rPr>
          <w:rtl/>
        </w:rPr>
        <w:endnoteRef/>
      </w:r>
      <w:r>
        <w:rPr>
          <w:rtl/>
        </w:rPr>
        <w:t>.</w:t>
      </w:r>
      <w:r>
        <w:rPr>
          <w:rtl/>
        </w:rPr>
        <w:tab/>
      </w:r>
      <w:r>
        <w:rPr>
          <w:rFonts w:hint="cs"/>
          <w:rtl/>
        </w:rPr>
        <w:t xml:space="preserve">וראה הקדמת הספר שכינה ביניהם (עמ' לב-לח) אודות הצד </w:t>
      </w:r>
      <w:proofErr w:type="spellStart"/>
      <w:r>
        <w:rPr>
          <w:rFonts w:hint="cs"/>
          <w:rtl/>
        </w:rPr>
        <w:t>השוה</w:t>
      </w:r>
      <w:proofErr w:type="spellEnd"/>
      <w:r>
        <w:rPr>
          <w:rFonts w:hint="cs"/>
          <w:rtl/>
        </w:rPr>
        <w:t xml:space="preserve"> והקשר העמוק בין עבודת ההתבוננות לבין חיי הנישואין.</w:t>
      </w:r>
    </w:p>
  </w:endnote>
  <w:endnote w:id="6">
    <w:p w:rsidR="00844FA3" w:rsidRDefault="00844FA3" w:rsidP="00844FA3">
      <w:pPr>
        <w:pStyle w:val="a4"/>
        <w:rPr>
          <w:rFonts w:hint="cs"/>
          <w:rtl/>
        </w:rPr>
      </w:pPr>
      <w:r>
        <w:rPr>
          <w:rtl/>
        </w:rPr>
        <w:tab/>
      </w:r>
      <w:r w:rsidRPr="004377AB">
        <w:rPr>
          <w:rtl/>
        </w:rPr>
        <w:endnoteRef/>
      </w:r>
      <w:r>
        <w:rPr>
          <w:rtl/>
        </w:rPr>
        <w:t>.</w:t>
      </w:r>
      <w:r>
        <w:rPr>
          <w:rtl/>
        </w:rPr>
        <w:tab/>
      </w:r>
      <w:r>
        <w:rPr>
          <w:rFonts w:hint="cs"/>
          <w:rtl/>
        </w:rPr>
        <w:t>דהי"א ח, מ.</w:t>
      </w:r>
    </w:p>
  </w:endnote>
  <w:endnote w:id="7">
    <w:p w:rsidR="00844FA3" w:rsidRDefault="00844FA3" w:rsidP="00844FA3">
      <w:pPr>
        <w:pStyle w:val="a4"/>
        <w:rPr>
          <w:rFonts w:hint="cs"/>
        </w:rPr>
      </w:pPr>
      <w:r>
        <w:rPr>
          <w:rtl/>
        </w:rPr>
        <w:tab/>
      </w:r>
      <w:r w:rsidRPr="004377AB">
        <w:rPr>
          <w:rtl/>
        </w:rPr>
        <w:endnoteRef/>
      </w:r>
      <w:r>
        <w:rPr>
          <w:rtl/>
        </w:rPr>
        <w:t>.</w:t>
      </w:r>
      <w:r>
        <w:rPr>
          <w:rtl/>
        </w:rPr>
        <w:tab/>
      </w:r>
      <w:r>
        <w:rPr>
          <w:rFonts w:hint="cs"/>
          <w:rtl/>
        </w:rPr>
        <w:t>נדה לא, א-ב.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29D" w:rsidRDefault="00BB629D" w:rsidP="00844FA3">
      <w:pPr>
        <w:spacing w:after="0" w:line="240" w:lineRule="auto"/>
      </w:pPr>
      <w:r>
        <w:separator/>
      </w:r>
    </w:p>
  </w:footnote>
  <w:footnote w:type="continuationSeparator" w:id="0">
    <w:p w:rsidR="00BB629D" w:rsidRDefault="00BB629D" w:rsidP="00844F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DB8"/>
    <w:rsid w:val="00061E65"/>
    <w:rsid w:val="00240DB8"/>
    <w:rsid w:val="00844FA3"/>
    <w:rsid w:val="00AC2310"/>
    <w:rsid w:val="00BB62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844FA3"/>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844FA3"/>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844FA3"/>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844FA3"/>
    <w:rPr>
      <w:rFonts w:cs="MiriamMFO"/>
      <w:w w:val="100"/>
      <w:sz w:val="21"/>
      <w:szCs w:val="23"/>
    </w:rPr>
  </w:style>
  <w:style w:type="paragraph" w:styleId="a4">
    <w:name w:val="endnote text"/>
    <w:aliases w:val="Endnote Text"/>
    <w:basedOn w:val="a"/>
    <w:link w:val="a5"/>
    <w:semiHidden/>
    <w:rsid w:val="00844FA3"/>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844FA3"/>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844FA3"/>
    <w:rPr>
      <w:noProof/>
      <w:position w:val="-4"/>
      <w:szCs w:val="27"/>
      <w:vertAlign w:val="superscript"/>
    </w:rPr>
  </w:style>
  <w:style w:type="paragraph" w:customStyle="1" w:styleId="a8">
    <w:name w:val="פתיח תו"/>
    <w:basedOn w:val="a"/>
    <w:link w:val="a9"/>
    <w:rsid w:val="00844FA3"/>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844FA3"/>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844FA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844FA3"/>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844FA3"/>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844FA3"/>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844FA3"/>
    <w:rPr>
      <w:rFonts w:cs="MiriamMFO"/>
      <w:w w:val="100"/>
      <w:sz w:val="21"/>
      <w:szCs w:val="23"/>
    </w:rPr>
  </w:style>
  <w:style w:type="paragraph" w:styleId="a4">
    <w:name w:val="endnote text"/>
    <w:aliases w:val="Endnote Text"/>
    <w:basedOn w:val="a"/>
    <w:link w:val="a5"/>
    <w:semiHidden/>
    <w:rsid w:val="00844FA3"/>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844FA3"/>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844FA3"/>
    <w:rPr>
      <w:noProof/>
      <w:position w:val="-4"/>
      <w:szCs w:val="27"/>
      <w:vertAlign w:val="superscript"/>
    </w:rPr>
  </w:style>
  <w:style w:type="paragraph" w:customStyle="1" w:styleId="a8">
    <w:name w:val="פתיח תו"/>
    <w:basedOn w:val="a"/>
    <w:link w:val="a9"/>
    <w:rsid w:val="00844FA3"/>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844FA3"/>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844F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1485</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2017-08-15T07:19:00Z</dcterms:created>
  <dcterms:modified xsi:type="dcterms:W3CDTF">2017-08-15T07:19:00Z</dcterms:modified>
</cp:coreProperties>
</file>