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E24" w:rsidRPr="00B46B4B" w:rsidRDefault="00C15E24" w:rsidP="00C15E24">
      <w:pPr>
        <w:pStyle w:val="2"/>
        <w:rPr>
          <w:rFonts w:hint="cs"/>
          <w:rtl/>
        </w:rPr>
      </w:pPr>
      <w:bookmarkStart w:id="0" w:name="_Toc188281745"/>
      <w:bookmarkStart w:id="1" w:name="_Ref188282076"/>
      <w:r w:rsidRPr="00B46B4B">
        <w:rPr>
          <w:rFonts w:hint="cs"/>
          <w:rtl/>
        </w:rPr>
        <w:t>מגע מזין ומרפא</w:t>
      </w:r>
      <w:bookmarkEnd w:id="0"/>
      <w:bookmarkEnd w:id="1"/>
    </w:p>
    <w:p w:rsidR="00C15E24" w:rsidRPr="00EC3D1D" w:rsidRDefault="00C15E24" w:rsidP="00C15E24">
      <w:pPr>
        <w:keepNext/>
        <w:framePr w:dropCap="drop" w:lines="2" w:hSpace="57" w:wrap="around" w:vAnchor="text" w:hAnchor="text" w:xAlign="right"/>
        <w:spacing w:after="0" w:line="760" w:lineRule="exact"/>
        <w:textAlignment w:val="baseline"/>
        <w:rPr>
          <w:rStyle w:val="a8"/>
          <w:rtl/>
        </w:rPr>
      </w:pPr>
      <w:r w:rsidRPr="00EC3D1D">
        <w:rPr>
          <w:rStyle w:val="a8"/>
          <w:rFonts w:hint="cs"/>
          <w:rtl/>
        </w:rPr>
        <w:t>י</w:t>
      </w:r>
    </w:p>
    <w:p w:rsidR="00C15E24" w:rsidRPr="00B46B4B" w:rsidRDefault="00C15E24" w:rsidP="00C15E24">
      <w:pPr>
        <w:rPr>
          <w:rFonts w:hint="cs"/>
          <w:rtl/>
        </w:rPr>
      </w:pPr>
      <w:r w:rsidRPr="00B46B4B">
        <w:rPr>
          <w:rFonts w:hint="cs"/>
          <w:rtl/>
        </w:rPr>
        <w:t>חסי בני זוג מדורגים על</w:t>
      </w:r>
      <w:r w:rsidRPr="00B46B4B">
        <w:rPr>
          <w:rtl/>
        </w:rPr>
        <w:t xml:space="preserve"> </w:t>
      </w:r>
      <w:r w:rsidRPr="00B46B4B">
        <w:rPr>
          <w:rFonts w:hint="cs"/>
          <w:rtl/>
        </w:rPr>
        <w:t>סולם השליבות העולה</w:t>
      </w:r>
      <w:r w:rsidRPr="00B46B4B">
        <w:rPr>
          <w:rtl/>
        </w:rPr>
        <w:t xml:space="preserve"> של "</w:t>
      </w:r>
      <w:proofErr w:type="spellStart"/>
      <w:r w:rsidRPr="00B46B4B">
        <w:rPr>
          <w:rtl/>
        </w:rPr>
        <w:t>אח</w:t>
      </w:r>
      <w:r w:rsidRPr="009E0F14">
        <w:rPr>
          <w:rFonts w:hint="cs"/>
          <w:spacing w:val="-14"/>
          <w:rtl/>
        </w:rPr>
        <w:t>ֹ</w:t>
      </w:r>
      <w:r w:rsidRPr="002D1A6F">
        <w:rPr>
          <w:spacing w:val="-6"/>
          <w:rtl/>
        </w:rPr>
        <w:t>ת</w:t>
      </w:r>
      <w:r w:rsidRPr="00B46B4B">
        <w:rPr>
          <w:rtl/>
        </w:rPr>
        <w:t>י</w:t>
      </w:r>
      <w:proofErr w:type="spellEnd"/>
      <w:r w:rsidRPr="00B46B4B">
        <w:rPr>
          <w:rtl/>
        </w:rPr>
        <w:t xml:space="preserve"> רעיתי יונתי </w:t>
      </w:r>
      <w:proofErr w:type="spellStart"/>
      <w:r w:rsidRPr="00B46B4B">
        <w:rPr>
          <w:rtl/>
        </w:rPr>
        <w:t>תמתי</w:t>
      </w:r>
      <w:proofErr w:type="spellEnd"/>
      <w:r w:rsidRPr="00B46B4B">
        <w:rPr>
          <w:rtl/>
        </w:rPr>
        <w:t>"</w:t>
      </w:r>
      <w:r w:rsidRPr="00C37DFC">
        <w:rPr>
          <w:rStyle w:val="a5"/>
          <w:rtl/>
        </w:rPr>
        <w:endnoteReference w:id="1"/>
      </w:r>
      <w:r w:rsidRPr="00B46B4B">
        <w:rPr>
          <w:rFonts w:hint="cs"/>
          <w:rtl/>
        </w:rPr>
        <w:t>. "</w:t>
      </w:r>
      <w:proofErr w:type="spellStart"/>
      <w:r w:rsidRPr="00B46B4B">
        <w:rPr>
          <w:rFonts w:hint="cs"/>
          <w:rtl/>
        </w:rPr>
        <w:t>אח</w:t>
      </w:r>
      <w:r w:rsidRPr="009E0F14">
        <w:rPr>
          <w:rFonts w:hint="cs"/>
          <w:spacing w:val="-14"/>
          <w:rtl/>
        </w:rPr>
        <w:t>ֹ</w:t>
      </w:r>
      <w:r w:rsidRPr="002D1A6F">
        <w:rPr>
          <w:rFonts w:hint="cs"/>
          <w:spacing w:val="-6"/>
          <w:rtl/>
        </w:rPr>
        <w:t>ת</w:t>
      </w:r>
      <w:r w:rsidRPr="00B46B4B">
        <w:rPr>
          <w:rFonts w:hint="cs"/>
          <w:rtl/>
        </w:rPr>
        <w:t>י</w:t>
      </w:r>
      <w:proofErr w:type="spellEnd"/>
      <w:r w:rsidRPr="00B46B4B">
        <w:rPr>
          <w:rFonts w:hint="cs"/>
          <w:rtl/>
        </w:rPr>
        <w:t>" היינו קשר מעשי-טבעי העומד בתשתית הנישואין, "רעיתי" מבטא את הקשר הרגשי, "יונתי" את הקשר השכלי ו"תמתי" את הקשר העל-שכלי</w:t>
      </w:r>
      <w:r w:rsidRPr="00C37DFC">
        <w:rPr>
          <w:rStyle w:val="a5"/>
          <w:rtl/>
        </w:rPr>
        <w:endnoteReference w:id="2"/>
      </w:r>
      <w:r w:rsidRPr="00B46B4B">
        <w:rPr>
          <w:rFonts w:hint="cs"/>
          <w:rtl/>
        </w:rPr>
        <w:t>. על מדרג זה, הנגיעה שייכת</w:t>
      </w:r>
      <w:r w:rsidRPr="00B46B4B">
        <w:rPr>
          <w:rtl/>
        </w:rPr>
        <w:t xml:space="preserve"> לתחום הרגשי, המבוטא בקריאה "</w:t>
      </w:r>
      <w:r w:rsidRPr="00B46B4B">
        <w:rPr>
          <w:rFonts w:hint="cs"/>
          <w:rtl/>
        </w:rPr>
        <w:t>רעיתי". מחד, המגע ההדדי נמוך מהקשרים השכליים והעל-שכליים, שיכולים להתקיים גם ממרחק</w:t>
      </w:r>
      <w:r>
        <w:rPr>
          <w:rFonts w:hint="cs"/>
          <w:rtl/>
        </w:rPr>
        <w:t xml:space="preserve">. אך </w:t>
      </w:r>
      <w:proofErr w:type="spellStart"/>
      <w:r>
        <w:rPr>
          <w:rFonts w:hint="cs"/>
          <w:rtl/>
        </w:rPr>
        <w:t>ל</w:t>
      </w:r>
      <w:r w:rsidRPr="00B46B4B">
        <w:rPr>
          <w:rFonts w:hint="cs"/>
          <w:rtl/>
        </w:rPr>
        <w:t>אידך</w:t>
      </w:r>
      <w:proofErr w:type="spellEnd"/>
      <w:r>
        <w:rPr>
          <w:rFonts w:hint="cs"/>
          <w:rtl/>
        </w:rPr>
        <w:t>,</w:t>
      </w:r>
      <w:r w:rsidRPr="00B46B4B">
        <w:rPr>
          <w:rFonts w:hint="cs"/>
          <w:rtl/>
        </w:rPr>
        <w:t xml:space="preserve"> חשוב לדעת כי מגע בין בני זוג אסור לו שיהיה פעולה מעשית-טכנית, אלא עליו להיות מגע של אהבה המבטא רגש מתוקן.</w:t>
      </w:r>
    </w:p>
    <w:p w:rsidR="00C15E24" w:rsidRPr="00B46B4B" w:rsidRDefault="00C15E24" w:rsidP="00C15E24">
      <w:pPr>
        <w:rPr>
          <w:rFonts w:hint="cs"/>
          <w:rtl/>
        </w:rPr>
      </w:pPr>
      <w:r w:rsidRPr="00B46B4B">
        <w:rPr>
          <w:rtl/>
        </w:rPr>
        <w:t>חז"ל פרשו</w:t>
      </w:r>
      <w:r w:rsidRPr="00C37DFC">
        <w:rPr>
          <w:rStyle w:val="a5"/>
          <w:rtl/>
        </w:rPr>
        <w:endnoteReference w:id="3"/>
      </w:r>
      <w:r>
        <w:rPr>
          <w:rtl/>
        </w:rPr>
        <w:t xml:space="preserve"> כי "רעיתי" </w:t>
      </w:r>
      <w:r>
        <w:rPr>
          <w:rFonts w:hint="cs"/>
          <w:rtl/>
        </w:rPr>
        <w:t>הוא</w:t>
      </w:r>
      <w:r>
        <w:rPr>
          <w:rtl/>
        </w:rPr>
        <w:t xml:space="preserve"> מלשון רעית צאן</w:t>
      </w:r>
      <w:r>
        <w:rPr>
          <w:rFonts w:hint="cs"/>
          <w:rtl/>
        </w:rPr>
        <w:t>.</w:t>
      </w:r>
      <w:r w:rsidRPr="00B46B4B">
        <w:rPr>
          <w:rtl/>
        </w:rPr>
        <w:t xml:space="preserve"> כשם שרועה הצאן דואג לכל מחסורם ומפרנס אותם, כך האוהבים בדרגת "רעיתי" דואגים ל</w:t>
      </w:r>
      <w:r w:rsidRPr="00B46B4B">
        <w:rPr>
          <w:rFonts w:hint="cs"/>
          <w:rtl/>
        </w:rPr>
        <w:t>מילוי חסרונות הדדי</w:t>
      </w:r>
      <w:r w:rsidRPr="00B46B4B">
        <w:rPr>
          <w:rtl/>
        </w:rPr>
        <w:t>, ורגש האהבה מתמקד בסיפוק צרכי הזולת</w:t>
      </w:r>
      <w:r w:rsidRPr="00C37DFC">
        <w:rPr>
          <w:rStyle w:val="a5"/>
          <w:rtl/>
        </w:rPr>
        <w:endnoteReference w:id="4"/>
      </w:r>
      <w:r w:rsidRPr="00B46B4B">
        <w:rPr>
          <w:rtl/>
        </w:rPr>
        <w:t>. עיקר עדינות המגע, ה"נוגע ואינו נוגע", היא רגישות מתמדת לרצונו או אי רצונו של בן הזוג בנגיעה זו</w:t>
      </w:r>
      <w:r w:rsidRPr="00C37DFC">
        <w:rPr>
          <w:rStyle w:val="a5"/>
          <w:rtl/>
        </w:rPr>
        <w:endnoteReference w:id="5"/>
      </w:r>
      <w:r>
        <w:rPr>
          <w:rFonts w:hint="cs"/>
          <w:rtl/>
        </w:rPr>
        <w:t>. זו</w:t>
      </w:r>
      <w:r w:rsidRPr="00B46B4B">
        <w:rPr>
          <w:rFonts w:hint="cs"/>
          <w:rtl/>
        </w:rPr>
        <w:t xml:space="preserve"> רגישות לתנודה הפנימית הטבעית בין רצון בהתקרבות, שיש להזינו במגע אוהב, לבין הסתגרות ורתיעה מכל נגיעה (מתוך שאיפה להגיע, בסופו של דבר, למגע ברבדים עמוקים יותר)</w:t>
      </w:r>
      <w:r w:rsidRPr="00C37DFC">
        <w:rPr>
          <w:rStyle w:val="a5"/>
          <w:rtl/>
        </w:rPr>
        <w:endnoteReference w:id="6"/>
      </w:r>
      <w:r w:rsidRPr="00B46B4B">
        <w:rPr>
          <w:rFonts w:hint="cs"/>
          <w:rtl/>
        </w:rPr>
        <w:t>.</w:t>
      </w:r>
    </w:p>
    <w:p w:rsidR="00C15E24" w:rsidRPr="00B46B4B" w:rsidRDefault="00C15E24" w:rsidP="00C15E24">
      <w:pPr>
        <w:rPr>
          <w:rFonts w:hint="cs"/>
          <w:rtl/>
        </w:rPr>
      </w:pPr>
      <w:r w:rsidRPr="00B46B4B">
        <w:rPr>
          <w:rFonts w:hint="cs"/>
          <w:rtl/>
        </w:rPr>
        <w:t>כשחסרה, חלילה, הרגישות של "רעיתי" לרצונות בן הזוג</w:t>
      </w:r>
      <w:r>
        <w:rPr>
          <w:rFonts w:hint="cs"/>
          <w:rtl/>
        </w:rPr>
        <w:t>,</w:t>
      </w:r>
      <w:r w:rsidRPr="00B46B4B">
        <w:rPr>
          <w:rFonts w:hint="cs"/>
          <w:rtl/>
        </w:rPr>
        <w:t xml:space="preserve"> האדם "רועה את עצמו"</w:t>
      </w:r>
      <w:r w:rsidRPr="00C37DFC">
        <w:rPr>
          <w:rStyle w:val="a5"/>
          <w:rtl/>
        </w:rPr>
        <w:endnoteReference w:id="7"/>
      </w:r>
      <w:r w:rsidRPr="00B46B4B">
        <w:rPr>
          <w:rFonts w:hint="cs"/>
          <w:rtl/>
        </w:rPr>
        <w:t xml:space="preserve">. אז נגיעתו בזולת, בצורה טכנית וחיצונית, אינה אלא שיקוף של נגיעה עצמית </w:t>
      </w:r>
      <w:r>
        <w:rPr>
          <w:rFonts w:hint="cs"/>
          <w:rtl/>
        </w:rPr>
        <w:t>שלילית, נגיעה של פגם הברית ר"ל. זו נגיעה ה</w:t>
      </w:r>
      <w:r w:rsidRPr="00B46B4B">
        <w:rPr>
          <w:rFonts w:hint="cs"/>
          <w:rtl/>
        </w:rPr>
        <w:t>משליכה על הזולת את הרצחנות</w:t>
      </w:r>
      <w:r w:rsidRPr="00C37DFC">
        <w:rPr>
          <w:rStyle w:val="a5"/>
          <w:rtl/>
        </w:rPr>
        <w:endnoteReference w:id="8"/>
      </w:r>
      <w:r w:rsidRPr="00B46B4B">
        <w:rPr>
          <w:rFonts w:hint="cs"/>
          <w:rtl/>
        </w:rPr>
        <w:t xml:space="preserve"> והאיבוד העצמי לדעת</w:t>
      </w:r>
      <w:r w:rsidRPr="00C37DFC">
        <w:rPr>
          <w:rStyle w:val="a5"/>
          <w:rtl/>
        </w:rPr>
        <w:endnoteReference w:id="9"/>
      </w:r>
      <w:r w:rsidRPr="00B46B4B">
        <w:rPr>
          <w:rFonts w:hint="cs"/>
          <w:rtl/>
        </w:rPr>
        <w:t xml:space="preserve"> שיש בפגם הברית (מתוך אי-הכרת האדם בכך שגם על גופו אין לו בעלות</w:t>
      </w:r>
      <w:r w:rsidRPr="00C37DFC">
        <w:rPr>
          <w:rStyle w:val="a5"/>
          <w:rtl/>
        </w:rPr>
        <w:endnoteReference w:id="10"/>
      </w:r>
      <w:r w:rsidRPr="00B46B4B">
        <w:rPr>
          <w:rFonts w:hint="cs"/>
          <w:rtl/>
        </w:rPr>
        <w:t xml:space="preserve">, ועליו לנהוג גם בו כ"נוגע ואינו נוגע"), </w:t>
      </w:r>
      <w:proofErr w:type="spellStart"/>
      <w:r w:rsidRPr="00B46B4B">
        <w:rPr>
          <w:rFonts w:hint="cs"/>
          <w:rtl/>
        </w:rPr>
        <w:t>ה"י</w:t>
      </w:r>
      <w:proofErr w:type="spellEnd"/>
      <w:r w:rsidRPr="00B46B4B">
        <w:rPr>
          <w:rFonts w:hint="cs"/>
          <w:rtl/>
        </w:rPr>
        <w:t>.</w:t>
      </w:r>
    </w:p>
    <w:p w:rsidR="00C15E24" w:rsidRPr="00B46B4B" w:rsidRDefault="00C15E24" w:rsidP="00C15E24">
      <w:pPr>
        <w:rPr>
          <w:rFonts w:hint="cs"/>
          <w:rtl/>
        </w:rPr>
      </w:pPr>
      <w:r w:rsidRPr="00B46B4B">
        <w:rPr>
          <w:rFonts w:hint="cs"/>
          <w:rtl/>
        </w:rPr>
        <w:t>נגיעה שכזו מרתיעה, ועלולה ליצור פחדים שונים</w:t>
      </w:r>
      <w:r w:rsidRPr="00C37DFC">
        <w:rPr>
          <w:rStyle w:val="a5"/>
          <w:rtl/>
        </w:rPr>
        <w:endnoteReference w:id="11"/>
      </w:r>
      <w:r w:rsidRPr="00B46B4B">
        <w:rPr>
          <w:rFonts w:hint="cs"/>
          <w:rtl/>
        </w:rPr>
        <w:t xml:space="preserve"> (ולעתים הפחדים גוברים והולכים מרמה לרמה): יש רתיעה מנגיעה שבבחינת פחד מאונס – אם הנגיעה אינה נוגעת בי באמת, ואינה רגישה לצרכי הפנימיים, הרי היא הופכת אותי למנוצל ונאנס. יותר מכך יש פחד מנגיעה שבבחינת פחד מרצח – כשברקע יש אלימות, ח"ו, אז יש חשש מכל מגע כפוצע או הורג, ר"ל. כשהפחדים מתפתחים הם מגיעים לפחד מפני שגעון בעקבות הנגיעה </w:t>
      </w:r>
      <w:r w:rsidRPr="00B46B4B">
        <w:rPr>
          <w:rtl/>
        </w:rPr>
        <w:t>–</w:t>
      </w:r>
      <w:r w:rsidRPr="00B46B4B">
        <w:rPr>
          <w:rFonts w:hint="cs"/>
          <w:rtl/>
        </w:rPr>
        <w:t xml:space="preserve"> פחד שכל מגע יוציא את האדם המתוח מדעתו, או פחד שמגע הזולת, המנוכר כל כך, יחדיר גם בזולתו את דעותיו המשובשות, ניכורו הרגשי </w:t>
      </w:r>
      <w:proofErr w:type="spellStart"/>
      <w:r w:rsidRPr="00B46B4B">
        <w:rPr>
          <w:rFonts w:hint="cs"/>
          <w:rtl/>
        </w:rPr>
        <w:t>וכו</w:t>
      </w:r>
      <w:proofErr w:type="spellEnd"/>
      <w:r w:rsidRPr="00B46B4B">
        <w:rPr>
          <w:rFonts w:hint="cs"/>
          <w:rtl/>
        </w:rPr>
        <w:t xml:space="preserve">'. </w:t>
      </w:r>
    </w:p>
    <w:p w:rsidR="00C15E24" w:rsidRPr="00B46B4B" w:rsidRDefault="00C15E24" w:rsidP="00C15E24">
      <w:pPr>
        <w:rPr>
          <w:rFonts w:hint="cs"/>
          <w:rtl/>
        </w:rPr>
      </w:pPr>
      <w:r w:rsidRPr="00B46B4B">
        <w:rPr>
          <w:rFonts w:hint="cs"/>
          <w:rtl/>
        </w:rPr>
        <w:t xml:space="preserve">כמובן, "לא </w:t>
      </w:r>
      <w:proofErr w:type="spellStart"/>
      <w:r w:rsidRPr="00B46B4B">
        <w:rPr>
          <w:rFonts w:hint="cs"/>
          <w:rtl/>
        </w:rPr>
        <w:t>בשופטני</w:t>
      </w:r>
      <w:proofErr w:type="spellEnd"/>
      <w:r w:rsidRPr="00B46B4B">
        <w:rPr>
          <w:rFonts w:hint="cs"/>
          <w:rtl/>
        </w:rPr>
        <w:t xml:space="preserve"> עסקינן"</w:t>
      </w:r>
      <w:r w:rsidRPr="00C37DFC">
        <w:rPr>
          <w:rStyle w:val="a5"/>
          <w:rtl/>
        </w:rPr>
        <w:endnoteReference w:id="12"/>
      </w:r>
      <w:r w:rsidRPr="00B46B4B">
        <w:rPr>
          <w:rFonts w:hint="cs"/>
          <w:rtl/>
        </w:rPr>
        <w:t xml:space="preserve"> </w:t>
      </w:r>
      <w:r>
        <w:rPr>
          <w:rFonts w:hint="cs"/>
          <w:rtl/>
        </w:rPr>
        <w:t xml:space="preserve">(לא ברשעים אנו עוסקים) </w:t>
      </w:r>
      <w:r w:rsidRPr="00B46B4B">
        <w:rPr>
          <w:rFonts w:hint="cs"/>
          <w:rtl/>
        </w:rPr>
        <w:t>– יחסי בני זוג אוהבים אינם מועדים להצמיח פחדים כאלה ממגע, ובדרך כלל הם מתפתחים בעקבות טראומות שקדמו לנישואין. בהקשר זה מגע עדין בחיי הנישואין אינו רק הזנה של צרכי בן הזוג, א</w:t>
      </w:r>
      <w:r>
        <w:rPr>
          <w:rFonts w:hint="cs"/>
          <w:rtl/>
        </w:rPr>
        <w:t xml:space="preserve">לא הוא מסוגל גם להיות מגע מרפא. </w:t>
      </w:r>
      <w:r w:rsidRPr="00B46B4B">
        <w:rPr>
          <w:rFonts w:hint="cs"/>
          <w:rtl/>
        </w:rPr>
        <w:t xml:space="preserve">כמובן, ריפוי שכזה אפשרי ודרוש גם כשהפחדים נגרמו, בצורה בוטה או עדינה יותר, מתוך חוסר מודעות בתוך חיי הנישואין. רק מי שיודע להיות "אינו נוגע" בזמנים הנכונים יכול להרגיע </w:t>
      </w:r>
      <w:r w:rsidRPr="00B46B4B">
        <w:rPr>
          <w:rFonts w:hint="cs"/>
          <w:rtl/>
        </w:rPr>
        <w:lastRenderedPageBreak/>
        <w:t>ולהמתיק אט אט את כל המתחים והפחדים, ולהגיע למ</w:t>
      </w:r>
      <w:r>
        <w:rPr>
          <w:rFonts w:hint="cs"/>
          <w:rtl/>
        </w:rPr>
        <w:t xml:space="preserve">גע מרגיע, אוהב ואף משקם ומרפא. אזי, </w:t>
      </w:r>
      <w:r w:rsidRPr="00B46B4B">
        <w:rPr>
          <w:rFonts w:hint="cs"/>
          <w:rtl/>
        </w:rPr>
        <w:t xml:space="preserve">אף אם </w:t>
      </w:r>
      <w:proofErr w:type="spellStart"/>
      <w:r w:rsidRPr="00B46B4B">
        <w:rPr>
          <w:rFonts w:hint="cs"/>
          <w:rtl/>
        </w:rPr>
        <w:t>בתחלה</w:t>
      </w:r>
      <w:proofErr w:type="spellEnd"/>
      <w:r w:rsidRPr="00B46B4B">
        <w:rPr>
          <w:rFonts w:hint="cs"/>
          <w:rtl/>
        </w:rPr>
        <w:t xml:space="preserve"> הפציעות הרגשיות מלוות גם את המגע הרצוי, כפי שקורה לעתים, הרי הרקע הכללי גורם לתחושה של "נאמנים פצעי אוהב"</w:t>
      </w:r>
      <w:r w:rsidRPr="00C37DFC">
        <w:rPr>
          <w:rStyle w:val="a5"/>
          <w:rtl/>
        </w:rPr>
        <w:endnoteReference w:id="13"/>
      </w:r>
      <w:r w:rsidRPr="00B46B4B">
        <w:rPr>
          <w:rFonts w:hint="cs"/>
          <w:rtl/>
        </w:rPr>
        <w:t>.</w:t>
      </w:r>
    </w:p>
    <w:p w:rsidR="005F4A47" w:rsidRDefault="00BD4F9A">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F9A" w:rsidRDefault="00BD4F9A" w:rsidP="00C15E24">
      <w:pPr>
        <w:spacing w:after="0" w:line="240" w:lineRule="auto"/>
      </w:pPr>
      <w:r>
        <w:separator/>
      </w:r>
    </w:p>
  </w:endnote>
  <w:endnote w:type="continuationSeparator" w:id="0">
    <w:p w:rsidR="00BD4F9A" w:rsidRDefault="00BD4F9A" w:rsidP="00C15E24">
      <w:pPr>
        <w:spacing w:after="0" w:line="240" w:lineRule="auto"/>
      </w:pPr>
      <w:r>
        <w:continuationSeparator/>
      </w:r>
    </w:p>
  </w:endnote>
  <w:endnote w:id="1">
    <w:p w:rsidR="00C15E24" w:rsidRDefault="00C15E24" w:rsidP="00C15E24">
      <w:pPr>
        <w:pStyle w:val="a3"/>
        <w:rPr>
          <w:rFonts w:hint="cs"/>
          <w:rtl/>
        </w:rPr>
      </w:pPr>
      <w:r>
        <w:rPr>
          <w:rtl/>
        </w:rPr>
        <w:tab/>
      </w:r>
      <w:r w:rsidRPr="004377AB">
        <w:rPr>
          <w:rtl/>
        </w:rPr>
        <w:endnoteRef/>
      </w:r>
      <w:r>
        <w:rPr>
          <w:rtl/>
        </w:rPr>
        <w:t>.</w:t>
      </w:r>
      <w:r>
        <w:rPr>
          <w:rtl/>
        </w:rPr>
        <w:tab/>
      </w:r>
      <w:r>
        <w:rPr>
          <w:rFonts w:hint="cs"/>
          <w:rtl/>
        </w:rPr>
        <w:t>שיר השירים ה, ב. וראה באריכות בשער הקודם.</w:t>
      </w:r>
    </w:p>
  </w:endnote>
  <w:endnote w:id="2">
    <w:p w:rsidR="00C15E24" w:rsidRDefault="00C15E24" w:rsidP="00C15E24">
      <w:pPr>
        <w:pStyle w:val="a3"/>
        <w:rPr>
          <w:rFonts w:hint="cs"/>
          <w:rtl/>
        </w:rPr>
      </w:pPr>
      <w:r>
        <w:rPr>
          <w:rtl/>
        </w:rPr>
        <w:tab/>
      </w:r>
      <w:r w:rsidRPr="004377AB">
        <w:rPr>
          <w:rtl/>
        </w:rPr>
        <w:endnoteRef/>
      </w:r>
      <w:r>
        <w:rPr>
          <w:rtl/>
        </w:rPr>
        <w:t>.</w:t>
      </w:r>
      <w:r>
        <w:rPr>
          <w:rtl/>
        </w:rPr>
        <w:tab/>
      </w:r>
      <w:r>
        <w:rPr>
          <w:rFonts w:hint="cs"/>
          <w:rtl/>
        </w:rPr>
        <w:t>כנ"ל בשער הקודם, בתורה "</w:t>
      </w:r>
      <w:proofErr w:type="spellStart"/>
      <w:r>
        <w:rPr>
          <w:rFonts w:hint="cs"/>
          <w:rtl/>
        </w:rPr>
        <w:t>אחֹתי</w:t>
      </w:r>
      <w:proofErr w:type="spellEnd"/>
      <w:r>
        <w:rPr>
          <w:rFonts w:hint="cs"/>
          <w:rtl/>
        </w:rPr>
        <w:t xml:space="preserve"> רעיתי יונתי </w:t>
      </w:r>
      <w:proofErr w:type="spellStart"/>
      <w:r>
        <w:rPr>
          <w:rFonts w:hint="cs"/>
          <w:rtl/>
        </w:rPr>
        <w:t>תמתי</w:t>
      </w:r>
      <w:proofErr w:type="spellEnd"/>
      <w:r>
        <w:rPr>
          <w:rFonts w:hint="cs"/>
          <w:rtl/>
        </w:rPr>
        <w:t>" (</w:t>
      </w:r>
      <w:proofErr w:type="spellStart"/>
      <w:r>
        <w:rPr>
          <w:rFonts w:hint="cs"/>
          <w:rtl/>
        </w:rPr>
        <w:t>וש"נ</w:t>
      </w:r>
      <w:proofErr w:type="spellEnd"/>
      <w:r>
        <w:rPr>
          <w:rFonts w:hint="cs"/>
          <w:rtl/>
        </w:rPr>
        <w:t>).</w:t>
      </w:r>
    </w:p>
  </w:endnote>
  <w:endnote w:id="3">
    <w:p w:rsidR="00C15E24" w:rsidRDefault="00C15E24" w:rsidP="00C15E24">
      <w:pPr>
        <w:pStyle w:val="a3"/>
        <w:rPr>
          <w:rFonts w:hint="cs"/>
          <w:rtl/>
        </w:rPr>
      </w:pPr>
      <w:r>
        <w:rPr>
          <w:rtl/>
        </w:rPr>
        <w:tab/>
      </w:r>
      <w:r w:rsidRPr="004377AB">
        <w:rPr>
          <w:rtl/>
        </w:rPr>
        <w:endnoteRef/>
      </w:r>
      <w:r>
        <w:rPr>
          <w:rtl/>
        </w:rPr>
        <w:t>.</w:t>
      </w:r>
      <w:r>
        <w:rPr>
          <w:rtl/>
        </w:rPr>
        <w:tab/>
      </w:r>
      <w:r>
        <w:rPr>
          <w:rFonts w:hint="cs"/>
          <w:rtl/>
        </w:rPr>
        <w:t>שיר השירים רבה א, נא (הובא בשער הקודם, בתורה "</w:t>
      </w:r>
      <w:proofErr w:type="spellStart"/>
      <w:r>
        <w:rPr>
          <w:rFonts w:hint="cs"/>
          <w:rtl/>
        </w:rPr>
        <w:t>אחֹתי</w:t>
      </w:r>
      <w:proofErr w:type="spellEnd"/>
      <w:r>
        <w:rPr>
          <w:rFonts w:hint="cs"/>
          <w:rtl/>
        </w:rPr>
        <w:t xml:space="preserve"> רעיתי יונתי </w:t>
      </w:r>
      <w:proofErr w:type="spellStart"/>
      <w:r>
        <w:rPr>
          <w:rFonts w:hint="cs"/>
          <w:rtl/>
        </w:rPr>
        <w:t>תמתי</w:t>
      </w:r>
      <w:proofErr w:type="spellEnd"/>
      <w:r>
        <w:rPr>
          <w:rFonts w:hint="cs"/>
          <w:rtl/>
        </w:rPr>
        <w:t>").</w:t>
      </w:r>
    </w:p>
  </w:endnote>
  <w:endnote w:id="4">
    <w:p w:rsidR="00C15E24" w:rsidRDefault="00C15E24" w:rsidP="00C15E24">
      <w:pPr>
        <w:pStyle w:val="a3"/>
        <w:rPr>
          <w:rFonts w:hint="cs"/>
          <w:rtl/>
        </w:rPr>
      </w:pPr>
      <w:r>
        <w:rPr>
          <w:rtl/>
        </w:rPr>
        <w:tab/>
      </w:r>
      <w:r w:rsidRPr="004377AB">
        <w:rPr>
          <w:rtl/>
        </w:rPr>
        <w:endnoteRef/>
      </w:r>
      <w:r>
        <w:rPr>
          <w:rtl/>
        </w:rPr>
        <w:t>.</w:t>
      </w:r>
      <w:r>
        <w:rPr>
          <w:rtl/>
        </w:rPr>
        <w:tab/>
      </w:r>
      <w:r>
        <w:rPr>
          <w:rFonts w:hint="cs"/>
          <w:rtl/>
        </w:rPr>
        <w:t xml:space="preserve">וראה יין משמח ח"א שער ז בתורה "ארבע כוונות הזיווג" כי הדאגה לצרכי הזולת היא קומת הכוונה </w:t>
      </w:r>
      <w:proofErr w:type="spellStart"/>
      <w:r>
        <w:rPr>
          <w:rFonts w:hint="cs"/>
          <w:rtl/>
        </w:rPr>
        <w:t>השניה</w:t>
      </w:r>
      <w:proofErr w:type="spellEnd"/>
      <w:r>
        <w:rPr>
          <w:rFonts w:hint="cs"/>
          <w:rtl/>
        </w:rPr>
        <w:t xml:space="preserve"> (מתוך ארבע כוונות) של הזיווג הקדוש, המכוונת כנגד "רעיתי" בהקבלה </w:t>
      </w:r>
      <w:proofErr w:type="spellStart"/>
      <w:r>
        <w:rPr>
          <w:rFonts w:hint="cs"/>
          <w:rtl/>
        </w:rPr>
        <w:t>ל"אחֹתי</w:t>
      </w:r>
      <w:proofErr w:type="spellEnd"/>
      <w:r>
        <w:rPr>
          <w:rFonts w:hint="cs"/>
          <w:rtl/>
        </w:rPr>
        <w:t xml:space="preserve"> רעיתי יונתי </w:t>
      </w:r>
      <w:proofErr w:type="spellStart"/>
      <w:r>
        <w:rPr>
          <w:rFonts w:hint="cs"/>
          <w:rtl/>
        </w:rPr>
        <w:t>תמתי</w:t>
      </w:r>
      <w:proofErr w:type="spellEnd"/>
      <w:r>
        <w:rPr>
          <w:rFonts w:hint="cs"/>
          <w:rtl/>
        </w:rPr>
        <w:t>".</w:t>
      </w:r>
    </w:p>
  </w:endnote>
  <w:endnote w:id="5">
    <w:p w:rsidR="00C15E24" w:rsidRDefault="00C15E24" w:rsidP="00C15E24">
      <w:pPr>
        <w:pStyle w:val="a3"/>
        <w:rPr>
          <w:rFonts w:hint="cs"/>
          <w:rtl/>
        </w:rPr>
      </w:pPr>
      <w:r>
        <w:rPr>
          <w:rtl/>
        </w:rPr>
        <w:tab/>
      </w:r>
      <w:r w:rsidRPr="004377AB">
        <w:rPr>
          <w:rtl/>
        </w:rPr>
        <w:endnoteRef/>
      </w:r>
      <w:r>
        <w:rPr>
          <w:rtl/>
        </w:rPr>
        <w:t>.</w:t>
      </w:r>
      <w:r>
        <w:rPr>
          <w:rtl/>
        </w:rPr>
        <w:tab/>
      </w:r>
      <w:r>
        <w:rPr>
          <w:rFonts w:hint="cs"/>
          <w:rtl/>
        </w:rPr>
        <w:t xml:space="preserve">וראה עוד על רגישות </w:t>
      </w:r>
      <w:proofErr w:type="spellStart"/>
      <w:r>
        <w:rPr>
          <w:rFonts w:hint="cs"/>
          <w:rtl/>
        </w:rPr>
        <w:t>הידים</w:t>
      </w:r>
      <w:proofErr w:type="spellEnd"/>
      <w:r>
        <w:rPr>
          <w:rFonts w:hint="cs"/>
          <w:rtl/>
        </w:rPr>
        <w:t xml:space="preserve"> לצרכי הזולת בניגוד לחיפושן אחר סיפוק עצמי ביין משמח </w:t>
      </w:r>
      <w:proofErr w:type="spellStart"/>
      <w:r>
        <w:rPr>
          <w:rFonts w:hint="cs"/>
          <w:rtl/>
        </w:rPr>
        <w:t>ח"ג</w:t>
      </w:r>
      <w:proofErr w:type="spellEnd"/>
      <w:r>
        <w:rPr>
          <w:rFonts w:hint="cs"/>
          <w:rtl/>
        </w:rPr>
        <w:t xml:space="preserve"> שער ה בתורה "הגוף נהנה מן הגוף".</w:t>
      </w:r>
    </w:p>
  </w:endnote>
  <w:endnote w:id="6">
    <w:p w:rsidR="00C15E24" w:rsidRDefault="00C15E24" w:rsidP="00C15E24">
      <w:pPr>
        <w:pStyle w:val="a3"/>
        <w:rPr>
          <w:rFonts w:hint="cs"/>
          <w:rtl/>
        </w:rPr>
      </w:pPr>
      <w:r>
        <w:rPr>
          <w:rtl/>
        </w:rPr>
        <w:tab/>
      </w:r>
      <w:r w:rsidRPr="004377AB">
        <w:rPr>
          <w:rtl/>
        </w:rPr>
        <w:endnoteRef/>
      </w:r>
      <w:r>
        <w:rPr>
          <w:rtl/>
        </w:rPr>
        <w:t>.</w:t>
      </w:r>
      <w:r>
        <w:rPr>
          <w:rtl/>
        </w:rPr>
        <w:tab/>
      </w:r>
      <w:r>
        <w:rPr>
          <w:rFonts w:hint="cs"/>
          <w:rtl/>
        </w:rPr>
        <w:t>כפי שהתבאר בתורות הקודמות, וראה גם בשער ה בתורה "עת לחבוק ועת לרחוק מחבק".</w:t>
      </w:r>
    </w:p>
  </w:endnote>
  <w:endnote w:id="7">
    <w:p w:rsidR="00C15E24" w:rsidRDefault="00C15E24" w:rsidP="00C15E24">
      <w:pPr>
        <w:pStyle w:val="a3"/>
        <w:rPr>
          <w:rFonts w:hint="cs"/>
          <w:rtl/>
        </w:rPr>
      </w:pPr>
      <w:r>
        <w:rPr>
          <w:rtl/>
        </w:rPr>
        <w:tab/>
      </w:r>
      <w:r w:rsidRPr="004377AB">
        <w:rPr>
          <w:rtl/>
        </w:rPr>
        <w:endnoteRef/>
      </w:r>
      <w:r>
        <w:rPr>
          <w:rtl/>
        </w:rPr>
        <w:t>.</w:t>
      </w:r>
      <w:r>
        <w:rPr>
          <w:rtl/>
        </w:rPr>
        <w:tab/>
      </w:r>
      <w:r>
        <w:rPr>
          <w:rFonts w:hint="cs"/>
          <w:rtl/>
        </w:rPr>
        <w:t xml:space="preserve">ראה בראשית רבה פד, </w:t>
      </w:r>
      <w:proofErr w:type="spellStart"/>
      <w:r>
        <w:rPr>
          <w:rFonts w:hint="cs"/>
          <w:rtl/>
        </w:rPr>
        <w:t>יג</w:t>
      </w:r>
      <w:proofErr w:type="spellEnd"/>
      <w:r>
        <w:rPr>
          <w:rFonts w:hint="cs"/>
          <w:rtl/>
        </w:rPr>
        <w:t>.</w:t>
      </w:r>
    </w:p>
  </w:endnote>
  <w:endnote w:id="8">
    <w:p w:rsidR="00C15E24" w:rsidRDefault="00C15E24" w:rsidP="00C15E24">
      <w:pPr>
        <w:pStyle w:val="a3"/>
        <w:rPr>
          <w:rFonts w:hint="cs"/>
        </w:rPr>
      </w:pPr>
      <w:r>
        <w:rPr>
          <w:rtl/>
        </w:rPr>
        <w:tab/>
      </w:r>
      <w:r w:rsidRPr="004377AB">
        <w:rPr>
          <w:rtl/>
        </w:rPr>
        <w:endnoteRef/>
      </w:r>
      <w:r>
        <w:rPr>
          <w:rtl/>
        </w:rPr>
        <w:t>.</w:t>
      </w:r>
      <w:r>
        <w:rPr>
          <w:rtl/>
        </w:rPr>
        <w:tab/>
      </w:r>
      <w:r>
        <w:rPr>
          <w:rFonts w:hint="cs"/>
          <w:rtl/>
        </w:rPr>
        <w:t xml:space="preserve">נדה </w:t>
      </w:r>
      <w:proofErr w:type="spellStart"/>
      <w:r>
        <w:rPr>
          <w:rFonts w:hint="cs"/>
          <w:rtl/>
        </w:rPr>
        <w:t>יג</w:t>
      </w:r>
      <w:proofErr w:type="spellEnd"/>
      <w:r>
        <w:rPr>
          <w:rFonts w:hint="cs"/>
          <w:rtl/>
        </w:rPr>
        <w:t>, א.</w:t>
      </w:r>
    </w:p>
  </w:endnote>
  <w:endnote w:id="9">
    <w:p w:rsidR="00C15E24" w:rsidRDefault="00C15E24" w:rsidP="00C15E24">
      <w:pPr>
        <w:pStyle w:val="a3"/>
        <w:rPr>
          <w:rFonts w:hint="cs"/>
          <w:rtl/>
        </w:rPr>
      </w:pPr>
      <w:r>
        <w:rPr>
          <w:rtl/>
        </w:rPr>
        <w:tab/>
      </w:r>
      <w:r w:rsidRPr="004377AB">
        <w:rPr>
          <w:rtl/>
        </w:rPr>
        <w:endnoteRef/>
      </w:r>
      <w:r>
        <w:rPr>
          <w:rtl/>
        </w:rPr>
        <w:t>.</w:t>
      </w:r>
      <w:r>
        <w:rPr>
          <w:rtl/>
        </w:rPr>
        <w:tab/>
      </w:r>
      <w:r>
        <w:rPr>
          <w:rFonts w:hint="cs"/>
          <w:rtl/>
        </w:rPr>
        <w:t>ראה תורת שלום עמ' 172-173.</w:t>
      </w:r>
    </w:p>
  </w:endnote>
  <w:endnote w:id="10">
    <w:p w:rsidR="00C15E24" w:rsidRDefault="00C15E24" w:rsidP="00C15E24">
      <w:pPr>
        <w:pStyle w:val="a3"/>
        <w:rPr>
          <w:rFonts w:hint="cs"/>
        </w:rPr>
      </w:pPr>
      <w:r>
        <w:rPr>
          <w:rtl/>
        </w:rPr>
        <w:tab/>
      </w:r>
      <w:r w:rsidRPr="004377AB">
        <w:rPr>
          <w:rtl/>
        </w:rPr>
        <w:endnoteRef/>
      </w:r>
      <w:r>
        <w:rPr>
          <w:rtl/>
        </w:rPr>
        <w:t>.</w:t>
      </w:r>
      <w:r>
        <w:rPr>
          <w:rtl/>
        </w:rPr>
        <w:tab/>
      </w:r>
      <w:r>
        <w:rPr>
          <w:rFonts w:hint="cs"/>
          <w:rtl/>
        </w:rPr>
        <w:t xml:space="preserve">ראה </w:t>
      </w:r>
      <w:proofErr w:type="spellStart"/>
      <w:r>
        <w:rPr>
          <w:rFonts w:hint="cs"/>
          <w:rtl/>
        </w:rPr>
        <w:t>שו"ע</w:t>
      </w:r>
      <w:proofErr w:type="spellEnd"/>
      <w:r>
        <w:rPr>
          <w:rFonts w:hint="cs"/>
          <w:rtl/>
        </w:rPr>
        <w:t xml:space="preserve"> אדמו"ר הזקן </w:t>
      </w:r>
      <w:proofErr w:type="spellStart"/>
      <w:r>
        <w:rPr>
          <w:rFonts w:hint="cs"/>
          <w:rtl/>
        </w:rPr>
        <w:t>חו"מ</w:t>
      </w:r>
      <w:proofErr w:type="spellEnd"/>
      <w:r>
        <w:rPr>
          <w:rFonts w:hint="cs"/>
          <w:rtl/>
        </w:rPr>
        <w:t xml:space="preserve"> הלכות נזקי גוף ונפש ס"ד (</w:t>
      </w:r>
      <w:proofErr w:type="spellStart"/>
      <w:r>
        <w:rPr>
          <w:rFonts w:hint="cs"/>
          <w:rtl/>
        </w:rPr>
        <w:t>וש"נ</w:t>
      </w:r>
      <w:proofErr w:type="spellEnd"/>
      <w:r>
        <w:rPr>
          <w:rFonts w:hint="cs"/>
          <w:rtl/>
        </w:rPr>
        <w:t>).</w:t>
      </w:r>
    </w:p>
  </w:endnote>
  <w:endnote w:id="11">
    <w:p w:rsidR="00C15E24" w:rsidRDefault="00C15E24" w:rsidP="00C15E24">
      <w:pPr>
        <w:pStyle w:val="a3"/>
        <w:rPr>
          <w:rFonts w:hint="cs"/>
          <w:rtl/>
        </w:rPr>
      </w:pPr>
      <w:r>
        <w:rPr>
          <w:rtl/>
        </w:rPr>
        <w:tab/>
      </w:r>
      <w:r w:rsidRPr="004377AB">
        <w:rPr>
          <w:rtl/>
        </w:rPr>
        <w:endnoteRef/>
      </w:r>
      <w:r>
        <w:rPr>
          <w:rtl/>
        </w:rPr>
        <w:t>.</w:t>
      </w:r>
      <w:r>
        <w:rPr>
          <w:rtl/>
        </w:rPr>
        <w:tab/>
      </w:r>
      <w:r>
        <w:rPr>
          <w:rFonts w:hint="cs"/>
          <w:rtl/>
        </w:rPr>
        <w:t xml:space="preserve">על שלשת הפחדים </w:t>
      </w:r>
      <w:r>
        <w:rPr>
          <w:rtl/>
        </w:rPr>
        <w:t>–</w:t>
      </w:r>
      <w:r>
        <w:rPr>
          <w:rFonts w:hint="cs"/>
          <w:rtl/>
        </w:rPr>
        <w:t xml:space="preserve"> המכונים "פחד הזאב" (הפחד מאונס), "פחד הארי" (הפחד מרצח) ו"פחד הנחש" (הפחד </w:t>
      </w:r>
      <w:proofErr w:type="spellStart"/>
      <w:r>
        <w:rPr>
          <w:rFonts w:hint="cs"/>
          <w:rtl/>
        </w:rPr>
        <w:t>משגעון</w:t>
      </w:r>
      <w:proofErr w:type="spellEnd"/>
      <w:r>
        <w:rPr>
          <w:rFonts w:hint="cs"/>
          <w:rtl/>
        </w:rPr>
        <w:t xml:space="preserve">) </w:t>
      </w:r>
      <w:r>
        <w:rPr>
          <w:rtl/>
        </w:rPr>
        <w:t>–</w:t>
      </w:r>
      <w:r>
        <w:rPr>
          <w:rFonts w:hint="cs"/>
          <w:rtl/>
        </w:rPr>
        <w:t xml:space="preserve"> ראה בספר גוף ונפש ונשמה פ"ד ובמאמר "נסי נסים" בספר אדמה שמים ותהום.</w:t>
      </w:r>
    </w:p>
  </w:endnote>
  <w:endnote w:id="12">
    <w:p w:rsidR="00C15E24" w:rsidRDefault="00C15E24" w:rsidP="00C15E24">
      <w:pPr>
        <w:pStyle w:val="a3"/>
        <w:rPr>
          <w:rFonts w:hint="cs"/>
          <w:rtl/>
        </w:rPr>
      </w:pPr>
      <w:r>
        <w:rPr>
          <w:rtl/>
        </w:rPr>
        <w:tab/>
      </w:r>
      <w:r w:rsidRPr="004377AB">
        <w:rPr>
          <w:rtl/>
        </w:rPr>
        <w:endnoteRef/>
      </w:r>
      <w:r>
        <w:rPr>
          <w:rtl/>
        </w:rPr>
        <w:t>.</w:t>
      </w:r>
      <w:r>
        <w:rPr>
          <w:rtl/>
        </w:rPr>
        <w:tab/>
      </w:r>
      <w:r>
        <w:rPr>
          <w:rFonts w:hint="cs"/>
          <w:rtl/>
        </w:rPr>
        <w:t>על פי בבא קמא פה, א ובכ"ד.</w:t>
      </w:r>
    </w:p>
  </w:endnote>
  <w:endnote w:id="13">
    <w:p w:rsidR="00C15E24" w:rsidRDefault="00C15E24" w:rsidP="00C15E24">
      <w:pPr>
        <w:pStyle w:val="a3"/>
        <w:rPr>
          <w:rFonts w:hint="cs"/>
          <w:rtl/>
        </w:rPr>
      </w:pPr>
      <w:r>
        <w:rPr>
          <w:rtl/>
        </w:rPr>
        <w:tab/>
      </w:r>
      <w:r w:rsidRPr="004377AB">
        <w:rPr>
          <w:rtl/>
        </w:rPr>
        <w:endnoteRef/>
      </w:r>
      <w:r>
        <w:rPr>
          <w:rtl/>
        </w:rPr>
        <w:t>.</w:t>
      </w:r>
      <w:r>
        <w:rPr>
          <w:rtl/>
        </w:rPr>
        <w:tab/>
      </w:r>
      <w:r>
        <w:rPr>
          <w:rFonts w:hint="cs"/>
          <w:rtl/>
        </w:rPr>
        <w:t xml:space="preserve">משלי </w:t>
      </w:r>
      <w:proofErr w:type="spellStart"/>
      <w:r>
        <w:rPr>
          <w:rFonts w:hint="cs"/>
          <w:rtl/>
        </w:rPr>
        <w:t>כז</w:t>
      </w:r>
      <w:proofErr w:type="spellEnd"/>
      <w:r>
        <w:rPr>
          <w:rFonts w:hint="cs"/>
          <w:rtl/>
        </w:rPr>
        <w:t>, ו.</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F9A" w:rsidRDefault="00BD4F9A" w:rsidP="00C15E24">
      <w:pPr>
        <w:spacing w:after="0" w:line="240" w:lineRule="auto"/>
      </w:pPr>
      <w:r>
        <w:separator/>
      </w:r>
    </w:p>
  </w:footnote>
  <w:footnote w:type="continuationSeparator" w:id="0">
    <w:p w:rsidR="00BD4F9A" w:rsidRDefault="00BD4F9A" w:rsidP="00C15E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972"/>
    <w:rsid w:val="00061E65"/>
    <w:rsid w:val="004D3972"/>
    <w:rsid w:val="00AC2310"/>
    <w:rsid w:val="00BD4F9A"/>
    <w:rsid w:val="00C15E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C15E24"/>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C15E2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C15E24"/>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semiHidden/>
    <w:rsid w:val="00C15E24"/>
    <w:pPr>
      <w:tabs>
        <w:tab w:val="right" w:pos="266"/>
        <w:tab w:val="left" w:pos="340"/>
      </w:tabs>
      <w:spacing w:after="20" w:line="260" w:lineRule="exact"/>
      <w:ind w:left="340" w:hanging="340"/>
    </w:pPr>
    <w:rPr>
      <w:sz w:val="20"/>
      <w:szCs w:val="23"/>
    </w:rPr>
  </w:style>
  <w:style w:type="character" w:customStyle="1" w:styleId="a4">
    <w:name w:val="טקסט הערת סיום תו"/>
    <w:basedOn w:val="a0"/>
    <w:link w:val="a3"/>
    <w:semiHidden/>
    <w:rsid w:val="00C15E24"/>
    <w:rPr>
      <w:rFonts w:ascii="Times New Roman" w:eastAsia="Times New Roman" w:hAnsi="Times New Roman" w:cs="FrankRuehl"/>
      <w:sz w:val="20"/>
      <w:szCs w:val="23"/>
      <w:lang w:eastAsia="he-IL"/>
    </w:rPr>
  </w:style>
  <w:style w:type="character" w:styleId="a5">
    <w:name w:val="endnote reference"/>
    <w:aliases w:val="Endnote Reference"/>
    <w:basedOn w:val="a6"/>
    <w:semiHidden/>
    <w:rsid w:val="00C15E24"/>
    <w:rPr>
      <w:noProof/>
      <w:position w:val="-4"/>
      <w:szCs w:val="27"/>
      <w:vertAlign w:val="superscript"/>
    </w:rPr>
  </w:style>
  <w:style w:type="paragraph" w:customStyle="1" w:styleId="a7">
    <w:name w:val="פתיח תו"/>
    <w:basedOn w:val="a"/>
    <w:link w:val="a8"/>
    <w:rsid w:val="00C15E2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C15E24"/>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C15E2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C15E24"/>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C15E2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C15E24"/>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semiHidden/>
    <w:rsid w:val="00C15E24"/>
    <w:pPr>
      <w:tabs>
        <w:tab w:val="right" w:pos="266"/>
        <w:tab w:val="left" w:pos="340"/>
      </w:tabs>
      <w:spacing w:after="20" w:line="260" w:lineRule="exact"/>
      <w:ind w:left="340" w:hanging="340"/>
    </w:pPr>
    <w:rPr>
      <w:sz w:val="20"/>
      <w:szCs w:val="23"/>
    </w:rPr>
  </w:style>
  <w:style w:type="character" w:customStyle="1" w:styleId="a4">
    <w:name w:val="טקסט הערת סיום תו"/>
    <w:basedOn w:val="a0"/>
    <w:link w:val="a3"/>
    <w:semiHidden/>
    <w:rsid w:val="00C15E24"/>
    <w:rPr>
      <w:rFonts w:ascii="Times New Roman" w:eastAsia="Times New Roman" w:hAnsi="Times New Roman" w:cs="FrankRuehl"/>
      <w:sz w:val="20"/>
      <w:szCs w:val="23"/>
      <w:lang w:eastAsia="he-IL"/>
    </w:rPr>
  </w:style>
  <w:style w:type="character" w:styleId="a5">
    <w:name w:val="endnote reference"/>
    <w:aliases w:val="Endnote Reference"/>
    <w:basedOn w:val="a6"/>
    <w:semiHidden/>
    <w:rsid w:val="00C15E24"/>
    <w:rPr>
      <w:noProof/>
      <w:position w:val="-4"/>
      <w:szCs w:val="27"/>
      <w:vertAlign w:val="superscript"/>
    </w:rPr>
  </w:style>
  <w:style w:type="paragraph" w:customStyle="1" w:styleId="a7">
    <w:name w:val="פתיח תו"/>
    <w:basedOn w:val="a"/>
    <w:link w:val="a8"/>
    <w:rsid w:val="00C15E2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C15E24"/>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C15E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1981</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2017-08-15T07:20:00Z</dcterms:created>
  <dcterms:modified xsi:type="dcterms:W3CDTF">2017-08-15T07:20:00Z</dcterms:modified>
</cp:coreProperties>
</file>