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7214" w:rsidRPr="00B46B4B" w:rsidRDefault="00327214" w:rsidP="00327214">
      <w:pPr>
        <w:pStyle w:val="2"/>
        <w:rPr>
          <w:rFonts w:hint="cs"/>
          <w:rtl/>
        </w:rPr>
      </w:pPr>
      <w:bookmarkStart w:id="0" w:name="_Toc188281763"/>
      <w:bookmarkStart w:id="1" w:name="_Ref188282205"/>
      <w:r w:rsidRPr="00B46B4B">
        <w:rPr>
          <w:rFonts w:hint="cs"/>
          <w:rtl/>
        </w:rPr>
        <w:t>אהבת נפש</w:t>
      </w:r>
      <w:bookmarkEnd w:id="0"/>
      <w:bookmarkEnd w:id="1"/>
    </w:p>
    <w:p w:rsidR="00327214" w:rsidRPr="00EC3D1D" w:rsidRDefault="00327214" w:rsidP="00327214">
      <w:pPr>
        <w:keepNext/>
        <w:framePr w:dropCap="drop" w:lines="2" w:hSpace="57" w:wrap="around" w:vAnchor="text" w:hAnchor="text" w:xAlign="right"/>
        <w:spacing w:after="0" w:line="760" w:lineRule="exact"/>
        <w:textAlignment w:val="baseline"/>
        <w:rPr>
          <w:rStyle w:val="a8"/>
          <w:rtl/>
        </w:rPr>
      </w:pPr>
      <w:r w:rsidRPr="00EC3D1D">
        <w:rPr>
          <w:rStyle w:val="a8"/>
          <w:rFonts w:hint="cs"/>
          <w:rtl/>
        </w:rPr>
        <w:t>א</w:t>
      </w:r>
    </w:p>
    <w:p w:rsidR="00327214" w:rsidRPr="00B46B4B" w:rsidRDefault="00327214" w:rsidP="00327214">
      <w:pPr>
        <w:rPr>
          <w:rFonts w:hint="cs"/>
          <w:rtl/>
        </w:rPr>
      </w:pPr>
      <w:r w:rsidRPr="00B46B4B">
        <w:rPr>
          <w:rFonts w:hint="cs"/>
          <w:rtl/>
        </w:rPr>
        <w:t xml:space="preserve">הבת הנפש היא האהבה הבסיסית ביותר, אהבה לגילויים הפשוטים והממשיים ביותר של הזולת </w:t>
      </w:r>
      <w:r w:rsidRPr="00B46B4B">
        <w:rPr>
          <w:rFonts w:hint="eastAsia"/>
          <w:rtl/>
        </w:rPr>
        <w:t xml:space="preserve">– גופו, </w:t>
      </w:r>
      <w:r w:rsidRPr="00B46B4B">
        <w:rPr>
          <w:rFonts w:hint="cs"/>
          <w:rtl/>
        </w:rPr>
        <w:t>נפשו הטבעית (הנפש החיונית וה</w:t>
      </w:r>
      <w:r w:rsidRPr="00B46B4B">
        <w:rPr>
          <w:rFonts w:hint="eastAsia"/>
          <w:rtl/>
        </w:rPr>
        <w:t>אופי</w:t>
      </w:r>
      <w:r w:rsidRPr="00B46B4B">
        <w:rPr>
          <w:rFonts w:hint="cs"/>
          <w:rtl/>
        </w:rPr>
        <w:t xml:space="preserve"> הטבעי הבסיסי)</w:t>
      </w:r>
      <w:r w:rsidRPr="00B46B4B">
        <w:rPr>
          <w:rFonts w:hint="eastAsia"/>
          <w:rtl/>
        </w:rPr>
        <w:t xml:space="preserve"> </w:t>
      </w:r>
      <w:r w:rsidRPr="00B46B4B">
        <w:rPr>
          <w:rFonts w:hint="cs"/>
          <w:rtl/>
        </w:rPr>
        <w:t>ו</w:t>
      </w:r>
      <w:r w:rsidRPr="00B46B4B">
        <w:rPr>
          <w:rFonts w:hint="eastAsia"/>
          <w:rtl/>
        </w:rPr>
        <w:t>מעשיו.</w:t>
      </w:r>
      <w:r w:rsidRPr="00B46B4B">
        <w:rPr>
          <w:rFonts w:hint="cs"/>
          <w:rtl/>
        </w:rPr>
        <w:t xml:space="preserve"> עם זאת, דווקא "אהבת נפש"</w:t>
      </w:r>
      <w:r w:rsidRPr="00C37DFC">
        <w:rPr>
          <w:rStyle w:val="a5"/>
          <w:rtl/>
        </w:rPr>
        <w:endnoteReference w:id="1"/>
      </w:r>
      <w:r w:rsidRPr="00B46B4B">
        <w:rPr>
          <w:rFonts w:hint="cs"/>
          <w:rtl/>
        </w:rPr>
        <w:t xml:space="preserve"> הוא ביטוי כולל לכל אהבה עמוקה</w:t>
      </w:r>
      <w:r>
        <w:rPr>
          <w:rFonts w:hint="cs"/>
          <w:rtl/>
        </w:rPr>
        <w:t>.</w:t>
      </w:r>
      <w:r w:rsidRPr="00B46B4B">
        <w:rPr>
          <w:rFonts w:hint="cs"/>
          <w:rtl/>
        </w:rPr>
        <w:t xml:space="preserve"> </w:t>
      </w:r>
      <w:r>
        <w:rPr>
          <w:rFonts w:hint="cs"/>
          <w:rtl/>
        </w:rPr>
        <w:t>מחד ה</w:t>
      </w:r>
      <w:r w:rsidRPr="00B46B4B">
        <w:rPr>
          <w:rFonts w:hint="cs"/>
          <w:rtl/>
        </w:rPr>
        <w:t>חיבור ברובד הנפשי שייך לרמת הפשט</w:t>
      </w:r>
      <w:r>
        <w:rPr>
          <w:rFonts w:hint="cs"/>
          <w:rtl/>
        </w:rPr>
        <w:t>,</w:t>
      </w:r>
      <w:r w:rsidRPr="00B46B4B">
        <w:rPr>
          <w:rFonts w:hint="cs"/>
          <w:rtl/>
        </w:rPr>
        <w:t xml:space="preserve"> והוא מהוה בסיס לכל אהבה, </w:t>
      </w:r>
      <w:proofErr w:type="spellStart"/>
      <w:r>
        <w:rPr>
          <w:rFonts w:hint="cs"/>
          <w:rtl/>
        </w:rPr>
        <w:t>ולאידך</w:t>
      </w:r>
      <w:proofErr w:type="spellEnd"/>
      <w:r>
        <w:rPr>
          <w:rFonts w:hint="cs"/>
          <w:rtl/>
        </w:rPr>
        <w:t xml:space="preserve"> ב</w:t>
      </w:r>
      <w:r w:rsidRPr="00B46B4B">
        <w:rPr>
          <w:rFonts w:hint="cs"/>
          <w:rtl/>
        </w:rPr>
        <w:t>"נפש" יש גם משמעות של רצון</w:t>
      </w:r>
      <w:r w:rsidRPr="00C37DFC">
        <w:rPr>
          <w:rStyle w:val="a5"/>
          <w:rtl/>
        </w:rPr>
        <w:endnoteReference w:id="2"/>
      </w:r>
      <w:r>
        <w:rPr>
          <w:rFonts w:hint="cs"/>
          <w:rtl/>
        </w:rPr>
        <w:t>. כלומר,</w:t>
      </w:r>
      <w:r w:rsidRPr="00B46B4B">
        <w:rPr>
          <w:rFonts w:hint="eastAsia"/>
          <w:rtl/>
        </w:rPr>
        <w:t xml:space="preserve"> </w:t>
      </w:r>
      <w:r w:rsidRPr="00B46B4B">
        <w:rPr>
          <w:rFonts w:hint="cs"/>
          <w:rtl/>
        </w:rPr>
        <w:t xml:space="preserve">יש באהבה זו ממד הכולל את כל דרגות האהבה, הנובעות מרצון עמוק ועל-מודע של חיבור ל"אחת היא יונתי </w:t>
      </w:r>
      <w:proofErr w:type="spellStart"/>
      <w:r w:rsidRPr="00B46B4B">
        <w:rPr>
          <w:rFonts w:hint="cs"/>
          <w:rtl/>
        </w:rPr>
        <w:t>תמתי</w:t>
      </w:r>
      <w:proofErr w:type="spellEnd"/>
      <w:r w:rsidRPr="00B46B4B">
        <w:rPr>
          <w:rFonts w:hint="cs"/>
          <w:rtl/>
        </w:rPr>
        <w:t>"</w:t>
      </w:r>
      <w:r w:rsidRPr="00C37DFC">
        <w:rPr>
          <w:rStyle w:val="a5"/>
          <w:rtl/>
        </w:rPr>
        <w:endnoteReference w:id="3"/>
      </w:r>
      <w:r w:rsidRPr="00B46B4B">
        <w:rPr>
          <w:rFonts w:hint="cs"/>
          <w:rtl/>
        </w:rPr>
        <w:t>.</w:t>
      </w:r>
    </w:p>
    <w:p w:rsidR="00327214" w:rsidRPr="00B46B4B" w:rsidRDefault="00327214" w:rsidP="00327214">
      <w:pPr>
        <w:rPr>
          <w:rFonts w:hint="cs"/>
          <w:rtl/>
        </w:rPr>
      </w:pPr>
      <w:r w:rsidRPr="00B46B4B">
        <w:rPr>
          <w:rFonts w:hint="cs"/>
          <w:rtl/>
        </w:rPr>
        <w:t>אהבה אל הנפש היא אהבה ברמת המוטבע, המתבססת גם על גורמי הקשר והמש</w:t>
      </w:r>
      <w:r>
        <w:rPr>
          <w:rFonts w:hint="cs"/>
          <w:rtl/>
        </w:rPr>
        <w:t xml:space="preserve">יכה הטבעיים ביותר בין איש לאשה, </w:t>
      </w:r>
      <w:r w:rsidRPr="00B46B4B">
        <w:rPr>
          <w:rFonts w:hint="cs"/>
          <w:rtl/>
        </w:rPr>
        <w:t xml:space="preserve">ובהקשרים </w:t>
      </w:r>
      <w:r>
        <w:rPr>
          <w:rFonts w:hint="cs"/>
          <w:rtl/>
        </w:rPr>
        <w:t xml:space="preserve">רחבים יותר, בין אדם לחברו בכלל. אהבה זו </w:t>
      </w:r>
      <w:r w:rsidRPr="00B46B4B">
        <w:rPr>
          <w:rFonts w:hint="cs"/>
          <w:rtl/>
        </w:rPr>
        <w:t>מופנית לטבעו ה</w:t>
      </w:r>
      <w:r>
        <w:rPr>
          <w:rFonts w:hint="cs"/>
          <w:rtl/>
        </w:rPr>
        <w:t xml:space="preserve">ראשוני, היום-יומי, של בן הזוג. </w:t>
      </w:r>
      <w:r w:rsidRPr="00B46B4B">
        <w:rPr>
          <w:rFonts w:hint="cs"/>
          <w:rtl/>
        </w:rPr>
        <w:t>עם זאת, אין הכוונה כאן דווקא לאהבה טבעית וזורמת, "אהבה כמים" הקיימת בין אח לאחות</w:t>
      </w:r>
      <w:r w:rsidRPr="00C37DFC">
        <w:rPr>
          <w:rStyle w:val="a5"/>
          <w:rtl/>
        </w:rPr>
        <w:endnoteReference w:id="4"/>
      </w:r>
      <w:r w:rsidRPr="00B46B4B">
        <w:rPr>
          <w:rFonts w:hint="cs"/>
          <w:rtl/>
        </w:rPr>
        <w:t>, אלא באהבה שיש בה גם ממדים 'לוהטים' של "אהבה כאש" בין איש לאשתו</w:t>
      </w:r>
      <w:r w:rsidRPr="00C37DFC">
        <w:rPr>
          <w:rStyle w:val="a5"/>
          <w:rtl/>
        </w:rPr>
        <w:endnoteReference w:id="5"/>
      </w:r>
      <w:r>
        <w:rPr>
          <w:rFonts w:hint="cs"/>
          <w:rtl/>
        </w:rPr>
        <w:t xml:space="preserve">. והעיקר, זו </w:t>
      </w:r>
      <w:r w:rsidRPr="00B46B4B">
        <w:rPr>
          <w:rFonts w:hint="cs"/>
          <w:rtl/>
        </w:rPr>
        <w:t>אהבה שיש לבנות ולטפח</w:t>
      </w:r>
      <w:r>
        <w:rPr>
          <w:rFonts w:hint="cs"/>
          <w:rtl/>
        </w:rPr>
        <w:t>,</w:t>
      </w:r>
      <w:r w:rsidRPr="00B46B4B">
        <w:rPr>
          <w:rFonts w:hint="cs"/>
          <w:rtl/>
        </w:rPr>
        <w:t xml:space="preserve"> ולא רק להסתמך על זרימתה הטבעית.</w:t>
      </w:r>
    </w:p>
    <w:p w:rsidR="00327214" w:rsidRPr="00B46B4B" w:rsidRDefault="00327214" w:rsidP="00327214">
      <w:pPr>
        <w:rPr>
          <w:rFonts w:hint="cs"/>
          <w:rtl/>
        </w:rPr>
      </w:pPr>
      <w:r w:rsidRPr="00B46B4B">
        <w:rPr>
          <w:rFonts w:hint="cs"/>
          <w:rtl/>
        </w:rPr>
        <w:t>כך, ביטוי מיוחד מקב</w:t>
      </w:r>
      <w:r>
        <w:rPr>
          <w:rFonts w:hint="cs"/>
          <w:rtl/>
        </w:rPr>
        <w:t>לת אהבה זו כלפי מעשי בן/בת הזוג. זהו</w:t>
      </w:r>
      <w:r w:rsidRPr="00B46B4B">
        <w:rPr>
          <w:rFonts w:hint="eastAsia"/>
          <w:rtl/>
        </w:rPr>
        <w:t xml:space="preserve"> רגש של חבה ואהבה כלפי </w:t>
      </w:r>
      <w:r w:rsidRPr="00B46B4B">
        <w:rPr>
          <w:rFonts w:hint="cs"/>
          <w:rtl/>
        </w:rPr>
        <w:t>המעשים</w:t>
      </w:r>
      <w:r>
        <w:rPr>
          <w:rFonts w:hint="cs"/>
          <w:rtl/>
        </w:rPr>
        <w:t>,</w:t>
      </w:r>
      <w:r w:rsidRPr="00B46B4B">
        <w:rPr>
          <w:rFonts w:hint="cs"/>
          <w:rtl/>
        </w:rPr>
        <w:t xml:space="preserve"> מתוך הרגשה שניתן לחוש בהם את טבע אופיו המיוחד</w:t>
      </w:r>
      <w:r>
        <w:rPr>
          <w:rFonts w:hint="cs"/>
          <w:rtl/>
        </w:rPr>
        <w:t xml:space="preserve"> של העושה</w:t>
      </w:r>
      <w:r w:rsidRPr="00B46B4B">
        <w:rPr>
          <w:rFonts w:hint="cs"/>
          <w:rtl/>
        </w:rPr>
        <w:t xml:space="preserve">. כדי להגיע לאהבה זו יש לעבוד על מציאת הטוב שבכל דבר, עד שכאשר </w:t>
      </w:r>
      <w:proofErr w:type="spellStart"/>
      <w:r w:rsidRPr="00B46B4B">
        <w:rPr>
          <w:rFonts w:hint="cs"/>
          <w:rtl/>
        </w:rPr>
        <w:t>האשה</w:t>
      </w:r>
      <w:proofErr w:type="spellEnd"/>
      <w:r w:rsidRPr="00B46B4B">
        <w:rPr>
          <w:rFonts w:hint="cs"/>
          <w:rtl/>
        </w:rPr>
        <w:t xml:space="preserve"> מקדיחה את תבשילו, לדוגמה, ממלא את הלב </w:t>
      </w:r>
      <w:r>
        <w:rPr>
          <w:rFonts w:hint="cs"/>
          <w:rtl/>
        </w:rPr>
        <w:t xml:space="preserve">של האיש </w:t>
      </w:r>
      <w:r w:rsidRPr="00B46B4B">
        <w:rPr>
          <w:rFonts w:hint="cs"/>
          <w:rtl/>
        </w:rPr>
        <w:t xml:space="preserve">רגש של חבה והתפעלות </w:t>
      </w:r>
      <w:r>
        <w:rPr>
          <w:rFonts w:hint="cs"/>
          <w:rtl/>
        </w:rPr>
        <w:t xml:space="preserve">מהאופן המיוחד בו היא עושה זאת. </w:t>
      </w:r>
      <w:r w:rsidRPr="00B46B4B">
        <w:rPr>
          <w:rFonts w:hint="cs"/>
          <w:rtl/>
        </w:rPr>
        <w:t>דוגמה לכך יש בהנהגתו של התם ב"מעשה מחכם ותם" של רבי נחמן מברסלב – הוא משבח את אשתו על כל מעשיה, וחש תמיד כי מה כל שהיא עושה הוא הטוב ביותר בעולם (כאשר הרגשתו כך גם כלפי מעשיו שלו אינה אלא שיקוף של אהבת אשתו אליו, "כמים הפנים לפנים"</w:t>
      </w:r>
      <w:r w:rsidRPr="00C37DFC">
        <w:rPr>
          <w:rStyle w:val="a5"/>
          <w:rtl/>
        </w:rPr>
        <w:endnoteReference w:id="6"/>
      </w:r>
      <w:r>
        <w:rPr>
          <w:rFonts w:hint="cs"/>
          <w:rtl/>
        </w:rPr>
        <w:t>)</w:t>
      </w:r>
      <w:r w:rsidRPr="00B46B4B">
        <w:rPr>
          <w:rFonts w:hint="cs"/>
          <w:rtl/>
        </w:rPr>
        <w:t>.</w:t>
      </w:r>
    </w:p>
    <w:p w:rsidR="00327214" w:rsidRDefault="00327214" w:rsidP="00327214">
      <w:pPr>
        <w:rPr>
          <w:rFonts w:hint="cs"/>
          <w:rtl/>
        </w:rPr>
      </w:pPr>
      <w:r w:rsidRPr="00B46B4B">
        <w:rPr>
          <w:rFonts w:hint="cs"/>
          <w:rtl/>
        </w:rPr>
        <w:t>אהבת הגוף והנפש החיונית השורה בו מתבטאת, לכל לראש, בדאגה לו ובלקיחת אחריות למילוי כל צרכיו</w:t>
      </w:r>
      <w:r>
        <w:rPr>
          <w:rFonts w:hint="cs"/>
          <w:rtl/>
        </w:rPr>
        <w:t xml:space="preserve"> (ורמז: </w:t>
      </w:r>
      <w:r w:rsidRPr="006A09AE">
        <w:rPr>
          <w:rFonts w:hint="cs"/>
          <w:b/>
          <w:bCs/>
          <w:sz w:val="28"/>
          <w:szCs w:val="28"/>
          <w:rtl/>
        </w:rPr>
        <w:t>דאגה</w:t>
      </w:r>
      <w:r>
        <w:rPr>
          <w:rFonts w:hint="cs"/>
          <w:rtl/>
        </w:rPr>
        <w:t xml:space="preserve"> </w:t>
      </w:r>
      <w:r>
        <w:rPr>
          <w:rtl/>
        </w:rPr>
        <w:t>–</w:t>
      </w:r>
      <w:r>
        <w:rPr>
          <w:rFonts w:hint="cs"/>
          <w:rtl/>
        </w:rPr>
        <w:t xml:space="preserve"> </w:t>
      </w:r>
      <w:r w:rsidRPr="006A09AE">
        <w:rPr>
          <w:rFonts w:hint="cs"/>
          <w:b/>
          <w:bCs/>
          <w:sz w:val="28"/>
          <w:szCs w:val="28"/>
          <w:rtl/>
        </w:rPr>
        <w:t>אהבה</w:t>
      </w:r>
      <w:r>
        <w:rPr>
          <w:rFonts w:hint="cs"/>
          <w:rtl/>
        </w:rPr>
        <w:t>)</w:t>
      </w:r>
      <w:r w:rsidRPr="00B46B4B">
        <w:rPr>
          <w:rFonts w:hint="cs"/>
          <w:rtl/>
        </w:rPr>
        <w:t>. במובן זה, עיקר מה שהחת</w:t>
      </w:r>
      <w:r>
        <w:rPr>
          <w:rFonts w:hint="cs"/>
          <w:rtl/>
        </w:rPr>
        <w:t>ן מתחייב לו בכתובה הוא אהבת נפש.</w:t>
      </w:r>
      <w:r w:rsidRPr="00B46B4B">
        <w:rPr>
          <w:rFonts w:hint="eastAsia"/>
          <w:rtl/>
        </w:rPr>
        <w:t xml:space="preserve"> זהו הפשט של החתונה</w:t>
      </w:r>
      <w:r w:rsidRPr="00B46B4B">
        <w:rPr>
          <w:rFonts w:hint="cs"/>
          <w:rtl/>
        </w:rPr>
        <w:t xml:space="preserve">, לקיחת האחריות על הכלה במובן הפשוט והראשוני-הגופני ביותר. מגמת החופה היא לבנות את כל רמות האהבה, כאשר פתיחת </w:t>
      </w:r>
      <w:proofErr w:type="spellStart"/>
      <w:r w:rsidRPr="00B46B4B">
        <w:rPr>
          <w:rFonts w:hint="cs"/>
          <w:rtl/>
        </w:rPr>
        <w:t>הכל</w:t>
      </w:r>
      <w:proofErr w:type="spellEnd"/>
      <w:r w:rsidRPr="00B46B4B">
        <w:rPr>
          <w:rFonts w:hint="cs"/>
          <w:rtl/>
        </w:rPr>
        <w:t xml:space="preserve"> היא קריאת הכתובה והחובות המנויים בה </w:t>
      </w:r>
      <w:r w:rsidRPr="00B46B4B">
        <w:rPr>
          <w:rtl/>
        </w:rPr>
        <w:t>–</w:t>
      </w:r>
      <w:r w:rsidRPr="00B46B4B">
        <w:rPr>
          <w:rFonts w:hint="cs"/>
          <w:rtl/>
        </w:rPr>
        <w:t xml:space="preserve"> ביטוי לרמה הבסיסית של הקשר, האהבה </w:t>
      </w:r>
      <w:proofErr w:type="spellStart"/>
      <w:r w:rsidRPr="00B46B4B">
        <w:rPr>
          <w:rFonts w:hint="cs"/>
          <w:rtl/>
        </w:rPr>
        <w:t>האמיתית</w:t>
      </w:r>
      <w:proofErr w:type="spellEnd"/>
      <w:r w:rsidRPr="00B46B4B">
        <w:rPr>
          <w:rFonts w:hint="cs"/>
          <w:rtl/>
        </w:rPr>
        <w:t xml:space="preserve"> לכלה הראשונה. </w:t>
      </w:r>
    </w:p>
    <w:p w:rsidR="00327214" w:rsidRPr="00B46B4B" w:rsidRDefault="00327214" w:rsidP="00327214">
      <w:pPr>
        <w:rPr>
          <w:rFonts w:hint="cs"/>
          <w:rtl/>
        </w:rPr>
      </w:pPr>
      <w:r w:rsidRPr="00B46B4B">
        <w:rPr>
          <w:rFonts w:hint="cs"/>
          <w:rtl/>
        </w:rPr>
        <w:t xml:space="preserve">כמובן, לפשט הזה עצמו יש רבדים עמוקים מאד, שלא כל אחד מבין אותם מקריאת הכתובה, ולכן נדרשת עבודה של התבוננות, עידון וטיפוח. לפי זה, טוב לבחור לקריאת הכתובה יהודי שיש לו חוש </w:t>
      </w:r>
      <w:proofErr w:type="spellStart"/>
      <w:r w:rsidRPr="00B46B4B">
        <w:rPr>
          <w:rFonts w:hint="cs"/>
          <w:rtl/>
        </w:rPr>
        <w:t>אמיתי</w:t>
      </w:r>
      <w:proofErr w:type="spellEnd"/>
      <w:r w:rsidRPr="00B46B4B">
        <w:rPr>
          <w:rFonts w:hint="cs"/>
          <w:rtl/>
        </w:rPr>
        <w:t xml:space="preserve"> באהבת הגוף ואהבת הנפש</w:t>
      </w:r>
      <w:r w:rsidRPr="00C37DFC">
        <w:rPr>
          <w:rStyle w:val="a5"/>
          <w:rtl/>
        </w:rPr>
        <w:endnoteReference w:id="7"/>
      </w:r>
      <w:r w:rsidRPr="00B46B4B">
        <w:rPr>
          <w:rFonts w:hint="cs"/>
          <w:rtl/>
        </w:rPr>
        <w:t xml:space="preserve"> – מי שבאופן הקריאה ישדר לבני הזוג את העומק והעדינות אליה יש להגיע גם באהבה זו, הנתפסת כחיצונית יחסית. </w:t>
      </w:r>
    </w:p>
    <w:p w:rsidR="00327214" w:rsidRPr="00B46B4B" w:rsidRDefault="00327214" w:rsidP="00327214">
      <w:pPr>
        <w:rPr>
          <w:rFonts w:hint="cs"/>
          <w:rtl/>
        </w:rPr>
      </w:pPr>
      <w:r>
        <w:rPr>
          <w:rFonts w:hint="cs"/>
          <w:rtl/>
        </w:rPr>
        <w:lastRenderedPageBreak/>
        <w:t>כפי שניתן לשער, אהבת הגוף והנפש החיונית נוטה</w:t>
      </w:r>
      <w:r w:rsidRPr="00B46B4B">
        <w:rPr>
          <w:rFonts w:hint="cs"/>
          <w:rtl/>
        </w:rPr>
        <w:t xml:space="preserve"> להתערב עם </w:t>
      </w:r>
      <w:proofErr w:type="spellStart"/>
      <w:r w:rsidRPr="00B46B4B">
        <w:rPr>
          <w:rFonts w:hint="cs"/>
          <w:rtl/>
        </w:rPr>
        <w:t>תאוה</w:t>
      </w:r>
      <w:proofErr w:type="spellEnd"/>
      <w:r w:rsidRPr="00B46B4B">
        <w:rPr>
          <w:rFonts w:hint="cs"/>
          <w:rtl/>
        </w:rPr>
        <w:t xml:space="preserve"> גופני</w:t>
      </w:r>
      <w:r>
        <w:rPr>
          <w:rFonts w:hint="cs"/>
          <w:rtl/>
        </w:rPr>
        <w:t xml:space="preserve">ת ודחפים חייתיים במובנם הפשוט. דווקא משום כך, </w:t>
      </w:r>
      <w:r w:rsidRPr="00B46B4B">
        <w:rPr>
          <w:rFonts w:hint="cs"/>
          <w:rtl/>
        </w:rPr>
        <w:t xml:space="preserve">זהו </w:t>
      </w:r>
      <w:r>
        <w:rPr>
          <w:rFonts w:hint="cs"/>
          <w:rtl/>
        </w:rPr>
        <w:t xml:space="preserve">בדיוק </w:t>
      </w:r>
      <w:r w:rsidRPr="00B46B4B">
        <w:rPr>
          <w:rFonts w:hint="cs"/>
          <w:rtl/>
        </w:rPr>
        <w:t xml:space="preserve">המקום בו נדרש להעלות את האש הזרה של </w:t>
      </w:r>
      <w:proofErr w:type="spellStart"/>
      <w:r w:rsidRPr="00B46B4B">
        <w:rPr>
          <w:rFonts w:hint="cs"/>
          <w:rtl/>
        </w:rPr>
        <w:t>התאוה</w:t>
      </w:r>
      <w:proofErr w:type="spellEnd"/>
      <w:r w:rsidRPr="00B46B4B">
        <w:rPr>
          <w:rFonts w:hint="cs"/>
          <w:rtl/>
        </w:rPr>
        <w:t xml:space="preserve"> הגשמית לאש קדש של אהבת איש ואשה שהשכינה שורה ביניהם</w:t>
      </w:r>
      <w:r w:rsidRPr="00C37DFC">
        <w:rPr>
          <w:rStyle w:val="a5"/>
          <w:rtl/>
        </w:rPr>
        <w:endnoteReference w:id="8"/>
      </w:r>
      <w:r w:rsidRPr="00B46B4B">
        <w:rPr>
          <w:rFonts w:hint="cs"/>
          <w:rtl/>
        </w:rPr>
        <w:t>. גם כאן, ראשית התיקון היא "</w:t>
      </w:r>
      <w:proofErr w:type="spellStart"/>
      <w:r w:rsidRPr="00B46B4B">
        <w:rPr>
          <w:rFonts w:hint="cs"/>
          <w:rtl/>
        </w:rPr>
        <w:t>אוירת</w:t>
      </w:r>
      <w:proofErr w:type="spellEnd"/>
      <w:r w:rsidRPr="00B46B4B">
        <w:rPr>
          <w:rFonts w:hint="cs"/>
          <w:rtl/>
        </w:rPr>
        <w:t xml:space="preserve"> כתובה" – התמקדות בחובות כלפי הזולת, בצורך לספק את צרכיו ולגרום לו הנאה ושמחה. ככל </w:t>
      </w:r>
      <w:proofErr w:type="spellStart"/>
      <w:r w:rsidRPr="00B46B4B">
        <w:rPr>
          <w:rFonts w:hint="cs"/>
          <w:rtl/>
        </w:rPr>
        <w:t>שהתאוה</w:t>
      </w:r>
      <w:proofErr w:type="spellEnd"/>
      <w:r w:rsidRPr="00B46B4B">
        <w:rPr>
          <w:rFonts w:hint="cs"/>
          <w:rtl/>
        </w:rPr>
        <w:t xml:space="preserve"> האישית נדחקת לטובת סיפוק צרכי הז</w:t>
      </w:r>
      <w:r>
        <w:rPr>
          <w:rFonts w:hint="cs"/>
          <w:rtl/>
        </w:rPr>
        <w:t>ולת היא נעשית עדינה ורגישה יותר.</w:t>
      </w:r>
      <w:r w:rsidRPr="00B46B4B">
        <w:rPr>
          <w:rFonts w:hint="cs"/>
          <w:rtl/>
        </w:rPr>
        <w:t xml:space="preserve"> היא מתהפכת אט אט </w:t>
      </w:r>
      <w:proofErr w:type="spellStart"/>
      <w:r w:rsidRPr="00B46B4B">
        <w:rPr>
          <w:rFonts w:hint="cs"/>
          <w:rtl/>
        </w:rPr>
        <w:t>מתאוה</w:t>
      </w:r>
      <w:proofErr w:type="spellEnd"/>
      <w:r w:rsidRPr="00B46B4B">
        <w:rPr>
          <w:rFonts w:hint="cs"/>
          <w:rtl/>
        </w:rPr>
        <w:t xml:space="preserve"> אישית ואינטר</w:t>
      </w:r>
      <w:r>
        <w:rPr>
          <w:rFonts w:hint="cs"/>
          <w:rtl/>
        </w:rPr>
        <w:t>סנטית אל גופו וחיוניותו של מישהו ל</w:t>
      </w:r>
      <w:r w:rsidRPr="00B46B4B">
        <w:rPr>
          <w:rFonts w:hint="cs"/>
          <w:rtl/>
        </w:rPr>
        <w:t xml:space="preserve">אהבה </w:t>
      </w:r>
      <w:proofErr w:type="spellStart"/>
      <w:r w:rsidRPr="00B46B4B">
        <w:rPr>
          <w:rFonts w:hint="cs"/>
          <w:rtl/>
        </w:rPr>
        <w:t>אמיתית</w:t>
      </w:r>
      <w:proofErr w:type="spellEnd"/>
      <w:r w:rsidRPr="00B46B4B">
        <w:rPr>
          <w:rFonts w:hint="cs"/>
          <w:rtl/>
        </w:rPr>
        <w:t xml:space="preserve"> כלפיו, כשהרצון הטוב והרגישות לזולת מאפשרים לחשוף רבדים עמוקים יותר ויותר ברמה זו של אהבה.</w:t>
      </w:r>
    </w:p>
    <w:p w:rsidR="005F4A47" w:rsidRDefault="00806392">
      <w:bookmarkStart w:id="2" w:name="_GoBack"/>
      <w:bookmarkEnd w:id="2"/>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6392" w:rsidRDefault="00806392" w:rsidP="00327214">
      <w:pPr>
        <w:spacing w:after="0" w:line="240" w:lineRule="auto"/>
      </w:pPr>
      <w:r>
        <w:separator/>
      </w:r>
    </w:p>
  </w:endnote>
  <w:endnote w:type="continuationSeparator" w:id="0">
    <w:p w:rsidR="00806392" w:rsidRDefault="00806392" w:rsidP="00327214">
      <w:pPr>
        <w:spacing w:after="0" w:line="240" w:lineRule="auto"/>
      </w:pPr>
      <w:r>
        <w:continuationSeparator/>
      </w:r>
    </w:p>
  </w:endnote>
  <w:endnote w:id="1">
    <w:p w:rsidR="00327214" w:rsidRDefault="00327214" w:rsidP="00327214">
      <w:pPr>
        <w:pStyle w:val="a3"/>
        <w:rPr>
          <w:rFonts w:hint="cs"/>
          <w:rtl/>
        </w:rPr>
      </w:pPr>
      <w:r>
        <w:rPr>
          <w:rtl/>
        </w:rPr>
        <w:tab/>
      </w:r>
      <w:r w:rsidRPr="004377AB">
        <w:rPr>
          <w:rtl/>
        </w:rPr>
        <w:endnoteRef/>
      </w:r>
      <w:r>
        <w:rPr>
          <w:rtl/>
        </w:rPr>
        <w:t>.</w:t>
      </w:r>
      <w:r>
        <w:rPr>
          <w:rtl/>
        </w:rPr>
        <w:tab/>
      </w:r>
      <w:r>
        <w:rPr>
          <w:rFonts w:hint="cs"/>
          <w:rtl/>
        </w:rPr>
        <w:t xml:space="preserve">ראה שמואל-א כ, </w:t>
      </w:r>
      <w:proofErr w:type="spellStart"/>
      <w:r>
        <w:rPr>
          <w:rFonts w:hint="cs"/>
          <w:rtl/>
        </w:rPr>
        <w:t>יז</w:t>
      </w:r>
      <w:proofErr w:type="spellEnd"/>
      <w:r>
        <w:rPr>
          <w:rFonts w:hint="cs"/>
          <w:rtl/>
        </w:rPr>
        <w:t>.</w:t>
      </w:r>
    </w:p>
  </w:endnote>
  <w:endnote w:id="2">
    <w:p w:rsidR="00327214" w:rsidRDefault="00327214" w:rsidP="00327214">
      <w:pPr>
        <w:pStyle w:val="a3"/>
        <w:rPr>
          <w:rFonts w:hint="cs"/>
          <w:rtl/>
        </w:rPr>
      </w:pPr>
      <w:r>
        <w:rPr>
          <w:rtl/>
        </w:rPr>
        <w:tab/>
      </w:r>
      <w:r w:rsidRPr="004377AB">
        <w:rPr>
          <w:rtl/>
        </w:rPr>
        <w:endnoteRef/>
      </w:r>
      <w:r>
        <w:rPr>
          <w:rtl/>
        </w:rPr>
        <w:t>.</w:t>
      </w:r>
      <w:r>
        <w:rPr>
          <w:rtl/>
        </w:rPr>
        <w:tab/>
      </w:r>
      <w:r>
        <w:rPr>
          <w:rFonts w:hint="cs"/>
          <w:rtl/>
        </w:rPr>
        <w:t xml:space="preserve">ראה, לדוגמה, בראשית </w:t>
      </w:r>
      <w:proofErr w:type="spellStart"/>
      <w:r>
        <w:rPr>
          <w:rFonts w:hint="cs"/>
          <w:rtl/>
        </w:rPr>
        <w:t>כג</w:t>
      </w:r>
      <w:proofErr w:type="spellEnd"/>
      <w:r>
        <w:rPr>
          <w:rFonts w:hint="cs"/>
          <w:rtl/>
        </w:rPr>
        <w:t>, ח (וברש"י שם).</w:t>
      </w:r>
    </w:p>
  </w:endnote>
  <w:endnote w:id="3">
    <w:p w:rsidR="00327214" w:rsidRPr="00A36ACE" w:rsidRDefault="00327214" w:rsidP="00327214">
      <w:pPr>
        <w:pStyle w:val="a3"/>
        <w:rPr>
          <w:rFonts w:hint="cs"/>
          <w:rtl/>
        </w:rPr>
      </w:pPr>
      <w:r>
        <w:rPr>
          <w:rtl/>
        </w:rPr>
        <w:tab/>
      </w:r>
      <w:r w:rsidRPr="004377AB">
        <w:rPr>
          <w:rtl/>
        </w:rPr>
        <w:endnoteRef/>
      </w:r>
      <w:r>
        <w:rPr>
          <w:rtl/>
        </w:rPr>
        <w:t>.</w:t>
      </w:r>
      <w:r>
        <w:rPr>
          <w:rtl/>
        </w:rPr>
        <w:tab/>
      </w:r>
      <w:r>
        <w:rPr>
          <w:rFonts w:hint="cs"/>
          <w:rtl/>
        </w:rPr>
        <w:t xml:space="preserve">שיר השירים ו, ט (וראה גם בתורה הקודמת על הקשר של "אחת" </w:t>
      </w:r>
      <w:proofErr w:type="spellStart"/>
      <w:r>
        <w:rPr>
          <w:rFonts w:hint="cs"/>
          <w:rtl/>
        </w:rPr>
        <w:t>ל"אחֹתי</w:t>
      </w:r>
      <w:proofErr w:type="spellEnd"/>
      <w:r w:rsidRPr="00A36ACE">
        <w:rPr>
          <w:rFonts w:hint="cs"/>
          <w:rtl/>
        </w:rPr>
        <w:t xml:space="preserve">", והרמז: </w:t>
      </w:r>
      <w:r w:rsidRPr="00A36ACE">
        <w:rPr>
          <w:rFonts w:hint="cs"/>
          <w:b/>
          <w:bCs/>
          <w:sz w:val="24"/>
          <w:szCs w:val="24"/>
          <w:rtl/>
        </w:rPr>
        <w:t>אהבת</w:t>
      </w:r>
      <w:r w:rsidRPr="00A36ACE">
        <w:rPr>
          <w:rFonts w:hint="cs"/>
          <w:rtl/>
        </w:rPr>
        <w:t xml:space="preserve"> </w:t>
      </w:r>
      <w:r w:rsidRPr="00A36ACE">
        <w:rPr>
          <w:rFonts w:hint="cs"/>
          <w:b/>
          <w:bCs/>
          <w:sz w:val="24"/>
          <w:szCs w:val="24"/>
          <w:rtl/>
        </w:rPr>
        <w:t>נפש</w:t>
      </w:r>
      <w:r w:rsidRPr="00A36ACE">
        <w:rPr>
          <w:rFonts w:hint="cs"/>
          <w:rtl/>
        </w:rPr>
        <w:t xml:space="preserve"> עולה </w:t>
      </w:r>
      <w:r w:rsidRPr="00A36ACE">
        <w:rPr>
          <w:rFonts w:hint="cs"/>
          <w:b/>
          <w:bCs/>
          <w:sz w:val="24"/>
          <w:szCs w:val="24"/>
          <w:rtl/>
        </w:rPr>
        <w:t>ב</w:t>
      </w:r>
      <w:r w:rsidRPr="00A36ACE">
        <w:rPr>
          <w:rFonts w:hint="cs"/>
          <w:rtl/>
        </w:rPr>
        <w:t xml:space="preserve"> פעמים – היינו שזה ממוצע כל אחת משתי המלים – "</w:t>
      </w:r>
      <w:proofErr w:type="spellStart"/>
      <w:r w:rsidRPr="00A36ACE">
        <w:rPr>
          <w:rFonts w:hint="cs"/>
          <w:b/>
          <w:bCs/>
          <w:sz w:val="24"/>
          <w:szCs w:val="24"/>
          <w:rtl/>
        </w:rPr>
        <w:t>אח</w:t>
      </w:r>
      <w:r w:rsidRPr="00A36ACE">
        <w:rPr>
          <w:rFonts w:hint="cs"/>
          <w:rtl/>
        </w:rPr>
        <w:t>ֹ</w:t>
      </w:r>
      <w:r w:rsidRPr="00A36ACE">
        <w:rPr>
          <w:rFonts w:hint="cs"/>
          <w:b/>
          <w:bCs/>
          <w:sz w:val="24"/>
          <w:szCs w:val="24"/>
          <w:rtl/>
        </w:rPr>
        <w:t>תי</w:t>
      </w:r>
      <w:proofErr w:type="spellEnd"/>
      <w:r w:rsidRPr="00A36ACE">
        <w:rPr>
          <w:rFonts w:hint="cs"/>
          <w:rtl/>
        </w:rPr>
        <w:t>").</w:t>
      </w:r>
    </w:p>
  </w:endnote>
  <w:endnote w:id="4">
    <w:p w:rsidR="00327214" w:rsidRDefault="00327214" w:rsidP="00327214">
      <w:pPr>
        <w:pStyle w:val="a3"/>
        <w:rPr>
          <w:rFonts w:hint="cs"/>
          <w:rtl/>
        </w:rPr>
      </w:pPr>
      <w:r>
        <w:rPr>
          <w:rtl/>
        </w:rPr>
        <w:tab/>
      </w:r>
      <w:r w:rsidRPr="004377AB">
        <w:rPr>
          <w:rtl/>
        </w:rPr>
        <w:endnoteRef/>
      </w:r>
      <w:r>
        <w:rPr>
          <w:rtl/>
        </w:rPr>
        <w:t>.</w:t>
      </w:r>
      <w:r>
        <w:rPr>
          <w:rtl/>
        </w:rPr>
        <w:tab/>
      </w:r>
      <w:proofErr w:type="spellStart"/>
      <w:r>
        <w:rPr>
          <w:rFonts w:hint="cs"/>
          <w:rtl/>
        </w:rPr>
        <w:t>לקוטי</w:t>
      </w:r>
      <w:proofErr w:type="spellEnd"/>
      <w:r>
        <w:rPr>
          <w:rFonts w:hint="cs"/>
          <w:rtl/>
        </w:rPr>
        <w:t xml:space="preserve"> תורה בהר לט, ג והלאה. ראה לעיל שער ג בתורה "</w:t>
      </w:r>
      <w:proofErr w:type="spellStart"/>
      <w:r>
        <w:rPr>
          <w:rFonts w:hint="cs"/>
          <w:rtl/>
        </w:rPr>
        <w:t>אחתי</w:t>
      </w:r>
      <w:proofErr w:type="spellEnd"/>
      <w:r>
        <w:rPr>
          <w:rFonts w:hint="cs"/>
          <w:rtl/>
        </w:rPr>
        <w:t xml:space="preserve"> רעיתי יונתי </w:t>
      </w:r>
      <w:proofErr w:type="spellStart"/>
      <w:r>
        <w:rPr>
          <w:rFonts w:hint="cs"/>
          <w:rtl/>
        </w:rPr>
        <w:t>תמתי</w:t>
      </w:r>
      <w:proofErr w:type="spellEnd"/>
      <w:r>
        <w:rPr>
          <w:rFonts w:hint="cs"/>
          <w:rtl/>
        </w:rPr>
        <w:t>".</w:t>
      </w:r>
    </w:p>
  </w:endnote>
  <w:endnote w:id="5">
    <w:p w:rsidR="00327214" w:rsidRDefault="00327214" w:rsidP="00327214">
      <w:pPr>
        <w:pStyle w:val="a3"/>
        <w:rPr>
          <w:rFonts w:hint="cs"/>
          <w:rtl/>
        </w:rPr>
      </w:pPr>
      <w:r>
        <w:rPr>
          <w:rtl/>
        </w:rPr>
        <w:tab/>
      </w:r>
      <w:r w:rsidRPr="004377AB">
        <w:rPr>
          <w:rtl/>
        </w:rPr>
        <w:endnoteRef/>
      </w:r>
      <w:r>
        <w:rPr>
          <w:rtl/>
        </w:rPr>
        <w:t>.</w:t>
      </w:r>
      <w:r>
        <w:rPr>
          <w:rtl/>
        </w:rPr>
        <w:tab/>
      </w:r>
      <w:proofErr w:type="spellStart"/>
      <w:r>
        <w:rPr>
          <w:rFonts w:hint="cs"/>
          <w:rtl/>
        </w:rPr>
        <w:t>לקוטי</w:t>
      </w:r>
      <w:proofErr w:type="spellEnd"/>
      <w:r>
        <w:rPr>
          <w:rFonts w:hint="cs"/>
          <w:rtl/>
        </w:rPr>
        <w:t xml:space="preserve"> תורה שם מ, ג והלאה, וראה בתורה "</w:t>
      </w:r>
      <w:proofErr w:type="spellStart"/>
      <w:r>
        <w:rPr>
          <w:rFonts w:hint="cs"/>
          <w:rtl/>
        </w:rPr>
        <w:t>אחתי</w:t>
      </w:r>
      <w:proofErr w:type="spellEnd"/>
      <w:r>
        <w:rPr>
          <w:rFonts w:hint="cs"/>
          <w:rtl/>
        </w:rPr>
        <w:t xml:space="preserve"> רעיתי יונתי </w:t>
      </w:r>
      <w:proofErr w:type="spellStart"/>
      <w:r>
        <w:rPr>
          <w:rFonts w:hint="cs"/>
          <w:rtl/>
        </w:rPr>
        <w:t>תמתי</w:t>
      </w:r>
      <w:proofErr w:type="spellEnd"/>
      <w:r>
        <w:rPr>
          <w:rFonts w:hint="cs"/>
          <w:rtl/>
        </w:rPr>
        <w:t>" הנ"ל.</w:t>
      </w:r>
    </w:p>
  </w:endnote>
  <w:endnote w:id="6">
    <w:p w:rsidR="00327214" w:rsidRDefault="00327214" w:rsidP="00327214">
      <w:pPr>
        <w:pStyle w:val="a3"/>
        <w:rPr>
          <w:rFonts w:hint="cs"/>
          <w:rtl/>
        </w:rPr>
      </w:pPr>
      <w:r>
        <w:rPr>
          <w:rtl/>
        </w:rPr>
        <w:tab/>
      </w:r>
      <w:r w:rsidRPr="004377AB">
        <w:rPr>
          <w:rtl/>
        </w:rPr>
        <w:endnoteRef/>
      </w:r>
      <w:r>
        <w:rPr>
          <w:rtl/>
        </w:rPr>
        <w:t>.</w:t>
      </w:r>
      <w:r>
        <w:rPr>
          <w:rtl/>
        </w:rPr>
        <w:tab/>
      </w:r>
      <w:r>
        <w:rPr>
          <w:rFonts w:hint="cs"/>
          <w:rtl/>
        </w:rPr>
        <w:t xml:space="preserve">משלי </w:t>
      </w:r>
      <w:proofErr w:type="spellStart"/>
      <w:r>
        <w:rPr>
          <w:rFonts w:hint="cs"/>
          <w:rtl/>
        </w:rPr>
        <w:t>כז</w:t>
      </w:r>
      <w:proofErr w:type="spellEnd"/>
      <w:r>
        <w:rPr>
          <w:rFonts w:hint="cs"/>
          <w:rtl/>
        </w:rPr>
        <w:t xml:space="preserve">, </w:t>
      </w:r>
      <w:proofErr w:type="spellStart"/>
      <w:r>
        <w:rPr>
          <w:rFonts w:hint="cs"/>
          <w:rtl/>
        </w:rPr>
        <w:t>יט</w:t>
      </w:r>
      <w:proofErr w:type="spellEnd"/>
      <w:r>
        <w:rPr>
          <w:rFonts w:hint="cs"/>
          <w:rtl/>
        </w:rPr>
        <w:t>.</w:t>
      </w:r>
    </w:p>
  </w:endnote>
  <w:endnote w:id="7">
    <w:p w:rsidR="00327214" w:rsidRDefault="00327214" w:rsidP="00327214">
      <w:pPr>
        <w:pStyle w:val="a3"/>
        <w:rPr>
          <w:rFonts w:hint="cs"/>
          <w:rtl/>
        </w:rPr>
      </w:pPr>
      <w:r>
        <w:rPr>
          <w:rtl/>
        </w:rPr>
        <w:tab/>
      </w:r>
      <w:r w:rsidRPr="004377AB">
        <w:rPr>
          <w:rtl/>
        </w:rPr>
        <w:endnoteRef/>
      </w:r>
      <w:r>
        <w:rPr>
          <w:rtl/>
        </w:rPr>
        <w:t>.</w:t>
      </w:r>
      <w:r>
        <w:rPr>
          <w:rtl/>
        </w:rPr>
        <w:tab/>
      </w:r>
      <w:r>
        <w:rPr>
          <w:rFonts w:hint="cs"/>
          <w:rtl/>
        </w:rPr>
        <w:t xml:space="preserve">וראה </w:t>
      </w:r>
      <w:r>
        <w:rPr>
          <w:rtl/>
        </w:rPr>
        <w:t>–</w:t>
      </w:r>
      <w:r>
        <w:rPr>
          <w:rFonts w:hint="cs"/>
          <w:rtl/>
        </w:rPr>
        <w:t xml:space="preserve"> באופן אחר קצת </w:t>
      </w:r>
      <w:r>
        <w:rPr>
          <w:rtl/>
        </w:rPr>
        <w:t>–</w:t>
      </w:r>
      <w:r>
        <w:rPr>
          <w:rFonts w:hint="cs"/>
          <w:rtl/>
        </w:rPr>
        <w:t xml:space="preserve"> לעיל שער ב בתורה "שלש כוסות".</w:t>
      </w:r>
    </w:p>
  </w:endnote>
  <w:endnote w:id="8">
    <w:p w:rsidR="00327214" w:rsidRDefault="00327214" w:rsidP="00327214">
      <w:pPr>
        <w:pStyle w:val="a3"/>
        <w:rPr>
          <w:rFonts w:hint="cs"/>
          <w:rtl/>
        </w:rPr>
      </w:pPr>
      <w:r>
        <w:rPr>
          <w:rtl/>
        </w:rPr>
        <w:tab/>
      </w:r>
      <w:r w:rsidRPr="004377AB">
        <w:rPr>
          <w:rtl/>
        </w:rPr>
        <w:endnoteRef/>
      </w:r>
      <w:r>
        <w:rPr>
          <w:rtl/>
        </w:rPr>
        <w:t>.</w:t>
      </w:r>
      <w:r>
        <w:rPr>
          <w:rtl/>
        </w:rPr>
        <w:tab/>
      </w:r>
      <w:r>
        <w:rPr>
          <w:rFonts w:hint="cs"/>
          <w:rtl/>
        </w:rPr>
        <w:t xml:space="preserve">וראה ראה </w:t>
      </w:r>
      <w:proofErr w:type="spellStart"/>
      <w:r>
        <w:rPr>
          <w:rFonts w:hint="cs"/>
          <w:rtl/>
        </w:rPr>
        <w:t>תקוני</w:t>
      </w:r>
      <w:proofErr w:type="spellEnd"/>
      <w:r>
        <w:rPr>
          <w:rFonts w:hint="cs"/>
          <w:rtl/>
        </w:rPr>
        <w:t xml:space="preserve"> זהר </w:t>
      </w:r>
      <w:proofErr w:type="spellStart"/>
      <w:r>
        <w:rPr>
          <w:rFonts w:hint="cs"/>
          <w:rtl/>
        </w:rPr>
        <w:t>תקון</w:t>
      </w:r>
      <w:proofErr w:type="spellEnd"/>
      <w:r>
        <w:rPr>
          <w:rFonts w:hint="cs"/>
          <w:rtl/>
        </w:rPr>
        <w:t xml:space="preserve"> </w:t>
      </w:r>
      <w:proofErr w:type="spellStart"/>
      <w:r>
        <w:rPr>
          <w:rFonts w:hint="cs"/>
          <w:rtl/>
        </w:rPr>
        <w:t>טז</w:t>
      </w:r>
      <w:proofErr w:type="spellEnd"/>
      <w:r>
        <w:rPr>
          <w:rFonts w:hint="cs"/>
          <w:rtl/>
        </w:rPr>
        <w:t xml:space="preserve">, ראשית חכמה שער הקדושה פרקים </w:t>
      </w:r>
      <w:proofErr w:type="spellStart"/>
      <w:r>
        <w:rPr>
          <w:rFonts w:hint="cs"/>
          <w:rtl/>
        </w:rPr>
        <w:t>טז-יז</w:t>
      </w:r>
      <w:proofErr w:type="spellEnd"/>
      <w:r>
        <w:rPr>
          <w:rFonts w:hint="cs"/>
          <w:rtl/>
        </w:rPr>
        <w:t xml:space="preserve"> (הפרקים שנוהגים חתנים ללמוד קודם לנישואין) ובהקדמת שכינה ביניהם. ראה גם לעיל שער ו בתורה "אש תמיד".</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Guttman-Soncino"/>
    <w:charset w:val="B1"/>
    <w:family w:val="auto"/>
    <w:pitch w:val="variable"/>
    <w:sig w:usb0="00001801" w:usb1="4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6392" w:rsidRDefault="00806392" w:rsidP="00327214">
      <w:pPr>
        <w:spacing w:after="0" w:line="240" w:lineRule="auto"/>
      </w:pPr>
      <w:r>
        <w:separator/>
      </w:r>
    </w:p>
  </w:footnote>
  <w:footnote w:type="continuationSeparator" w:id="0">
    <w:p w:rsidR="00806392" w:rsidRDefault="00806392" w:rsidP="0032721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2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AA2"/>
    <w:rsid w:val="00061E65"/>
    <w:rsid w:val="00327214"/>
    <w:rsid w:val="00806392"/>
    <w:rsid w:val="00933AA2"/>
    <w:rsid w:val="00AC23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327214"/>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327214"/>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327214"/>
    <w:rPr>
      <w:rFonts w:ascii="DF Calligraphic Ornaments LET" w:eastAsia="Times New Roman" w:hAnsi="DF Calligraphic Ornaments LET" w:cs="Guttman Soncino"/>
      <w:noProof/>
      <w:spacing w:val="20"/>
      <w:w w:val="90"/>
      <w:kern w:val="28"/>
      <w:sz w:val="44"/>
      <w:szCs w:val="46"/>
    </w:rPr>
  </w:style>
  <w:style w:type="paragraph" w:styleId="a3">
    <w:name w:val="endnote text"/>
    <w:aliases w:val="Endnote Text"/>
    <w:basedOn w:val="a"/>
    <w:link w:val="a4"/>
    <w:semiHidden/>
    <w:rsid w:val="00327214"/>
    <w:pPr>
      <w:tabs>
        <w:tab w:val="right" w:pos="266"/>
        <w:tab w:val="left" w:pos="340"/>
      </w:tabs>
      <w:spacing w:after="20" w:line="260" w:lineRule="exact"/>
      <w:ind w:left="340" w:hanging="340"/>
    </w:pPr>
    <w:rPr>
      <w:sz w:val="20"/>
      <w:szCs w:val="23"/>
    </w:rPr>
  </w:style>
  <w:style w:type="character" w:customStyle="1" w:styleId="a4">
    <w:name w:val="טקסט הערת סיום תו"/>
    <w:basedOn w:val="a0"/>
    <w:link w:val="a3"/>
    <w:semiHidden/>
    <w:rsid w:val="00327214"/>
    <w:rPr>
      <w:rFonts w:ascii="Times New Roman" w:eastAsia="Times New Roman" w:hAnsi="Times New Roman" w:cs="FrankRuehl"/>
      <w:sz w:val="20"/>
      <w:szCs w:val="23"/>
      <w:lang w:eastAsia="he-IL"/>
    </w:rPr>
  </w:style>
  <w:style w:type="character" w:styleId="a5">
    <w:name w:val="endnote reference"/>
    <w:aliases w:val="Endnote Reference"/>
    <w:basedOn w:val="a6"/>
    <w:semiHidden/>
    <w:rsid w:val="00327214"/>
    <w:rPr>
      <w:noProof/>
      <w:position w:val="-4"/>
      <w:szCs w:val="27"/>
      <w:vertAlign w:val="superscript"/>
    </w:rPr>
  </w:style>
  <w:style w:type="paragraph" w:customStyle="1" w:styleId="a7">
    <w:name w:val="פתיח תו"/>
    <w:basedOn w:val="a"/>
    <w:link w:val="a8"/>
    <w:rsid w:val="00327214"/>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8">
    <w:name w:val="פתיח תו תו"/>
    <w:basedOn w:val="a0"/>
    <w:link w:val="a7"/>
    <w:rsid w:val="00327214"/>
    <w:rPr>
      <w:rFonts w:ascii="Times New Roman" w:eastAsia="Times New Roman" w:hAnsi="Times New Roman" w:cs="Guttman Soncino"/>
      <w:b/>
      <w:bCs/>
      <w:color w:val="808080"/>
      <w:position w:val="-5"/>
      <w:sz w:val="85"/>
      <w:szCs w:val="85"/>
      <w:lang w:eastAsia="he-IL"/>
    </w:rPr>
  </w:style>
  <w:style w:type="character" w:styleId="a6">
    <w:name w:val="footnote reference"/>
    <w:basedOn w:val="a0"/>
    <w:uiPriority w:val="99"/>
    <w:semiHidden/>
    <w:unhideWhenUsed/>
    <w:rsid w:val="0032721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327214"/>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327214"/>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327214"/>
    <w:rPr>
      <w:rFonts w:ascii="DF Calligraphic Ornaments LET" w:eastAsia="Times New Roman" w:hAnsi="DF Calligraphic Ornaments LET" w:cs="Guttman Soncino"/>
      <w:noProof/>
      <w:spacing w:val="20"/>
      <w:w w:val="90"/>
      <w:kern w:val="28"/>
      <w:sz w:val="44"/>
      <w:szCs w:val="46"/>
    </w:rPr>
  </w:style>
  <w:style w:type="paragraph" w:styleId="a3">
    <w:name w:val="endnote text"/>
    <w:aliases w:val="Endnote Text"/>
    <w:basedOn w:val="a"/>
    <w:link w:val="a4"/>
    <w:semiHidden/>
    <w:rsid w:val="00327214"/>
    <w:pPr>
      <w:tabs>
        <w:tab w:val="right" w:pos="266"/>
        <w:tab w:val="left" w:pos="340"/>
      </w:tabs>
      <w:spacing w:after="20" w:line="260" w:lineRule="exact"/>
      <w:ind w:left="340" w:hanging="340"/>
    </w:pPr>
    <w:rPr>
      <w:sz w:val="20"/>
      <w:szCs w:val="23"/>
    </w:rPr>
  </w:style>
  <w:style w:type="character" w:customStyle="1" w:styleId="a4">
    <w:name w:val="טקסט הערת סיום תו"/>
    <w:basedOn w:val="a0"/>
    <w:link w:val="a3"/>
    <w:semiHidden/>
    <w:rsid w:val="00327214"/>
    <w:rPr>
      <w:rFonts w:ascii="Times New Roman" w:eastAsia="Times New Roman" w:hAnsi="Times New Roman" w:cs="FrankRuehl"/>
      <w:sz w:val="20"/>
      <w:szCs w:val="23"/>
      <w:lang w:eastAsia="he-IL"/>
    </w:rPr>
  </w:style>
  <w:style w:type="character" w:styleId="a5">
    <w:name w:val="endnote reference"/>
    <w:aliases w:val="Endnote Reference"/>
    <w:basedOn w:val="a6"/>
    <w:semiHidden/>
    <w:rsid w:val="00327214"/>
    <w:rPr>
      <w:noProof/>
      <w:position w:val="-4"/>
      <w:szCs w:val="27"/>
      <w:vertAlign w:val="superscript"/>
    </w:rPr>
  </w:style>
  <w:style w:type="paragraph" w:customStyle="1" w:styleId="a7">
    <w:name w:val="פתיח תו"/>
    <w:basedOn w:val="a"/>
    <w:link w:val="a8"/>
    <w:rsid w:val="00327214"/>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8">
    <w:name w:val="פתיח תו תו"/>
    <w:basedOn w:val="a0"/>
    <w:link w:val="a7"/>
    <w:rsid w:val="00327214"/>
    <w:rPr>
      <w:rFonts w:ascii="Times New Roman" w:eastAsia="Times New Roman" w:hAnsi="Times New Roman" w:cs="Guttman Soncino"/>
      <w:b/>
      <w:bCs/>
      <w:color w:val="808080"/>
      <w:position w:val="-5"/>
      <w:sz w:val="85"/>
      <w:szCs w:val="85"/>
      <w:lang w:eastAsia="he-IL"/>
    </w:rPr>
  </w:style>
  <w:style w:type="character" w:styleId="a6">
    <w:name w:val="footnote reference"/>
    <w:basedOn w:val="a0"/>
    <w:uiPriority w:val="99"/>
    <w:semiHidden/>
    <w:unhideWhenUsed/>
    <w:rsid w:val="0032721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439</Words>
  <Characters>2196</Characters>
  <Application>Microsoft Office Word</Application>
  <DocSecurity>0</DocSecurity>
  <Lines>18</Lines>
  <Paragraphs>5</Paragraphs>
  <ScaleCrop>false</ScaleCrop>
  <Company/>
  <LinksUpToDate>false</LinksUpToDate>
  <CharactersWithSpaces>2630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2017-08-15T16:50:00Z</dcterms:created>
  <dcterms:modified xsi:type="dcterms:W3CDTF">2017-08-15T16:50:00Z</dcterms:modified>
</cp:coreProperties>
</file>