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E5B" w:rsidRPr="00B46B4B" w:rsidRDefault="006C2E5B" w:rsidP="006C2E5B">
      <w:pPr>
        <w:pStyle w:val="2"/>
        <w:rPr>
          <w:rFonts w:hint="cs"/>
          <w:rtl/>
        </w:rPr>
      </w:pPr>
      <w:bookmarkStart w:id="0" w:name="_Toc188281764"/>
      <w:bookmarkStart w:id="1" w:name="_Ref188282209"/>
      <w:r w:rsidRPr="00B46B4B">
        <w:rPr>
          <w:rFonts w:hint="cs"/>
          <w:rtl/>
        </w:rPr>
        <w:t>רוח חן</w:t>
      </w:r>
      <w:bookmarkEnd w:id="0"/>
      <w:bookmarkEnd w:id="1"/>
    </w:p>
    <w:p w:rsidR="006C2E5B" w:rsidRPr="00EC3D1D" w:rsidRDefault="006C2E5B" w:rsidP="006C2E5B">
      <w:pPr>
        <w:keepNext/>
        <w:framePr w:dropCap="drop" w:lines="2" w:hSpace="57" w:wrap="around" w:vAnchor="text" w:hAnchor="text" w:xAlign="right"/>
        <w:spacing w:after="0" w:line="760" w:lineRule="exact"/>
        <w:textAlignment w:val="baseline"/>
        <w:rPr>
          <w:rStyle w:val="a9"/>
          <w:rtl/>
        </w:rPr>
      </w:pPr>
      <w:r w:rsidRPr="00EC3D1D">
        <w:rPr>
          <w:rStyle w:val="a9"/>
          <w:rFonts w:hint="cs"/>
          <w:rtl/>
        </w:rPr>
        <w:t>מ</w:t>
      </w:r>
    </w:p>
    <w:p w:rsidR="006C2E5B" w:rsidRDefault="006C2E5B" w:rsidP="006C2E5B">
      <w:pPr>
        <w:rPr>
          <w:rFonts w:hint="cs"/>
          <w:rtl/>
        </w:rPr>
      </w:pPr>
      <w:r w:rsidRPr="00B46B4B">
        <w:rPr>
          <w:rFonts w:hint="cs"/>
          <w:rtl/>
        </w:rPr>
        <w:t xml:space="preserve">שמעות עיקרית של רוח היא התעוררות </w:t>
      </w:r>
      <w:r w:rsidRPr="00B46B4B">
        <w:rPr>
          <w:rtl/>
        </w:rPr>
        <w:t>–</w:t>
      </w:r>
      <w:r>
        <w:rPr>
          <w:rFonts w:hint="cs"/>
          <w:rtl/>
        </w:rPr>
        <w:t xml:space="preserve"> רוח חיים. </w:t>
      </w:r>
      <w:r w:rsidRPr="00B46B4B">
        <w:rPr>
          <w:rFonts w:hint="cs"/>
          <w:rtl/>
        </w:rPr>
        <w:t xml:space="preserve">אהבה בדרגת הרוח, אהבה לכלה </w:t>
      </w:r>
      <w:proofErr w:type="spellStart"/>
      <w:r w:rsidRPr="00B46B4B">
        <w:rPr>
          <w:rFonts w:hint="cs"/>
          <w:rtl/>
        </w:rPr>
        <w:t>השניה</w:t>
      </w:r>
      <w:proofErr w:type="spellEnd"/>
      <w:r w:rsidRPr="00B46B4B">
        <w:rPr>
          <w:rFonts w:hint="cs"/>
          <w:rtl/>
        </w:rPr>
        <w:t xml:space="preserve"> שבגוף, היא אהבה להתעוררות הרוח הזו. </w:t>
      </w:r>
    </w:p>
    <w:p w:rsidR="006C2E5B" w:rsidRPr="00B46B4B" w:rsidRDefault="006C2E5B" w:rsidP="006C2E5B">
      <w:pPr>
        <w:rPr>
          <w:rFonts w:hint="cs"/>
          <w:rtl/>
        </w:rPr>
      </w:pPr>
      <w:r w:rsidRPr="00B46B4B">
        <w:rPr>
          <w:rFonts w:hint="cs"/>
          <w:rtl/>
        </w:rPr>
        <w:t>תוכנה וביטויה של אהבה זו הם עידוד הרוח, המובן באופן הטוב ביותר דוו</w:t>
      </w:r>
      <w:r>
        <w:rPr>
          <w:rFonts w:hint="cs"/>
          <w:rtl/>
        </w:rPr>
        <w:t>קא מהמצב ההפוך:</w:t>
      </w:r>
      <w:r w:rsidRPr="00B46B4B">
        <w:rPr>
          <w:rFonts w:hint="cs"/>
          <w:rtl/>
        </w:rPr>
        <w:t xml:space="preserve"> פעמים רבות אנו נכשלים בדיכוי ושבירת רוחו של הזולת, בהתייחסות אל הרעיונות והדיבורים אליהם הוא מתעורר כשטויות וכיו"ב. יחס קריר או בקורתי אל הזולת מדכאים כל התעוררות שלו ושוברים את רוחו.</w:t>
      </w:r>
      <w:r>
        <w:rPr>
          <w:rFonts w:hint="cs"/>
          <w:rtl/>
        </w:rPr>
        <w:t xml:space="preserve"> </w:t>
      </w:r>
      <w:r w:rsidRPr="00B46B4B">
        <w:rPr>
          <w:rFonts w:hint="cs"/>
          <w:rtl/>
        </w:rPr>
        <w:t xml:space="preserve">לעתים דבר זה קורה </w:t>
      </w:r>
      <w:r>
        <w:rPr>
          <w:rFonts w:hint="cs"/>
          <w:rtl/>
        </w:rPr>
        <w:t xml:space="preserve">אפילו בלא יודעין, בתוך הבית, </w:t>
      </w:r>
      <w:r w:rsidRPr="00B46B4B">
        <w:rPr>
          <w:rFonts w:hint="cs"/>
          <w:rtl/>
        </w:rPr>
        <w:t>בין איש לאשתו או בין הורים לילדיהם</w:t>
      </w:r>
      <w:r>
        <w:rPr>
          <w:rFonts w:hint="cs"/>
          <w:rtl/>
        </w:rPr>
        <w:t xml:space="preserve">, או מחוצה לו, </w:t>
      </w:r>
      <w:r w:rsidRPr="00B46B4B">
        <w:rPr>
          <w:rFonts w:hint="cs"/>
          <w:rtl/>
        </w:rPr>
        <w:t>בין מחנך לחניכיו ובכלל במסגרות שונות של יחסי אנוש</w:t>
      </w:r>
      <w:r>
        <w:rPr>
          <w:rFonts w:hint="cs"/>
          <w:rtl/>
        </w:rPr>
        <w:t>.</w:t>
      </w:r>
      <w:r w:rsidRPr="00B46B4B">
        <w:rPr>
          <w:rFonts w:hint="cs"/>
          <w:rtl/>
        </w:rPr>
        <w:t xml:space="preserve"> </w:t>
      </w:r>
    </w:p>
    <w:p w:rsidR="006C2E5B" w:rsidRDefault="006C2E5B" w:rsidP="006C2E5B">
      <w:pPr>
        <w:rPr>
          <w:rFonts w:hint="cs"/>
          <w:rtl/>
        </w:rPr>
      </w:pPr>
      <w:r w:rsidRPr="00B46B4B">
        <w:rPr>
          <w:rFonts w:hint="cs"/>
          <w:rtl/>
        </w:rPr>
        <w:t xml:space="preserve">דיכוי הרוח </w:t>
      </w:r>
      <w:r>
        <w:rPr>
          <w:rFonts w:hint="cs"/>
          <w:rtl/>
        </w:rPr>
        <w:t xml:space="preserve">הוא </w:t>
      </w:r>
      <w:r w:rsidRPr="00B46B4B">
        <w:rPr>
          <w:rFonts w:hint="cs"/>
          <w:rtl/>
        </w:rPr>
        <w:t>פגיעה אנושה ביכולתו של האדם לצמוח, להתקדם אל מעבר לרובד הקיום הבסיסי שלו</w:t>
      </w:r>
      <w:r>
        <w:rPr>
          <w:rFonts w:hint="cs"/>
          <w:rtl/>
        </w:rPr>
        <w:t>,</w:t>
      </w:r>
      <w:r w:rsidRPr="00B46B4B">
        <w:rPr>
          <w:rFonts w:hint="cs"/>
          <w:rtl/>
        </w:rPr>
        <w:t xml:space="preserve"> רובד הנפש</w:t>
      </w:r>
      <w:r>
        <w:rPr>
          <w:rFonts w:hint="cs"/>
          <w:rtl/>
        </w:rPr>
        <w:t>.</w:t>
      </w:r>
      <w:r w:rsidRPr="00B46B4B">
        <w:rPr>
          <w:rFonts w:hint="cs"/>
          <w:rtl/>
        </w:rPr>
        <w:t xml:space="preserve"> </w:t>
      </w:r>
      <w:r>
        <w:rPr>
          <w:rFonts w:hint="cs"/>
          <w:rtl/>
        </w:rPr>
        <w:t>יש בכך</w:t>
      </w:r>
      <w:r w:rsidRPr="00B46B4B">
        <w:rPr>
          <w:rFonts w:hint="cs"/>
          <w:rtl/>
        </w:rPr>
        <w:t xml:space="preserve"> כליאה של האדם במצב קיום שטחי</w:t>
      </w:r>
      <w:r>
        <w:rPr>
          <w:rFonts w:hint="cs"/>
          <w:rtl/>
        </w:rPr>
        <w:t xml:space="preserve">. </w:t>
      </w:r>
      <w:r w:rsidRPr="00B46B4B">
        <w:rPr>
          <w:rFonts w:hint="cs"/>
          <w:rtl/>
        </w:rPr>
        <w:t xml:space="preserve">לכן, אלימות שכזו אינה עומדת בסתירה לדאגה לצרכים הבסיסיים של הזולת, </w:t>
      </w:r>
      <w:r>
        <w:rPr>
          <w:rFonts w:hint="cs"/>
          <w:rtl/>
        </w:rPr>
        <w:t>שהוגדרו לעיל כנגזרים מאהבת נפש.</w:t>
      </w:r>
      <w:r w:rsidRPr="00B46B4B">
        <w:rPr>
          <w:rFonts w:hint="cs"/>
          <w:rtl/>
        </w:rPr>
        <w:t xml:space="preserve"> זהו רצון לשמור אותו תלוי ומוגבל, ללא רוח חיים משלו, גם אם בתנאי </w:t>
      </w:r>
      <w:r>
        <w:rPr>
          <w:rFonts w:hint="cs"/>
          <w:rtl/>
        </w:rPr>
        <w:t>הכלא האלה דואגים לו לחיים טובים</w:t>
      </w:r>
      <w:r w:rsidRPr="00B46B4B">
        <w:rPr>
          <w:rFonts w:hint="cs"/>
          <w:rtl/>
        </w:rPr>
        <w:t xml:space="preserve">. </w:t>
      </w:r>
    </w:p>
    <w:p w:rsidR="006C2E5B" w:rsidRPr="00B46B4B" w:rsidRDefault="006C2E5B" w:rsidP="006C2E5B">
      <w:pPr>
        <w:rPr>
          <w:rFonts w:hint="cs"/>
          <w:rtl/>
        </w:rPr>
      </w:pPr>
      <w:r w:rsidRPr="00B46B4B">
        <w:rPr>
          <w:rFonts w:hint="cs"/>
          <w:rtl/>
        </w:rPr>
        <w:t xml:space="preserve">יש לדעת כי גבר שמדכא את אשתו כאשר היא מתעוררת ברעיון או רגש הוא גבר אלים – אלימות מתחילה </w:t>
      </w:r>
      <w:r>
        <w:rPr>
          <w:rFonts w:hint="cs"/>
          <w:rtl/>
        </w:rPr>
        <w:t xml:space="preserve">מאופי ההתייחסות לרוחו של הזולת. </w:t>
      </w:r>
      <w:r w:rsidRPr="00B46B4B">
        <w:rPr>
          <w:rFonts w:hint="cs"/>
          <w:rtl/>
        </w:rPr>
        <w:t>כמובן, אין לגברים 'מונופול' על אלימות מסוג זה, והיא עלו</w:t>
      </w:r>
      <w:r>
        <w:rPr>
          <w:rFonts w:hint="cs"/>
          <w:rtl/>
        </w:rPr>
        <w:t xml:space="preserve">לה להופיע גם מצד </w:t>
      </w:r>
      <w:proofErr w:type="spellStart"/>
      <w:r>
        <w:rPr>
          <w:rFonts w:hint="cs"/>
          <w:rtl/>
        </w:rPr>
        <w:t>האשה</w:t>
      </w:r>
      <w:proofErr w:type="spellEnd"/>
      <w:r>
        <w:rPr>
          <w:rFonts w:hint="cs"/>
          <w:rtl/>
        </w:rPr>
        <w:t xml:space="preserve"> כלפי בעלה</w:t>
      </w:r>
      <w:r w:rsidRPr="00B46B4B">
        <w:rPr>
          <w:rFonts w:hint="cs"/>
          <w:rtl/>
        </w:rPr>
        <w:t>. דיכוי ה</w:t>
      </w:r>
      <w:r w:rsidRPr="00B04702">
        <w:rPr>
          <w:rStyle w:val="a3"/>
          <w:rFonts w:hint="cs"/>
          <w:rtl/>
        </w:rPr>
        <w:t>רוח</w:t>
      </w:r>
      <w:r w:rsidRPr="00B46B4B">
        <w:rPr>
          <w:rFonts w:hint="cs"/>
          <w:rtl/>
        </w:rPr>
        <w:t xml:space="preserve"> פוגע בחוש ה</w:t>
      </w:r>
      <w:r w:rsidRPr="00B04702">
        <w:rPr>
          <w:rStyle w:val="a3"/>
          <w:rFonts w:hint="cs"/>
          <w:rtl/>
        </w:rPr>
        <w:t>ריח</w:t>
      </w:r>
      <w:r>
        <w:rPr>
          <w:rFonts w:hint="cs"/>
          <w:rtl/>
        </w:rPr>
        <w:t xml:space="preserve">. חוש הריח רגיש לפלאים שאינם נתפסים בחושים המגושמים והמוחשיים יותר, ולכן </w:t>
      </w:r>
      <w:r w:rsidRPr="00B46B4B">
        <w:rPr>
          <w:rFonts w:hint="cs"/>
          <w:rtl/>
        </w:rPr>
        <w:t>הוא החוש הפנימי הדרוש לזיווג מתוקן</w:t>
      </w:r>
      <w:r w:rsidRPr="00C37DFC">
        <w:rPr>
          <w:rStyle w:val="a6"/>
          <w:rtl/>
        </w:rPr>
        <w:endnoteReference w:id="1"/>
      </w:r>
      <w:r w:rsidRPr="00B46B4B">
        <w:rPr>
          <w:rFonts w:hint="cs"/>
          <w:rtl/>
        </w:rPr>
        <w:t>.</w:t>
      </w:r>
      <w:r>
        <w:rPr>
          <w:rFonts w:hint="cs"/>
          <w:rtl/>
        </w:rPr>
        <w:t xml:space="preserve"> בחוש זה </w:t>
      </w:r>
      <w:r w:rsidRPr="00B46B4B">
        <w:rPr>
          <w:rFonts w:hint="cs"/>
          <w:rtl/>
        </w:rPr>
        <w:t>ניתן לזכות ליעוד</w:t>
      </w:r>
      <w:r>
        <w:rPr>
          <w:rFonts w:hint="cs"/>
          <w:rtl/>
        </w:rPr>
        <w:t xml:space="preserve"> המשיחי של</w:t>
      </w:r>
      <w:r w:rsidRPr="00B46B4B">
        <w:rPr>
          <w:rFonts w:hint="cs"/>
          <w:rtl/>
        </w:rPr>
        <w:t xml:space="preserve"> "והריחו ב[</w:t>
      </w:r>
      <w:proofErr w:type="spellStart"/>
      <w:r w:rsidRPr="00B46B4B">
        <w:rPr>
          <w:rFonts w:hint="cs"/>
          <w:rtl/>
        </w:rPr>
        <w:t>אשה</w:t>
      </w:r>
      <w:proofErr w:type="spellEnd"/>
      <w:r w:rsidRPr="00B46B4B">
        <w:rPr>
          <w:rFonts w:hint="cs"/>
          <w:rtl/>
        </w:rPr>
        <w:t xml:space="preserve"> ]יראת הוי'"</w:t>
      </w:r>
      <w:r w:rsidRPr="00C37DFC">
        <w:rPr>
          <w:rStyle w:val="a6"/>
          <w:rtl/>
        </w:rPr>
        <w:endnoteReference w:id="2"/>
      </w:r>
      <w:r>
        <w:rPr>
          <w:rFonts w:hint="cs"/>
          <w:rtl/>
        </w:rPr>
        <w:t>.</w:t>
      </w:r>
    </w:p>
    <w:p w:rsidR="006C2E5B" w:rsidRDefault="006C2E5B" w:rsidP="006C2E5B">
      <w:pPr>
        <w:rPr>
          <w:rFonts w:hint="cs"/>
          <w:rtl/>
        </w:rPr>
      </w:pPr>
      <w:r w:rsidRPr="00B46B4B">
        <w:rPr>
          <w:rFonts w:hint="cs"/>
          <w:rtl/>
        </w:rPr>
        <w:t xml:space="preserve">ההיפוך של כל זה הוא בעידוד </w:t>
      </w:r>
      <w:r>
        <w:rPr>
          <w:rFonts w:hint="cs"/>
          <w:rtl/>
        </w:rPr>
        <w:t>רוחו והתעוררותו של בן/בת הזוג. עידוד כזה בא מתוך אהבת הרוח, מתוך</w:t>
      </w:r>
      <w:r w:rsidRPr="00B46B4B">
        <w:rPr>
          <w:rFonts w:hint="eastAsia"/>
          <w:rtl/>
        </w:rPr>
        <w:t xml:space="preserve"> התחושה כי התחתנתי </w:t>
      </w:r>
      <w:proofErr w:type="spellStart"/>
      <w:r w:rsidRPr="00B46B4B">
        <w:rPr>
          <w:rFonts w:hint="cs"/>
          <w:rtl/>
        </w:rPr>
        <w:t>איתך</w:t>
      </w:r>
      <w:proofErr w:type="spellEnd"/>
      <w:r w:rsidRPr="00B46B4B">
        <w:rPr>
          <w:rFonts w:hint="cs"/>
          <w:rtl/>
        </w:rPr>
        <w:t xml:space="preserve"> בגלל שראיתי שיש לך רוח, רעיונות חדשים, מעוף וחיוניות. רוח חיים שכזו מוצאת חן, וכל אחד מחפש לעצמו בן/בת זוג עם מעוף. כמובן, מי שאוהב את הרוח, את ההתעוררות של הזולת, איננו מדכא אותה חלילה. </w:t>
      </w:r>
    </w:p>
    <w:p w:rsidR="006C2E5B" w:rsidRPr="00B46B4B" w:rsidRDefault="006C2E5B" w:rsidP="006C2E5B">
      <w:pPr>
        <w:rPr>
          <w:rFonts w:hint="cs"/>
          <w:rtl/>
        </w:rPr>
      </w:pPr>
      <w:r w:rsidRPr="00B46B4B">
        <w:rPr>
          <w:rFonts w:hint="cs"/>
          <w:rtl/>
        </w:rPr>
        <w:t>אהבה זו גורמת לכך שאפילו כאשר יש בקורת על תוכנה של ההתעוררות, התגובה הראשונית היא עידוד ושמחה – התלהבות משותפת, ילדותית אפילו, מעצם התעוררות</w:t>
      </w:r>
      <w:r>
        <w:rPr>
          <w:rFonts w:hint="cs"/>
          <w:rtl/>
        </w:rPr>
        <w:t xml:space="preserve">ו של רעיון חדש או </w:t>
      </w:r>
      <w:proofErr w:type="spellStart"/>
      <w:r>
        <w:rPr>
          <w:rFonts w:hint="cs"/>
          <w:rtl/>
        </w:rPr>
        <w:t>חויה</w:t>
      </w:r>
      <w:proofErr w:type="spellEnd"/>
      <w:r>
        <w:rPr>
          <w:rFonts w:hint="cs"/>
          <w:rtl/>
        </w:rPr>
        <w:t xml:space="preserve"> רגשית. </w:t>
      </w:r>
      <w:r w:rsidRPr="00B46B4B">
        <w:rPr>
          <w:rFonts w:hint="cs"/>
          <w:rtl/>
        </w:rPr>
        <w:t>רק מאוחר יותר, כאשר ההתעוררות מצטננת מעט ומחפשת ביטוי מעשי, יש מקום להבעת הסתייגות ובקורת באופן מתוקן</w:t>
      </w:r>
      <w:r w:rsidRPr="00C37DFC">
        <w:rPr>
          <w:rStyle w:val="a6"/>
          <w:rtl/>
        </w:rPr>
        <w:endnoteReference w:id="3"/>
      </w:r>
      <w:r>
        <w:rPr>
          <w:rFonts w:hint="cs"/>
          <w:rtl/>
        </w:rPr>
        <w:t xml:space="preserve"> ולהצעת חלופות מתאימות (</w:t>
      </w:r>
      <w:r w:rsidRPr="00B46B4B">
        <w:rPr>
          <w:rFonts w:hint="cs"/>
          <w:rtl/>
        </w:rPr>
        <w:t xml:space="preserve">המעידות גם הן על החבה לרוח החיים ועל הרצון לעורר ולשמר אותה, גם אם באפיקים אחרים). </w:t>
      </w:r>
    </w:p>
    <w:p w:rsidR="006C2E5B" w:rsidRPr="00B46B4B" w:rsidRDefault="006C2E5B" w:rsidP="006C2E5B">
      <w:pPr>
        <w:rPr>
          <w:rFonts w:hint="cs"/>
          <w:rtl/>
        </w:rPr>
      </w:pPr>
      <w:r w:rsidRPr="00B46B4B">
        <w:rPr>
          <w:rFonts w:hint="cs"/>
          <w:rtl/>
        </w:rPr>
        <w:t>יתר על כן, מי שאוה</w:t>
      </w:r>
      <w:r>
        <w:rPr>
          <w:rFonts w:hint="cs"/>
          <w:rtl/>
        </w:rPr>
        <w:t>ב את רוחו של הזולת מחפש רוח כזו.</w:t>
      </w:r>
      <w:r w:rsidRPr="00B46B4B">
        <w:rPr>
          <w:rFonts w:hint="eastAsia"/>
          <w:rtl/>
        </w:rPr>
        <w:t xml:space="preserve"> אין זו רק אהבה כלפי גילויי רוח, מתוך הסכמה אליהם, אלא משיכה של גילויים כאלה ועידוד שלהם מראש. </w:t>
      </w:r>
      <w:r w:rsidRPr="00B46B4B">
        <w:rPr>
          <w:rFonts w:hint="cs"/>
          <w:rtl/>
        </w:rPr>
        <w:t xml:space="preserve">כך הוא טבעה של אהבת "רוח </w:t>
      </w:r>
      <w:r w:rsidRPr="00B46B4B">
        <w:rPr>
          <w:rFonts w:hint="cs"/>
          <w:rtl/>
        </w:rPr>
        <w:lastRenderedPageBreak/>
        <w:t>חן ותחנונים"</w:t>
      </w:r>
      <w:r w:rsidRPr="00C37DFC">
        <w:rPr>
          <w:rStyle w:val="a6"/>
          <w:rtl/>
        </w:rPr>
        <w:endnoteReference w:id="4"/>
      </w:r>
      <w:r w:rsidRPr="00B46B4B">
        <w:rPr>
          <w:rFonts w:hint="cs"/>
          <w:rtl/>
        </w:rPr>
        <w:t xml:space="preserve"> </w:t>
      </w:r>
      <w:r w:rsidRPr="00B46B4B">
        <w:rPr>
          <w:rFonts w:hint="eastAsia"/>
          <w:rtl/>
        </w:rPr>
        <w:t xml:space="preserve">– </w:t>
      </w:r>
      <w:r w:rsidRPr="00B46B4B">
        <w:rPr>
          <w:rFonts w:hint="cs"/>
          <w:rtl/>
        </w:rPr>
        <w:t>מי שהרוח נושאת חן בעיניו מתחנן לגילוי של מעט רוח, ומעודד אותה בכל דרך. אז הדינמיק</w:t>
      </w:r>
      <w:r w:rsidRPr="00B46B4B">
        <w:rPr>
          <w:rFonts w:hint="eastAsia"/>
          <w:rtl/>
        </w:rPr>
        <w:t>ה</w:t>
      </w:r>
      <w:r w:rsidRPr="00B46B4B">
        <w:rPr>
          <w:rFonts w:hint="cs"/>
          <w:rtl/>
        </w:rPr>
        <w:t xml:space="preserve"> בין בני הזוג היא בסוד "רוח [הנקבה המתעוררת מלמטה] אייתי רוח [הזכר, המעורר ומעודד אותה] ואמשיך רוח [של השותף השלישי השורה ביניהם]"</w:t>
      </w:r>
      <w:r w:rsidRPr="00C37DFC">
        <w:rPr>
          <w:rStyle w:val="a6"/>
          <w:rtl/>
        </w:rPr>
        <w:endnoteReference w:id="5"/>
      </w:r>
      <w:r>
        <w:rPr>
          <w:rFonts w:hint="cs"/>
          <w:rtl/>
        </w:rPr>
        <w:t xml:space="preserve">. תוצאת </w:t>
      </w:r>
      <w:r w:rsidRPr="00B46B4B">
        <w:rPr>
          <w:rFonts w:hint="cs"/>
          <w:rtl/>
        </w:rPr>
        <w:t xml:space="preserve">יחוד </w:t>
      </w:r>
      <w:r>
        <w:rPr>
          <w:rFonts w:hint="cs"/>
          <w:rtl/>
        </w:rPr>
        <w:t xml:space="preserve">זה </w:t>
      </w:r>
      <w:r w:rsidRPr="00B46B4B">
        <w:rPr>
          <w:rFonts w:hint="cs"/>
          <w:rtl/>
        </w:rPr>
        <w:t>היא הגילוי של "ונחה עליו רוח הוי' רוח חכמה ובינה רוח עצה וגבורה רוח דעת ויראת הוי'"</w:t>
      </w:r>
      <w:r w:rsidRPr="00C37DFC">
        <w:rPr>
          <w:rStyle w:val="a6"/>
          <w:rtl/>
        </w:rPr>
        <w:endnoteReference w:id="6"/>
      </w:r>
      <w:r w:rsidRPr="00B46B4B">
        <w:rPr>
          <w:rFonts w:hint="cs"/>
          <w:rtl/>
        </w:rPr>
        <w:t xml:space="preserve"> האמור ב"רוח אפינו משיח הוי'"</w:t>
      </w:r>
      <w:r w:rsidRPr="00C37DFC">
        <w:rPr>
          <w:rStyle w:val="a6"/>
          <w:rtl/>
        </w:rPr>
        <w:endnoteReference w:id="7"/>
      </w:r>
      <w:r>
        <w:rPr>
          <w:rFonts w:hint="cs"/>
          <w:rtl/>
        </w:rPr>
        <w:t xml:space="preserve">. </w:t>
      </w:r>
      <w:r w:rsidRPr="00B46B4B">
        <w:rPr>
          <w:rFonts w:hint="cs"/>
          <w:rtl/>
        </w:rPr>
        <w:t>לפי זה</w:t>
      </w:r>
      <w:r>
        <w:rPr>
          <w:rFonts w:hint="cs"/>
          <w:rtl/>
        </w:rPr>
        <w:t>,</w:t>
      </w:r>
      <w:r w:rsidRPr="00B46B4B">
        <w:rPr>
          <w:rFonts w:hint="cs"/>
          <w:rtl/>
        </w:rPr>
        <w:t xml:space="preserve"> כל דיכוי רוח גורם </w:t>
      </w:r>
      <w:proofErr w:type="spellStart"/>
      <w:r w:rsidRPr="00B46B4B">
        <w:rPr>
          <w:rFonts w:hint="cs"/>
          <w:rtl/>
        </w:rPr>
        <w:t>לדחית</w:t>
      </w:r>
      <w:proofErr w:type="spellEnd"/>
      <w:r w:rsidRPr="00B46B4B">
        <w:rPr>
          <w:rFonts w:hint="cs"/>
          <w:rtl/>
        </w:rPr>
        <w:t xml:space="preserve"> הקץ, בבחינת "לא זכו 'בעתה'"</w:t>
      </w:r>
      <w:bookmarkStart w:id="2" w:name="_Ref187692123"/>
      <w:r w:rsidRPr="00C37DFC">
        <w:rPr>
          <w:rStyle w:val="a6"/>
          <w:rtl/>
        </w:rPr>
        <w:endnoteReference w:id="8"/>
      </w:r>
      <w:bookmarkEnd w:id="2"/>
      <w:r w:rsidRPr="00B46B4B">
        <w:rPr>
          <w:rFonts w:hint="cs"/>
          <w:rtl/>
        </w:rPr>
        <w:t>, ואילו כל עידוד הרוח הוא בבחינת "זכו '</w:t>
      </w:r>
      <w:proofErr w:type="spellStart"/>
      <w:r w:rsidRPr="00B46B4B">
        <w:rPr>
          <w:rFonts w:hint="cs"/>
          <w:rtl/>
        </w:rPr>
        <w:t>אחישנה</w:t>
      </w:r>
      <w:proofErr w:type="spellEnd"/>
      <w:r w:rsidRPr="00B46B4B">
        <w:rPr>
          <w:rFonts w:hint="cs"/>
          <w:rtl/>
        </w:rPr>
        <w:t>'"</w:t>
      </w:r>
      <w:r w:rsidRPr="00B46B4B">
        <w:rPr>
          <w:rStyle w:val="a6"/>
          <w:rtl/>
        </w:rPr>
        <w:fldChar w:fldCharType="begin"/>
      </w:r>
      <w:r w:rsidRPr="00B46B4B">
        <w:rPr>
          <w:rStyle w:val="a6"/>
          <w:rtl/>
        </w:rPr>
        <w:instrText xml:space="preserve"> </w:instrText>
      </w:r>
      <w:r w:rsidRPr="00B46B4B">
        <w:rPr>
          <w:rStyle w:val="a6"/>
          <w:rFonts w:hint="cs"/>
        </w:rPr>
        <w:instrText>NOTEREF</w:instrText>
      </w:r>
      <w:r w:rsidRPr="00B46B4B">
        <w:rPr>
          <w:rStyle w:val="a6"/>
          <w:rFonts w:hint="cs"/>
          <w:rtl/>
        </w:rPr>
        <w:instrText xml:space="preserve"> _</w:instrText>
      </w:r>
      <w:r w:rsidRPr="00B46B4B">
        <w:rPr>
          <w:rStyle w:val="a6"/>
          <w:rFonts w:hint="cs"/>
        </w:rPr>
        <w:instrText>Ref187692123 \h</w:instrText>
      </w:r>
      <w:r w:rsidRPr="00B46B4B">
        <w:rPr>
          <w:rStyle w:val="a6"/>
          <w:rtl/>
        </w:rPr>
        <w:instrText xml:space="preserve"> </w:instrText>
      </w:r>
      <w:r w:rsidRPr="00B46B4B">
        <w:rPr>
          <w:rStyle w:val="a6"/>
        </w:rPr>
      </w:r>
      <w:r w:rsidRPr="00B46B4B">
        <w:rPr>
          <w:rStyle w:val="a6"/>
          <w:rtl/>
        </w:rPr>
        <w:instrText xml:space="preserve"> \* </w:instrText>
      </w:r>
      <w:r w:rsidRPr="00B46B4B">
        <w:rPr>
          <w:rStyle w:val="a6"/>
        </w:rPr>
        <w:instrText>MERGEFORMAT</w:instrText>
      </w:r>
      <w:r w:rsidRPr="00B46B4B">
        <w:rPr>
          <w:rStyle w:val="a6"/>
          <w:rtl/>
        </w:rPr>
        <w:instrText xml:space="preserve"> </w:instrText>
      </w:r>
      <w:r w:rsidRPr="00B46B4B">
        <w:rPr>
          <w:rStyle w:val="a6"/>
          <w:rtl/>
        </w:rPr>
        <w:fldChar w:fldCharType="separate"/>
      </w:r>
      <w:r>
        <w:rPr>
          <w:rStyle w:val="a6"/>
          <w:rtl/>
        </w:rPr>
        <w:t>ח</w:t>
      </w:r>
      <w:r w:rsidRPr="00B46B4B">
        <w:rPr>
          <w:rStyle w:val="a6"/>
          <w:rtl/>
        </w:rPr>
        <w:fldChar w:fldCharType="end"/>
      </w:r>
      <w:r w:rsidRPr="00B46B4B">
        <w:rPr>
          <w:rFonts w:hint="cs"/>
          <w:rtl/>
        </w:rPr>
        <w:t>.</w:t>
      </w:r>
    </w:p>
    <w:p w:rsidR="005F4A47" w:rsidRDefault="00856192">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192" w:rsidRDefault="00856192" w:rsidP="006C2E5B">
      <w:pPr>
        <w:spacing w:after="0" w:line="240" w:lineRule="auto"/>
      </w:pPr>
      <w:r>
        <w:separator/>
      </w:r>
    </w:p>
  </w:endnote>
  <w:endnote w:type="continuationSeparator" w:id="0">
    <w:p w:rsidR="00856192" w:rsidRDefault="00856192" w:rsidP="006C2E5B">
      <w:pPr>
        <w:spacing w:after="0" w:line="240" w:lineRule="auto"/>
      </w:pPr>
      <w:r>
        <w:continuationSeparator/>
      </w:r>
    </w:p>
  </w:endnote>
  <w:endnote w:id="1">
    <w:p w:rsidR="006C2E5B" w:rsidRDefault="006C2E5B" w:rsidP="006C2E5B">
      <w:pPr>
        <w:pStyle w:val="a4"/>
        <w:rPr>
          <w:rFonts w:hint="cs"/>
          <w:rtl/>
        </w:rPr>
      </w:pPr>
      <w:r>
        <w:rPr>
          <w:rtl/>
        </w:rPr>
        <w:tab/>
      </w:r>
      <w:r w:rsidRPr="004377AB">
        <w:rPr>
          <w:rtl/>
        </w:rPr>
        <w:endnoteRef/>
      </w:r>
      <w:r>
        <w:rPr>
          <w:rtl/>
        </w:rPr>
        <w:t>.</w:t>
      </w:r>
      <w:r>
        <w:rPr>
          <w:rtl/>
        </w:rPr>
        <w:tab/>
      </w:r>
      <w:r>
        <w:rPr>
          <w:rFonts w:hint="cs"/>
          <w:rtl/>
        </w:rPr>
        <w:t xml:space="preserve">ראה גם בספר בעתה </w:t>
      </w:r>
      <w:proofErr w:type="spellStart"/>
      <w:r>
        <w:rPr>
          <w:rFonts w:hint="cs"/>
          <w:rtl/>
        </w:rPr>
        <w:t>אחישנה</w:t>
      </w:r>
      <w:proofErr w:type="spellEnd"/>
      <w:r>
        <w:rPr>
          <w:rFonts w:hint="cs"/>
          <w:rtl/>
        </w:rPr>
        <w:t xml:space="preserve"> פ"ז הערה א.</w:t>
      </w:r>
    </w:p>
  </w:endnote>
  <w:endnote w:id="2">
    <w:p w:rsidR="006C2E5B" w:rsidRDefault="006C2E5B" w:rsidP="006C2E5B">
      <w:pPr>
        <w:pStyle w:val="a4"/>
        <w:rPr>
          <w:rFonts w:hint="cs"/>
        </w:rPr>
      </w:pPr>
      <w:r>
        <w:rPr>
          <w:rtl/>
        </w:rPr>
        <w:tab/>
      </w:r>
      <w:r w:rsidRPr="004377AB">
        <w:rPr>
          <w:rtl/>
        </w:rPr>
        <w:endnoteRef/>
      </w:r>
      <w:r>
        <w:rPr>
          <w:rtl/>
        </w:rPr>
        <w:t>.</w:t>
      </w:r>
      <w:r>
        <w:rPr>
          <w:rtl/>
        </w:rPr>
        <w:tab/>
      </w:r>
      <w:r>
        <w:rPr>
          <w:rFonts w:hint="cs"/>
          <w:rtl/>
        </w:rPr>
        <w:t>ישעיה יא, ג.</w:t>
      </w:r>
    </w:p>
  </w:endnote>
  <w:endnote w:id="3">
    <w:p w:rsidR="006C2E5B" w:rsidRDefault="006C2E5B" w:rsidP="006C2E5B">
      <w:pPr>
        <w:pStyle w:val="a4"/>
        <w:rPr>
          <w:rFonts w:hint="cs"/>
          <w:rtl/>
        </w:rPr>
      </w:pPr>
      <w:r>
        <w:rPr>
          <w:rtl/>
        </w:rPr>
        <w:tab/>
      </w:r>
      <w:r w:rsidRPr="004377AB">
        <w:rPr>
          <w:rtl/>
        </w:rPr>
        <w:endnoteRef/>
      </w:r>
      <w:r>
        <w:rPr>
          <w:rtl/>
        </w:rPr>
        <w:t>.</w:t>
      </w:r>
      <w:r>
        <w:rPr>
          <w:rtl/>
        </w:rPr>
        <w:tab/>
      </w:r>
      <w:r>
        <w:rPr>
          <w:rFonts w:hint="cs"/>
          <w:rtl/>
        </w:rPr>
        <w:t>ראה שכינה ביניהם פ"ב בסוג הדיבור השני, שכנגד הגבורה.</w:t>
      </w:r>
    </w:p>
  </w:endnote>
  <w:endnote w:id="4">
    <w:p w:rsidR="006C2E5B" w:rsidRDefault="006C2E5B" w:rsidP="006C2E5B">
      <w:pPr>
        <w:pStyle w:val="a4"/>
        <w:rPr>
          <w:rFonts w:hint="cs"/>
          <w:rtl/>
        </w:rPr>
      </w:pPr>
      <w:r>
        <w:rPr>
          <w:rtl/>
        </w:rPr>
        <w:tab/>
      </w:r>
      <w:r w:rsidRPr="004377AB">
        <w:rPr>
          <w:rtl/>
        </w:rPr>
        <w:endnoteRef/>
      </w:r>
      <w:r>
        <w:rPr>
          <w:rtl/>
        </w:rPr>
        <w:t>.</w:t>
      </w:r>
      <w:r>
        <w:rPr>
          <w:rtl/>
        </w:rPr>
        <w:tab/>
      </w:r>
      <w:r>
        <w:rPr>
          <w:rFonts w:hint="cs"/>
          <w:rtl/>
        </w:rPr>
        <w:t xml:space="preserve">זכריה </w:t>
      </w:r>
      <w:proofErr w:type="spellStart"/>
      <w:r>
        <w:rPr>
          <w:rFonts w:hint="cs"/>
          <w:rtl/>
        </w:rPr>
        <w:t>יב</w:t>
      </w:r>
      <w:proofErr w:type="spellEnd"/>
      <w:r>
        <w:rPr>
          <w:rFonts w:hint="cs"/>
          <w:rtl/>
        </w:rPr>
        <w:t>, י.</w:t>
      </w:r>
    </w:p>
  </w:endnote>
  <w:endnote w:id="5">
    <w:p w:rsidR="006C2E5B" w:rsidRDefault="006C2E5B" w:rsidP="006C2E5B">
      <w:pPr>
        <w:pStyle w:val="a4"/>
        <w:rPr>
          <w:rFonts w:hint="cs"/>
          <w:rtl/>
        </w:rPr>
      </w:pPr>
      <w:r>
        <w:rPr>
          <w:rtl/>
        </w:rPr>
        <w:tab/>
      </w:r>
      <w:r w:rsidRPr="004377AB">
        <w:rPr>
          <w:rtl/>
        </w:rPr>
        <w:endnoteRef/>
      </w:r>
      <w:r>
        <w:rPr>
          <w:rtl/>
        </w:rPr>
        <w:t>.</w:t>
      </w:r>
      <w:r>
        <w:rPr>
          <w:rtl/>
        </w:rPr>
        <w:tab/>
      </w:r>
      <w:r>
        <w:rPr>
          <w:rFonts w:hint="cs"/>
          <w:rtl/>
        </w:rPr>
        <w:t xml:space="preserve">ראה זהר </w:t>
      </w:r>
      <w:proofErr w:type="spellStart"/>
      <w:r>
        <w:rPr>
          <w:rFonts w:hint="cs"/>
          <w:rtl/>
        </w:rPr>
        <w:t>ח"ב</w:t>
      </w:r>
      <w:proofErr w:type="spellEnd"/>
      <w:r>
        <w:rPr>
          <w:rFonts w:hint="cs"/>
          <w:rtl/>
        </w:rPr>
        <w:t xml:space="preserve"> </w:t>
      </w:r>
      <w:proofErr w:type="spellStart"/>
      <w:r>
        <w:rPr>
          <w:rFonts w:hint="cs"/>
          <w:rtl/>
        </w:rPr>
        <w:t>קסב</w:t>
      </w:r>
      <w:proofErr w:type="spellEnd"/>
      <w:r>
        <w:rPr>
          <w:rFonts w:hint="cs"/>
          <w:rtl/>
        </w:rPr>
        <w:t xml:space="preserve">, ב (ובלשון זו הובא בריבוי מקומות בספרי החסידות </w:t>
      </w:r>
      <w:r>
        <w:rPr>
          <w:rtl/>
        </w:rPr>
        <w:t>–</w:t>
      </w:r>
      <w:r>
        <w:rPr>
          <w:rFonts w:hint="cs"/>
          <w:rtl/>
        </w:rPr>
        <w:t xml:space="preserve"> ראה לדוגמה תניא </w:t>
      </w:r>
      <w:proofErr w:type="spellStart"/>
      <w:r>
        <w:rPr>
          <w:rFonts w:hint="cs"/>
          <w:rtl/>
        </w:rPr>
        <w:t>פמ"ז</w:t>
      </w:r>
      <w:proofErr w:type="spellEnd"/>
      <w:r>
        <w:rPr>
          <w:rFonts w:hint="cs"/>
          <w:rtl/>
        </w:rPr>
        <w:t xml:space="preserve"> </w:t>
      </w:r>
      <w:proofErr w:type="spellStart"/>
      <w:r>
        <w:rPr>
          <w:rFonts w:hint="cs"/>
          <w:rtl/>
        </w:rPr>
        <w:t>ואגה"ק</w:t>
      </w:r>
      <w:proofErr w:type="spellEnd"/>
      <w:r>
        <w:rPr>
          <w:rFonts w:hint="cs"/>
          <w:rtl/>
        </w:rPr>
        <w:t xml:space="preserve"> </w:t>
      </w:r>
      <w:proofErr w:type="spellStart"/>
      <w:r>
        <w:rPr>
          <w:rFonts w:hint="cs"/>
          <w:rtl/>
        </w:rPr>
        <w:t>כז</w:t>
      </w:r>
      <w:proofErr w:type="spellEnd"/>
      <w:r>
        <w:rPr>
          <w:rFonts w:hint="cs"/>
          <w:rtl/>
        </w:rPr>
        <w:t>).</w:t>
      </w:r>
    </w:p>
  </w:endnote>
  <w:endnote w:id="6">
    <w:p w:rsidR="006C2E5B" w:rsidRDefault="006C2E5B" w:rsidP="006C2E5B">
      <w:pPr>
        <w:pStyle w:val="a4"/>
        <w:rPr>
          <w:rFonts w:hint="cs"/>
          <w:rtl/>
        </w:rPr>
      </w:pPr>
      <w:r>
        <w:rPr>
          <w:rtl/>
        </w:rPr>
        <w:tab/>
      </w:r>
      <w:r w:rsidRPr="004377AB">
        <w:rPr>
          <w:rtl/>
        </w:rPr>
        <w:endnoteRef/>
      </w:r>
      <w:r>
        <w:rPr>
          <w:rtl/>
        </w:rPr>
        <w:t>.</w:t>
      </w:r>
      <w:r>
        <w:rPr>
          <w:rtl/>
        </w:rPr>
        <w:tab/>
      </w:r>
      <w:r>
        <w:rPr>
          <w:rFonts w:hint="cs"/>
          <w:rtl/>
        </w:rPr>
        <w:t>ישעיה יא, ב.</w:t>
      </w:r>
    </w:p>
  </w:endnote>
  <w:endnote w:id="7">
    <w:p w:rsidR="006C2E5B" w:rsidRDefault="006C2E5B" w:rsidP="006C2E5B">
      <w:pPr>
        <w:pStyle w:val="a4"/>
        <w:rPr>
          <w:rFonts w:hint="cs"/>
          <w:rtl/>
        </w:rPr>
      </w:pPr>
      <w:r>
        <w:rPr>
          <w:rtl/>
        </w:rPr>
        <w:tab/>
      </w:r>
      <w:r w:rsidRPr="004377AB">
        <w:rPr>
          <w:rtl/>
        </w:rPr>
        <w:endnoteRef/>
      </w:r>
      <w:r>
        <w:rPr>
          <w:rtl/>
        </w:rPr>
        <w:t>.</w:t>
      </w:r>
      <w:r>
        <w:rPr>
          <w:rtl/>
        </w:rPr>
        <w:tab/>
      </w:r>
      <w:r>
        <w:rPr>
          <w:rFonts w:hint="cs"/>
          <w:rtl/>
        </w:rPr>
        <w:t>איכה ד, כ.</w:t>
      </w:r>
    </w:p>
  </w:endnote>
  <w:endnote w:id="8">
    <w:p w:rsidR="006C2E5B" w:rsidRDefault="006C2E5B" w:rsidP="006C2E5B">
      <w:pPr>
        <w:pStyle w:val="a4"/>
        <w:rPr>
          <w:rFonts w:hint="cs"/>
          <w:rtl/>
        </w:rPr>
      </w:pPr>
      <w:r>
        <w:rPr>
          <w:rtl/>
        </w:rPr>
        <w:tab/>
      </w:r>
      <w:r w:rsidRPr="004377AB">
        <w:rPr>
          <w:rtl/>
        </w:rPr>
        <w:endnoteRef/>
      </w:r>
      <w:r>
        <w:rPr>
          <w:rtl/>
        </w:rPr>
        <w:t>.</w:t>
      </w:r>
      <w:r>
        <w:rPr>
          <w:rtl/>
        </w:rPr>
        <w:tab/>
      </w:r>
      <w:r>
        <w:rPr>
          <w:rFonts w:hint="cs"/>
          <w:rtl/>
        </w:rPr>
        <w:t xml:space="preserve">סנהדרין צח, א (וראה באורך בספר בעתה </w:t>
      </w:r>
      <w:proofErr w:type="spellStart"/>
      <w:r>
        <w:rPr>
          <w:rFonts w:hint="cs"/>
          <w:rtl/>
        </w:rPr>
        <w:t>אחישנה</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Guttman-Soncino"/>
    <w:charset w:val="B1"/>
    <w:family w:val="auto"/>
    <w:pitch w:val="variable"/>
    <w:sig w:usb0="00001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192" w:rsidRDefault="00856192" w:rsidP="006C2E5B">
      <w:pPr>
        <w:spacing w:after="0" w:line="240" w:lineRule="auto"/>
      </w:pPr>
      <w:r>
        <w:separator/>
      </w:r>
    </w:p>
  </w:footnote>
  <w:footnote w:type="continuationSeparator" w:id="0">
    <w:p w:rsidR="00856192" w:rsidRDefault="00856192" w:rsidP="006C2E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F52"/>
    <w:rsid w:val="00061E65"/>
    <w:rsid w:val="006C2E5B"/>
    <w:rsid w:val="00856192"/>
    <w:rsid w:val="00AC2310"/>
    <w:rsid w:val="00B80F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C2E5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C2E5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C2E5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6C2E5B"/>
    <w:rPr>
      <w:rFonts w:cs="MiriamMFO"/>
      <w:w w:val="100"/>
      <w:sz w:val="21"/>
      <w:szCs w:val="23"/>
    </w:rPr>
  </w:style>
  <w:style w:type="paragraph" w:styleId="a4">
    <w:name w:val="endnote text"/>
    <w:aliases w:val="Endnote Text"/>
    <w:basedOn w:val="a"/>
    <w:link w:val="a5"/>
    <w:semiHidden/>
    <w:rsid w:val="006C2E5B"/>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6C2E5B"/>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6C2E5B"/>
    <w:rPr>
      <w:noProof/>
      <w:position w:val="-4"/>
      <w:szCs w:val="27"/>
      <w:vertAlign w:val="superscript"/>
    </w:rPr>
  </w:style>
  <w:style w:type="paragraph" w:customStyle="1" w:styleId="a8">
    <w:name w:val="פתיח תו"/>
    <w:basedOn w:val="a"/>
    <w:link w:val="a9"/>
    <w:rsid w:val="006C2E5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6C2E5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6C2E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6C2E5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6C2E5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6C2E5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6C2E5B"/>
    <w:rPr>
      <w:rFonts w:cs="MiriamMFO"/>
      <w:w w:val="100"/>
      <w:sz w:val="21"/>
      <w:szCs w:val="23"/>
    </w:rPr>
  </w:style>
  <w:style w:type="paragraph" w:styleId="a4">
    <w:name w:val="endnote text"/>
    <w:aliases w:val="Endnote Text"/>
    <w:basedOn w:val="a"/>
    <w:link w:val="a5"/>
    <w:semiHidden/>
    <w:rsid w:val="006C2E5B"/>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6C2E5B"/>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6C2E5B"/>
    <w:rPr>
      <w:noProof/>
      <w:position w:val="-4"/>
      <w:szCs w:val="27"/>
      <w:vertAlign w:val="superscript"/>
    </w:rPr>
  </w:style>
  <w:style w:type="paragraph" w:customStyle="1" w:styleId="a8">
    <w:name w:val="פתיח תו"/>
    <w:basedOn w:val="a"/>
    <w:link w:val="a9"/>
    <w:rsid w:val="006C2E5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6C2E5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6C2E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2209</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2017-08-15T16:50:00Z</dcterms:created>
  <dcterms:modified xsi:type="dcterms:W3CDTF">2017-08-15T16:50:00Z</dcterms:modified>
</cp:coreProperties>
</file>