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865" w:rsidRPr="00125865" w:rsidRDefault="00125865" w:rsidP="00125865">
      <w:pPr>
        <w:spacing w:before="1080" w:after="720" w:line="240" w:lineRule="auto"/>
        <w:ind w:left="-45"/>
        <w:jc w:val="right"/>
        <w:outlineLvl w:val="1"/>
        <w:rPr>
          <w:rFonts w:ascii="DF Calligraphic Ornaments LET" w:eastAsia="Times New Roman" w:hAnsi="DF Calligraphic Ornaments LET" w:cs="Guttman Soncino"/>
          <w:noProof/>
          <w:spacing w:val="20"/>
          <w:w w:val="90"/>
          <w:kern w:val="28"/>
          <w:sz w:val="44"/>
          <w:szCs w:val="46"/>
          <w:rtl/>
        </w:rPr>
      </w:pPr>
      <w:bookmarkStart w:id="0" w:name="_Toc188281731"/>
      <w:bookmarkStart w:id="1" w:name="_Ref188281974"/>
      <w:r w:rsidRPr="00125865">
        <w:rPr>
          <w:rFonts w:ascii="DF Calligraphic Ornaments LET" w:eastAsia="Times New Roman" w:hAnsi="DF Calligraphic Ornaments LET" w:cs="Guttman Soncino" w:hint="cs"/>
          <w:noProof/>
          <w:spacing w:val="20"/>
          <w:w w:val="90"/>
          <w:kern w:val="28"/>
          <w:sz w:val="44"/>
          <w:szCs w:val="46"/>
          <w:rtl/>
        </w:rPr>
        <w:t>הושיעה נא</w:t>
      </w:r>
      <w:r w:rsidRPr="00125865">
        <w:rPr>
          <w:rFonts w:ascii="Times New Roman" w:eastAsia="Times New Roman" w:hAnsi="Times New Roman" w:cs="Times New Roman" w:hint="cs"/>
          <w:noProof/>
          <w:spacing w:val="20"/>
          <w:w w:val="90"/>
          <w:kern w:val="28"/>
          <w:sz w:val="44"/>
          <w:szCs w:val="46"/>
          <w:rtl/>
        </w:rPr>
        <w:t>…</w:t>
      </w:r>
      <w:r w:rsidRPr="00125865">
        <w:rPr>
          <w:rFonts w:ascii="DF Calligraphic Ornaments LET" w:eastAsia="Times New Roman" w:hAnsi="DF Calligraphic Ornaments LET" w:cs="Guttman Soncino" w:hint="cs"/>
          <w:noProof/>
          <w:spacing w:val="20"/>
          <w:w w:val="90"/>
          <w:kern w:val="28"/>
          <w:sz w:val="44"/>
          <w:szCs w:val="46"/>
          <w:rtl/>
        </w:rPr>
        <w:t xml:space="preserve"> הצליחה נא</w:t>
      </w:r>
      <w:r w:rsidRPr="00125865">
        <w:rPr>
          <w:rFonts w:ascii="Times New Roman" w:eastAsia="Times New Roman" w:hAnsi="Times New Roman" w:cs="Times New Roman" w:hint="cs"/>
          <w:noProof/>
          <w:spacing w:val="20"/>
          <w:w w:val="90"/>
          <w:kern w:val="28"/>
          <w:sz w:val="44"/>
          <w:szCs w:val="46"/>
          <w:rtl/>
        </w:rPr>
        <w:t>…</w:t>
      </w:r>
      <w:bookmarkEnd w:id="0"/>
      <w:bookmarkEnd w:id="1"/>
    </w:p>
    <w:p w:rsidR="00125865" w:rsidRPr="00125865" w:rsidRDefault="00125865" w:rsidP="00125865">
      <w:pPr>
        <w:keepNext/>
        <w:framePr w:dropCap="drop" w:lines="2" w:hSpace="57" w:wrap="around" w:vAnchor="text" w:hAnchor="text" w:xAlign="right"/>
        <w:spacing w:after="0" w:line="760" w:lineRule="exact"/>
        <w:jc w:val="both"/>
        <w:textAlignment w:val="baseline"/>
        <w:rPr>
          <w:rFonts w:ascii="Times New Roman" w:eastAsia="Times New Roman" w:hAnsi="Times New Roman" w:cs="Guttman Soncino"/>
          <w:b/>
          <w:bCs/>
          <w:color w:val="808080"/>
          <w:position w:val="-5"/>
          <w:sz w:val="85"/>
          <w:szCs w:val="85"/>
          <w:rtl/>
          <w:lang w:eastAsia="he-IL"/>
        </w:rPr>
      </w:pPr>
      <w:r w:rsidRPr="00125865">
        <w:rPr>
          <w:rFonts w:ascii="Times New Roman" w:eastAsia="Times New Roman" w:hAnsi="Times New Roman" w:cs="Guttman Soncino" w:hint="cs"/>
          <w:b/>
          <w:bCs/>
          <w:color w:val="808080"/>
          <w:position w:val="-5"/>
          <w:sz w:val="85"/>
          <w:szCs w:val="85"/>
          <w:rtl/>
          <w:lang w:eastAsia="he-IL"/>
        </w:rPr>
        <w:t>כ</w:t>
      </w:r>
    </w:p>
    <w:p w:rsidR="00125865" w:rsidRPr="00125865" w:rsidRDefault="00125865" w:rsidP="00125865">
      <w:pPr>
        <w:spacing w:after="120" w:line="380" w:lineRule="exact"/>
        <w:jc w:val="both"/>
        <w:rPr>
          <w:rFonts w:ascii="Times New Roman" w:eastAsia="Times New Roman" w:hAnsi="Times New Roman" w:cs="FrankRuehl" w:hint="cs"/>
          <w:sz w:val="26"/>
          <w:szCs w:val="27"/>
          <w:rtl/>
          <w:lang w:eastAsia="he-IL"/>
        </w:rPr>
      </w:pPr>
      <w:r w:rsidRPr="00125865">
        <w:rPr>
          <w:rFonts w:ascii="Times New Roman" w:eastAsia="Times New Roman" w:hAnsi="Times New Roman" w:cs="FrankRuehl" w:hint="cs"/>
          <w:sz w:val="26"/>
          <w:szCs w:val="27"/>
          <w:rtl/>
          <w:lang w:eastAsia="he-IL"/>
        </w:rPr>
        <w:t xml:space="preserve">חלק מסדר השידוך הנהוג בעם ישראל נוהגים לשבור </w:t>
      </w:r>
      <w:r w:rsidRPr="00125865">
        <w:rPr>
          <w:rFonts w:ascii="Times New Roman" w:eastAsia="Times New Roman" w:hAnsi="Times New Roman" w:cs="MiriamMFO" w:hint="cs"/>
          <w:sz w:val="21"/>
          <w:szCs w:val="23"/>
          <w:rtl/>
          <w:lang w:eastAsia="he-IL"/>
        </w:rPr>
        <w:t>צלחת</w:t>
      </w:r>
      <w:r w:rsidRPr="00125865">
        <w:rPr>
          <w:rFonts w:ascii="Times New Roman" w:eastAsia="Times New Roman" w:hAnsi="Times New Roman" w:cs="FrankRuehl" w:hint="cs"/>
          <w:sz w:val="26"/>
          <w:szCs w:val="27"/>
          <w:rtl/>
          <w:lang w:eastAsia="he-IL"/>
        </w:rPr>
        <w:t xml:space="preserve"> חרס. שבירת הצלחת מסמלת את שבירת ה</w:t>
      </w:r>
      <w:r w:rsidRPr="00125865">
        <w:rPr>
          <w:rFonts w:ascii="Times New Roman" w:eastAsia="Times New Roman" w:hAnsi="Times New Roman" w:cs="MiriamMFO" w:hint="cs"/>
          <w:sz w:val="21"/>
          <w:szCs w:val="23"/>
          <w:rtl/>
          <w:lang w:eastAsia="he-IL"/>
        </w:rPr>
        <w:t>הצלחות</w:t>
      </w:r>
      <w:r w:rsidRPr="00125865">
        <w:rPr>
          <w:rFonts w:ascii="Times New Roman" w:eastAsia="Times New Roman" w:hAnsi="Times New Roman" w:cs="FrankRuehl" w:hint="cs"/>
          <w:sz w:val="26"/>
          <w:szCs w:val="27"/>
          <w:rtl/>
          <w:lang w:eastAsia="he-IL"/>
        </w:rPr>
        <w:t xml:space="preserve"> הארעיות והמדומות של בני הזוג, היוצרות אצלם </w:t>
      </w:r>
      <w:proofErr w:type="spellStart"/>
      <w:r w:rsidRPr="00125865">
        <w:rPr>
          <w:rFonts w:ascii="Times New Roman" w:eastAsia="Times New Roman" w:hAnsi="Times New Roman" w:cs="FrankRuehl" w:hint="cs"/>
          <w:sz w:val="26"/>
          <w:szCs w:val="27"/>
          <w:rtl/>
          <w:lang w:eastAsia="he-IL"/>
        </w:rPr>
        <w:t>גאוה</w:t>
      </w:r>
      <w:proofErr w:type="spellEnd"/>
      <w:r w:rsidRPr="00125865">
        <w:rPr>
          <w:rFonts w:ascii="Times New Roman" w:eastAsia="Times New Roman" w:hAnsi="Times New Roman" w:cs="FrankRuehl" w:hint="cs"/>
          <w:sz w:val="26"/>
          <w:szCs w:val="27"/>
          <w:rtl/>
          <w:lang w:eastAsia="he-IL"/>
        </w:rPr>
        <w:t xml:space="preserve"> אישית שמפרידה ביניהם, וזאת כהכנה להפיכתם לאחד ממש בנישואין, כאשר יזכו להצלחה משותפת </w:t>
      </w:r>
      <w:proofErr w:type="spellStart"/>
      <w:r w:rsidRPr="00125865">
        <w:rPr>
          <w:rFonts w:ascii="Times New Roman" w:eastAsia="Times New Roman" w:hAnsi="Times New Roman" w:cs="FrankRuehl" w:hint="cs"/>
          <w:sz w:val="26"/>
          <w:szCs w:val="27"/>
          <w:rtl/>
          <w:lang w:eastAsia="he-IL"/>
        </w:rPr>
        <w:t>ואמיתית</w:t>
      </w:r>
      <w:proofErr w:type="spellEnd"/>
      <w:r w:rsidRPr="00125865">
        <w:rPr>
          <w:rFonts w:ascii="Times New Roman" w:eastAsia="Times New Roman" w:hAnsi="Times New Roman" w:cs="FrankRuehl"/>
          <w:noProof/>
          <w:position w:val="-4"/>
          <w:sz w:val="26"/>
          <w:szCs w:val="27"/>
          <w:vertAlign w:val="superscript"/>
          <w:rtl/>
          <w:lang w:eastAsia="he-IL"/>
        </w:rPr>
        <w:endnoteReference w:id="1"/>
      </w:r>
      <w:r w:rsidRPr="00125865">
        <w:rPr>
          <w:rFonts w:ascii="Times New Roman" w:eastAsia="Times New Roman" w:hAnsi="Times New Roman" w:cs="FrankRuehl" w:hint="cs"/>
          <w:sz w:val="26"/>
          <w:szCs w:val="27"/>
          <w:rtl/>
          <w:lang w:eastAsia="he-IL"/>
        </w:rPr>
        <w:t xml:space="preserve">. למנהג חב"ד אף שוברים בסדר התקשרות השידוך שתי צלחות חרס </w:t>
      </w:r>
      <w:r w:rsidRPr="00125865">
        <w:rPr>
          <w:rFonts w:ascii="Times New Roman" w:eastAsia="Times New Roman" w:hAnsi="Times New Roman" w:cs="FrankRuehl"/>
          <w:sz w:val="26"/>
          <w:szCs w:val="27"/>
          <w:rtl/>
          <w:lang w:eastAsia="he-IL"/>
        </w:rPr>
        <w:t>–</w:t>
      </w:r>
      <w:r w:rsidRPr="00125865">
        <w:rPr>
          <w:rFonts w:ascii="Times New Roman" w:eastAsia="Times New Roman" w:hAnsi="Times New Roman" w:cs="FrankRuehl" w:hint="cs"/>
          <w:sz w:val="26"/>
          <w:szCs w:val="27"/>
          <w:rtl/>
          <w:lang w:eastAsia="he-IL"/>
        </w:rPr>
        <w:t xml:space="preserve"> הראשונה בעת ההחלטה להתחתן, במסיבת </w:t>
      </w:r>
      <w:proofErr w:type="spellStart"/>
      <w:r w:rsidRPr="00125865">
        <w:rPr>
          <w:rFonts w:ascii="Times New Roman" w:eastAsia="Times New Roman" w:hAnsi="Times New Roman" w:cs="FrankRuehl" w:hint="cs"/>
          <w:sz w:val="26"/>
          <w:szCs w:val="27"/>
          <w:rtl/>
          <w:lang w:eastAsia="he-IL"/>
        </w:rPr>
        <w:t>ה'ווארט</w:t>
      </w:r>
      <w:proofErr w:type="spellEnd"/>
      <w:r w:rsidRPr="00125865">
        <w:rPr>
          <w:rFonts w:ascii="Times New Roman" w:eastAsia="Times New Roman" w:hAnsi="Times New Roman" w:cs="FrankRuehl" w:hint="cs"/>
          <w:sz w:val="26"/>
          <w:szCs w:val="27"/>
          <w:rtl/>
          <w:lang w:eastAsia="he-IL"/>
        </w:rPr>
        <w:t xml:space="preserve">', </w:t>
      </w:r>
      <w:proofErr w:type="spellStart"/>
      <w:r w:rsidRPr="00125865">
        <w:rPr>
          <w:rFonts w:ascii="Times New Roman" w:eastAsia="Times New Roman" w:hAnsi="Times New Roman" w:cs="FrankRuehl" w:hint="cs"/>
          <w:sz w:val="26"/>
          <w:szCs w:val="27"/>
          <w:rtl/>
          <w:lang w:eastAsia="he-IL"/>
        </w:rPr>
        <w:t>והשניה</w:t>
      </w:r>
      <w:proofErr w:type="spellEnd"/>
      <w:r w:rsidRPr="00125865">
        <w:rPr>
          <w:rFonts w:ascii="Times New Roman" w:eastAsia="Times New Roman" w:hAnsi="Times New Roman" w:cs="FrankRuehl" w:hint="cs"/>
          <w:sz w:val="26"/>
          <w:szCs w:val="27"/>
          <w:rtl/>
          <w:lang w:eastAsia="he-IL"/>
        </w:rPr>
        <w:t xml:space="preserve"> קודם לחופה (יחד עם החתימה על שטר התנאים). את השבירה הכפולה הזו ניתן להבין כתהליך דו-שלבי הנועד לשבור באופן מוחלט את מושג ההצלחה כפי שהוא מצטייר למי שאינו נשוי: </w:t>
      </w:r>
    </w:p>
    <w:p w:rsidR="00125865" w:rsidRPr="00125865" w:rsidRDefault="00125865" w:rsidP="00125865">
      <w:pPr>
        <w:spacing w:after="120" w:line="380" w:lineRule="exact"/>
        <w:jc w:val="both"/>
        <w:rPr>
          <w:rFonts w:ascii="Times New Roman" w:eastAsia="Times New Roman" w:hAnsi="Times New Roman" w:cs="FrankRuehl" w:hint="cs"/>
          <w:sz w:val="26"/>
          <w:szCs w:val="27"/>
          <w:rtl/>
          <w:lang w:eastAsia="he-IL"/>
        </w:rPr>
      </w:pPr>
      <w:r w:rsidRPr="00125865">
        <w:rPr>
          <w:rFonts w:ascii="Times New Roman" w:eastAsia="Times New Roman" w:hAnsi="Times New Roman" w:cs="FrankRuehl" w:hint="cs"/>
          <w:sz w:val="26"/>
          <w:szCs w:val="27"/>
          <w:rtl/>
          <w:lang w:eastAsia="he-IL"/>
        </w:rPr>
        <w:t xml:space="preserve">שבירת הצלחת הראשונה משדרת לבני הזוג כי כל ההצלחות שלהם עד כה, לפני השידוך, היו מדומות וחולפות, הצלחות שאינן שוות מאומה, משום שהן שייכות לעולם </w:t>
      </w:r>
      <w:proofErr w:type="spellStart"/>
      <w:r w:rsidRPr="00125865">
        <w:rPr>
          <w:rFonts w:ascii="Times New Roman" w:eastAsia="Times New Roman" w:hAnsi="Times New Roman" w:cs="FrankRuehl" w:hint="cs"/>
          <w:sz w:val="26"/>
          <w:szCs w:val="27"/>
          <w:rtl/>
          <w:lang w:eastAsia="he-IL"/>
        </w:rPr>
        <w:t>התהו</w:t>
      </w:r>
      <w:proofErr w:type="spellEnd"/>
      <w:r w:rsidRPr="00125865">
        <w:rPr>
          <w:rFonts w:ascii="Times New Roman" w:eastAsia="Times New Roman" w:hAnsi="Times New Roman" w:cs="FrankRuehl" w:hint="cs"/>
          <w:sz w:val="26"/>
          <w:szCs w:val="27"/>
          <w:rtl/>
          <w:lang w:eastAsia="he-IL"/>
        </w:rPr>
        <w:t xml:space="preserve"> של הרווקות ולא לעולם התיקון של הנישואין</w:t>
      </w:r>
      <w:r w:rsidRPr="00125865">
        <w:rPr>
          <w:rFonts w:ascii="Times New Roman" w:eastAsia="Times New Roman" w:hAnsi="Times New Roman" w:cs="FrankRuehl"/>
          <w:noProof/>
          <w:position w:val="-4"/>
          <w:sz w:val="26"/>
          <w:szCs w:val="27"/>
          <w:vertAlign w:val="superscript"/>
          <w:rtl/>
          <w:lang w:eastAsia="he-IL"/>
        </w:rPr>
        <w:endnoteReference w:id="2"/>
      </w:r>
      <w:r w:rsidRPr="00125865">
        <w:rPr>
          <w:rFonts w:ascii="Times New Roman" w:eastAsia="Times New Roman" w:hAnsi="Times New Roman" w:cs="FrankRuehl" w:hint="cs"/>
          <w:sz w:val="26"/>
          <w:szCs w:val="27"/>
          <w:rtl/>
          <w:lang w:eastAsia="he-IL"/>
        </w:rPr>
        <w:t xml:space="preserve">. שבירת הצלחת </w:t>
      </w:r>
      <w:proofErr w:type="spellStart"/>
      <w:r w:rsidRPr="00125865">
        <w:rPr>
          <w:rFonts w:ascii="Times New Roman" w:eastAsia="Times New Roman" w:hAnsi="Times New Roman" w:cs="FrankRuehl" w:hint="cs"/>
          <w:sz w:val="26"/>
          <w:szCs w:val="27"/>
          <w:rtl/>
          <w:lang w:eastAsia="he-IL"/>
        </w:rPr>
        <w:t>השניה</w:t>
      </w:r>
      <w:proofErr w:type="spellEnd"/>
      <w:r w:rsidRPr="00125865">
        <w:rPr>
          <w:rFonts w:ascii="Times New Roman" w:eastAsia="Times New Roman" w:hAnsi="Times New Roman" w:cs="FrankRuehl" w:hint="cs"/>
          <w:sz w:val="26"/>
          <w:szCs w:val="27"/>
          <w:rtl/>
          <w:lang w:eastAsia="he-IL"/>
        </w:rPr>
        <w:t xml:space="preserve"> מכוונת לתקופה שבין השידוך לחתונה. בתקופה זו מתכנן כל אחד מבני הזוג להתקדם ולהצליח בכל מיני תחומים הקשורים לחיי הנישואין, החל מסיום ה'סמיכה' של החתן, כדי שיהיה בקי בהלכות הנצרכות בבית היהודי, וכלה בכל ההכנות הגשמיות והרוחניות </w:t>
      </w:r>
      <w:proofErr w:type="spellStart"/>
      <w:r w:rsidRPr="00125865">
        <w:rPr>
          <w:rFonts w:ascii="Times New Roman" w:eastAsia="Times New Roman" w:hAnsi="Times New Roman" w:cs="FrankRuehl" w:hint="cs"/>
          <w:sz w:val="26"/>
          <w:szCs w:val="27"/>
          <w:rtl/>
          <w:lang w:eastAsia="he-IL"/>
        </w:rPr>
        <w:t>לבנין</w:t>
      </w:r>
      <w:proofErr w:type="spellEnd"/>
      <w:r w:rsidRPr="00125865">
        <w:rPr>
          <w:rFonts w:ascii="Times New Roman" w:eastAsia="Times New Roman" w:hAnsi="Times New Roman" w:cs="FrankRuehl" w:hint="cs"/>
          <w:sz w:val="26"/>
          <w:szCs w:val="27"/>
          <w:rtl/>
          <w:lang w:eastAsia="he-IL"/>
        </w:rPr>
        <w:t xml:space="preserve"> הבית. שבירת הצלחת </w:t>
      </w:r>
      <w:proofErr w:type="spellStart"/>
      <w:r w:rsidRPr="00125865">
        <w:rPr>
          <w:rFonts w:ascii="Times New Roman" w:eastAsia="Times New Roman" w:hAnsi="Times New Roman" w:cs="FrankRuehl" w:hint="cs"/>
          <w:sz w:val="26"/>
          <w:szCs w:val="27"/>
          <w:rtl/>
          <w:lang w:eastAsia="he-IL"/>
        </w:rPr>
        <w:t>השניה</w:t>
      </w:r>
      <w:proofErr w:type="spellEnd"/>
      <w:r w:rsidRPr="00125865">
        <w:rPr>
          <w:rFonts w:ascii="Times New Roman" w:eastAsia="Times New Roman" w:hAnsi="Times New Roman" w:cs="FrankRuehl" w:hint="cs"/>
          <w:sz w:val="26"/>
          <w:szCs w:val="27"/>
          <w:rtl/>
          <w:lang w:eastAsia="he-IL"/>
        </w:rPr>
        <w:t xml:space="preserve"> מנתצת את מה שנדמה לכאורה כעיסוק בהצלחות </w:t>
      </w:r>
      <w:proofErr w:type="spellStart"/>
      <w:r w:rsidRPr="00125865">
        <w:rPr>
          <w:rFonts w:ascii="Times New Roman" w:eastAsia="Times New Roman" w:hAnsi="Times New Roman" w:cs="FrankRuehl" w:hint="cs"/>
          <w:sz w:val="26"/>
          <w:szCs w:val="27"/>
          <w:rtl/>
          <w:lang w:eastAsia="he-IL"/>
        </w:rPr>
        <w:t>אמיתיות</w:t>
      </w:r>
      <w:proofErr w:type="spellEnd"/>
      <w:r w:rsidRPr="00125865">
        <w:rPr>
          <w:rFonts w:ascii="Times New Roman" w:eastAsia="Times New Roman" w:hAnsi="Times New Roman" w:cs="FrankRuehl" w:hint="cs"/>
          <w:sz w:val="26"/>
          <w:szCs w:val="27"/>
          <w:rtl/>
          <w:lang w:eastAsia="he-IL"/>
        </w:rPr>
        <w:t>, והיא ממחישה לכל אחד מבני הזוג כי באמת אינו מוצלח כפי שדמיין.</w:t>
      </w:r>
    </w:p>
    <w:p w:rsidR="00125865" w:rsidRPr="00125865" w:rsidRDefault="00125865" w:rsidP="00125865">
      <w:pPr>
        <w:spacing w:after="120" w:line="380" w:lineRule="exact"/>
        <w:jc w:val="both"/>
        <w:rPr>
          <w:rFonts w:ascii="Times New Roman" w:eastAsia="Times New Roman" w:hAnsi="Times New Roman" w:cs="FrankRuehl" w:hint="cs"/>
          <w:sz w:val="26"/>
          <w:szCs w:val="27"/>
          <w:rtl/>
          <w:lang w:eastAsia="he-IL"/>
        </w:rPr>
      </w:pPr>
      <w:r w:rsidRPr="00125865">
        <w:rPr>
          <w:rFonts w:ascii="Times New Roman" w:eastAsia="Times New Roman" w:hAnsi="Times New Roman" w:cs="FrankRuehl" w:hint="cs"/>
          <w:sz w:val="26"/>
          <w:szCs w:val="27"/>
          <w:rtl/>
          <w:lang w:eastAsia="he-IL"/>
        </w:rPr>
        <w:t xml:space="preserve">רק מתוך שבירת כל מושגי ההצלחה הקודמים, </w:t>
      </w:r>
      <w:proofErr w:type="spellStart"/>
      <w:r w:rsidRPr="00125865">
        <w:rPr>
          <w:rFonts w:ascii="Times New Roman" w:eastAsia="Times New Roman" w:hAnsi="Times New Roman" w:cs="FrankRuehl" w:hint="cs"/>
          <w:sz w:val="26"/>
          <w:szCs w:val="27"/>
          <w:rtl/>
          <w:lang w:eastAsia="he-IL"/>
        </w:rPr>
        <w:t>ב'חפצא</w:t>
      </w:r>
      <w:proofErr w:type="spellEnd"/>
      <w:r w:rsidRPr="00125865">
        <w:rPr>
          <w:rFonts w:ascii="Times New Roman" w:eastAsia="Times New Roman" w:hAnsi="Times New Roman" w:cs="FrankRuehl" w:hint="cs"/>
          <w:sz w:val="26"/>
          <w:szCs w:val="27"/>
          <w:rtl/>
          <w:lang w:eastAsia="he-IL"/>
        </w:rPr>
        <w:t xml:space="preserve">' (תחומי ההצלחה הקודמים) </w:t>
      </w:r>
      <w:proofErr w:type="spellStart"/>
      <w:r w:rsidRPr="00125865">
        <w:rPr>
          <w:rFonts w:ascii="Times New Roman" w:eastAsia="Times New Roman" w:hAnsi="Times New Roman" w:cs="FrankRuehl" w:hint="cs"/>
          <w:sz w:val="26"/>
          <w:szCs w:val="27"/>
          <w:rtl/>
          <w:lang w:eastAsia="he-IL"/>
        </w:rPr>
        <w:t>וב'גברא</w:t>
      </w:r>
      <w:proofErr w:type="spellEnd"/>
      <w:r w:rsidRPr="00125865">
        <w:rPr>
          <w:rFonts w:ascii="Times New Roman" w:eastAsia="Times New Roman" w:hAnsi="Times New Roman" w:cs="FrankRuehl" w:hint="cs"/>
          <w:sz w:val="26"/>
          <w:szCs w:val="27"/>
          <w:rtl/>
          <w:lang w:eastAsia="he-IL"/>
        </w:rPr>
        <w:t xml:space="preserve">' (ראית האדם את עצמו כמוצלח), ניתן ללכת אל החופה בשמחה חסידית </w:t>
      </w:r>
      <w:proofErr w:type="spellStart"/>
      <w:r w:rsidRPr="00125865">
        <w:rPr>
          <w:rFonts w:ascii="Times New Roman" w:eastAsia="Times New Roman" w:hAnsi="Times New Roman" w:cs="FrankRuehl" w:hint="cs"/>
          <w:sz w:val="26"/>
          <w:szCs w:val="27"/>
          <w:rtl/>
          <w:lang w:eastAsia="he-IL"/>
        </w:rPr>
        <w:t>אמיתית</w:t>
      </w:r>
      <w:proofErr w:type="spellEnd"/>
      <w:r w:rsidRPr="00125865">
        <w:rPr>
          <w:rFonts w:ascii="Times New Roman" w:eastAsia="Times New Roman" w:hAnsi="Times New Roman" w:cs="FrankRuehl" w:hint="cs"/>
          <w:sz w:val="26"/>
          <w:szCs w:val="27"/>
          <w:rtl/>
          <w:lang w:eastAsia="he-IL"/>
        </w:rPr>
        <w:t xml:space="preserve">, המכירה שה' לבדו הוא הגומר בעדנו ורק הוא מקור ההצלחה </w:t>
      </w:r>
      <w:proofErr w:type="spellStart"/>
      <w:r w:rsidRPr="00125865">
        <w:rPr>
          <w:rFonts w:ascii="Times New Roman" w:eastAsia="Times New Roman" w:hAnsi="Times New Roman" w:cs="FrankRuehl" w:hint="cs"/>
          <w:sz w:val="26"/>
          <w:szCs w:val="27"/>
          <w:rtl/>
          <w:lang w:eastAsia="he-IL"/>
        </w:rPr>
        <w:t>האמיתית</w:t>
      </w:r>
      <w:proofErr w:type="spellEnd"/>
      <w:r w:rsidRPr="00125865">
        <w:rPr>
          <w:rFonts w:ascii="Times New Roman" w:eastAsia="Times New Roman" w:hAnsi="Times New Roman" w:cs="FrankRuehl" w:hint="cs"/>
          <w:sz w:val="26"/>
          <w:szCs w:val="27"/>
          <w:rtl/>
          <w:lang w:eastAsia="he-IL"/>
        </w:rPr>
        <w:t xml:space="preserve"> בחיים. תובנה זו משתקפת בפסוק השלם "אנא הוי' הושיעה נא, אנא הוי' הצליחה נא"</w:t>
      </w:r>
      <w:r w:rsidRPr="00125865">
        <w:rPr>
          <w:rFonts w:ascii="Times New Roman" w:eastAsia="Times New Roman" w:hAnsi="Times New Roman" w:cs="FrankRuehl"/>
          <w:noProof/>
          <w:position w:val="-4"/>
          <w:sz w:val="26"/>
          <w:szCs w:val="27"/>
          <w:vertAlign w:val="superscript"/>
          <w:rtl/>
          <w:lang w:eastAsia="he-IL"/>
        </w:rPr>
        <w:endnoteReference w:id="3"/>
      </w:r>
      <w:r w:rsidRPr="00125865">
        <w:rPr>
          <w:rFonts w:ascii="Times New Roman" w:eastAsia="Times New Roman" w:hAnsi="Times New Roman" w:cs="FrankRuehl" w:hint="cs"/>
          <w:sz w:val="26"/>
          <w:szCs w:val="27"/>
          <w:rtl/>
          <w:lang w:eastAsia="he-IL"/>
        </w:rPr>
        <w:t>. תחושת הצלחה מתוקנת באה רק לאחר הרגשת ישועת ה' והתלות המוחלטת בו. רק אחרי שההצלחה המדומה קורסת ונשברת, והאדם מרגיש תלוי בישועת ה', הוא יכול גם להתפלל להצלחה ולזכות בה באופן מתוקן.</w:t>
      </w:r>
    </w:p>
    <w:p w:rsidR="00125865" w:rsidRPr="00125865" w:rsidRDefault="00125865" w:rsidP="00125865">
      <w:pPr>
        <w:spacing w:after="120" w:line="380" w:lineRule="exact"/>
        <w:jc w:val="both"/>
        <w:rPr>
          <w:rFonts w:ascii="Times New Roman" w:eastAsia="Times New Roman" w:hAnsi="Times New Roman" w:cs="FrankRuehl" w:hint="cs"/>
          <w:sz w:val="26"/>
          <w:szCs w:val="27"/>
          <w:rtl/>
          <w:lang w:eastAsia="he-IL"/>
        </w:rPr>
      </w:pPr>
      <w:r w:rsidRPr="00125865">
        <w:rPr>
          <w:rFonts w:ascii="Times New Roman" w:eastAsia="Times New Roman" w:hAnsi="Times New Roman" w:cs="FrankRuehl" w:hint="cs"/>
          <w:sz w:val="26"/>
          <w:szCs w:val="27"/>
          <w:rtl/>
          <w:lang w:eastAsia="he-IL"/>
        </w:rPr>
        <w:t xml:space="preserve">בקריאת פרקי ההלל על סדר התפלה נוהגים לכפול את שני חלקי הפסוק </w:t>
      </w:r>
      <w:r w:rsidRPr="00125865">
        <w:rPr>
          <w:rFonts w:ascii="Times New Roman" w:eastAsia="Times New Roman" w:hAnsi="Times New Roman" w:cs="FrankRuehl"/>
          <w:sz w:val="26"/>
          <w:szCs w:val="27"/>
          <w:rtl/>
          <w:lang w:eastAsia="he-IL"/>
        </w:rPr>
        <w:t>–</w:t>
      </w:r>
      <w:r w:rsidRPr="00125865">
        <w:rPr>
          <w:rFonts w:ascii="Times New Roman" w:eastAsia="Times New Roman" w:hAnsi="Times New Roman" w:cs="FrankRuehl" w:hint="cs"/>
          <w:sz w:val="26"/>
          <w:szCs w:val="27"/>
          <w:rtl/>
          <w:lang w:eastAsia="he-IL"/>
        </w:rPr>
        <w:t xml:space="preserve"> לבקש פעמיים "אנא הוי' הושיעה נא" ואחר כך לבקש פעמיים "אנא הוי' הצליחה נא". הפיכת הפסוק לבעל ארבעה חלקים מאפשרת לכוון אותו כנגד אותיות שם הוי' ב"ה. שתי בקשות הישועה מקבילות לאותיות </w:t>
      </w:r>
      <w:r w:rsidRPr="00125865">
        <w:rPr>
          <w:rFonts w:ascii="Times New Roman" w:eastAsia="Times New Roman" w:hAnsi="Times New Roman" w:cs="FrankRuehl" w:hint="cs"/>
          <w:b/>
          <w:bCs/>
          <w:sz w:val="28"/>
          <w:szCs w:val="28"/>
          <w:rtl/>
          <w:lang w:eastAsia="he-IL"/>
        </w:rPr>
        <w:t>יה</w:t>
      </w:r>
      <w:r w:rsidRPr="00125865">
        <w:rPr>
          <w:rFonts w:ascii="Times New Roman" w:eastAsia="Times New Roman" w:hAnsi="Times New Roman" w:cs="FrankRuehl" w:hint="cs"/>
          <w:sz w:val="26"/>
          <w:szCs w:val="27"/>
          <w:rtl/>
          <w:lang w:eastAsia="he-IL"/>
        </w:rPr>
        <w:t xml:space="preserve"> שבשם, שזיווגן תדיר</w:t>
      </w:r>
      <w:bookmarkStart w:id="2" w:name="_Ref187928916"/>
      <w:r w:rsidRPr="00125865">
        <w:rPr>
          <w:rFonts w:ascii="Times New Roman" w:eastAsia="Times New Roman" w:hAnsi="Times New Roman" w:cs="FrankRuehl"/>
          <w:noProof/>
          <w:position w:val="-4"/>
          <w:sz w:val="26"/>
          <w:szCs w:val="27"/>
          <w:vertAlign w:val="superscript"/>
          <w:rtl/>
          <w:lang w:eastAsia="he-IL"/>
        </w:rPr>
        <w:endnoteReference w:id="4"/>
      </w:r>
      <w:bookmarkEnd w:id="2"/>
      <w:r w:rsidRPr="00125865">
        <w:rPr>
          <w:rFonts w:ascii="Times New Roman" w:eastAsia="Times New Roman" w:hAnsi="Times New Roman" w:cs="FrankRuehl" w:hint="cs"/>
          <w:sz w:val="26"/>
          <w:szCs w:val="27"/>
          <w:rtl/>
          <w:lang w:eastAsia="he-IL"/>
        </w:rPr>
        <w:t xml:space="preserve">, והן שם קדוש בפני עצמו. שתי בקשות ההצלחה מקבילות לאותיות </w:t>
      </w:r>
      <w:proofErr w:type="spellStart"/>
      <w:r w:rsidRPr="00125865">
        <w:rPr>
          <w:rFonts w:ascii="Times New Roman" w:eastAsia="Times New Roman" w:hAnsi="Times New Roman" w:cs="FrankRuehl" w:hint="cs"/>
          <w:b/>
          <w:bCs/>
          <w:sz w:val="28"/>
          <w:szCs w:val="28"/>
          <w:rtl/>
          <w:lang w:eastAsia="he-IL"/>
        </w:rPr>
        <w:t>וה</w:t>
      </w:r>
      <w:proofErr w:type="spellEnd"/>
      <w:r w:rsidRPr="00125865">
        <w:rPr>
          <w:rFonts w:ascii="Times New Roman" w:eastAsia="Times New Roman" w:hAnsi="Times New Roman" w:cs="FrankRuehl" w:hint="cs"/>
          <w:sz w:val="26"/>
          <w:szCs w:val="27"/>
          <w:rtl/>
          <w:lang w:eastAsia="he-IL"/>
        </w:rPr>
        <w:t xml:space="preserve"> שבשם, שזיווגן לפרקים</w:t>
      </w:r>
      <w:r w:rsidRPr="00125865">
        <w:rPr>
          <w:rFonts w:ascii="Times New Roman" w:eastAsia="Times New Roman" w:hAnsi="Times New Roman" w:cs="FrankRuehl"/>
          <w:noProof/>
          <w:position w:val="-4"/>
          <w:sz w:val="26"/>
          <w:szCs w:val="27"/>
          <w:vertAlign w:val="superscript"/>
          <w:rtl/>
          <w:lang w:eastAsia="he-IL"/>
        </w:rPr>
        <w:fldChar w:fldCharType="begin"/>
      </w:r>
      <w:r w:rsidRPr="00125865">
        <w:rPr>
          <w:rFonts w:ascii="Times New Roman" w:eastAsia="Times New Roman" w:hAnsi="Times New Roman" w:cs="FrankRuehl"/>
          <w:noProof/>
          <w:position w:val="-4"/>
          <w:sz w:val="26"/>
          <w:szCs w:val="27"/>
          <w:vertAlign w:val="superscript"/>
          <w:rtl/>
          <w:lang w:eastAsia="he-IL"/>
        </w:rPr>
        <w:instrText xml:space="preserve"> </w:instrText>
      </w:r>
      <w:r w:rsidRPr="00125865">
        <w:rPr>
          <w:rFonts w:ascii="Times New Roman" w:eastAsia="Times New Roman" w:hAnsi="Times New Roman" w:cs="FrankRuehl" w:hint="cs"/>
          <w:noProof/>
          <w:position w:val="-4"/>
          <w:sz w:val="26"/>
          <w:szCs w:val="27"/>
          <w:vertAlign w:val="superscript"/>
          <w:lang w:eastAsia="he-IL"/>
        </w:rPr>
        <w:instrText>NOTEREF</w:instrText>
      </w:r>
      <w:r w:rsidRPr="00125865">
        <w:rPr>
          <w:rFonts w:ascii="Times New Roman" w:eastAsia="Times New Roman" w:hAnsi="Times New Roman" w:cs="FrankRuehl" w:hint="cs"/>
          <w:noProof/>
          <w:position w:val="-4"/>
          <w:sz w:val="26"/>
          <w:szCs w:val="27"/>
          <w:vertAlign w:val="superscript"/>
          <w:rtl/>
          <w:lang w:eastAsia="he-IL"/>
        </w:rPr>
        <w:instrText xml:space="preserve"> _</w:instrText>
      </w:r>
      <w:r w:rsidRPr="00125865">
        <w:rPr>
          <w:rFonts w:ascii="Times New Roman" w:eastAsia="Times New Roman" w:hAnsi="Times New Roman" w:cs="FrankRuehl" w:hint="cs"/>
          <w:noProof/>
          <w:position w:val="-4"/>
          <w:sz w:val="26"/>
          <w:szCs w:val="27"/>
          <w:vertAlign w:val="superscript"/>
          <w:lang w:eastAsia="he-IL"/>
        </w:rPr>
        <w:instrText>Ref187928916 \h</w:instrText>
      </w:r>
      <w:r w:rsidRPr="00125865">
        <w:rPr>
          <w:rFonts w:ascii="Times New Roman" w:eastAsia="Times New Roman" w:hAnsi="Times New Roman" w:cs="FrankRuehl"/>
          <w:noProof/>
          <w:position w:val="-4"/>
          <w:sz w:val="26"/>
          <w:szCs w:val="27"/>
          <w:vertAlign w:val="superscript"/>
          <w:rtl/>
          <w:lang w:eastAsia="he-IL"/>
        </w:rPr>
        <w:instrText xml:space="preserve"> </w:instrText>
      </w:r>
      <w:r w:rsidRPr="00125865">
        <w:rPr>
          <w:rFonts w:ascii="Times New Roman" w:eastAsia="Times New Roman" w:hAnsi="Times New Roman" w:cs="FrankRuehl"/>
          <w:noProof/>
          <w:position w:val="-4"/>
          <w:sz w:val="26"/>
          <w:szCs w:val="27"/>
          <w:vertAlign w:val="superscript"/>
          <w:lang w:eastAsia="he-IL"/>
        </w:rPr>
      </w:r>
      <w:r w:rsidRPr="00125865">
        <w:rPr>
          <w:rFonts w:ascii="Times New Roman" w:eastAsia="Times New Roman" w:hAnsi="Times New Roman" w:cs="FrankRuehl"/>
          <w:noProof/>
          <w:position w:val="-4"/>
          <w:sz w:val="26"/>
          <w:szCs w:val="27"/>
          <w:vertAlign w:val="superscript"/>
          <w:lang w:eastAsia="he-IL"/>
        </w:rPr>
        <w:instrText xml:space="preserve"> \* MERGEFORMAT </w:instrText>
      </w:r>
      <w:r w:rsidRPr="00125865">
        <w:rPr>
          <w:rFonts w:ascii="Times New Roman" w:eastAsia="Times New Roman" w:hAnsi="Times New Roman" w:cs="FrankRuehl"/>
          <w:noProof/>
          <w:position w:val="-4"/>
          <w:sz w:val="26"/>
          <w:szCs w:val="27"/>
          <w:vertAlign w:val="superscript"/>
          <w:rtl/>
          <w:lang w:eastAsia="he-IL"/>
        </w:rPr>
        <w:fldChar w:fldCharType="separate"/>
      </w:r>
      <w:r w:rsidRPr="00125865">
        <w:rPr>
          <w:rFonts w:ascii="Times New Roman" w:eastAsia="Times New Roman" w:hAnsi="Times New Roman" w:cs="FrankRuehl"/>
          <w:noProof/>
          <w:position w:val="-4"/>
          <w:sz w:val="26"/>
          <w:szCs w:val="27"/>
          <w:vertAlign w:val="superscript"/>
          <w:rtl/>
          <w:lang w:eastAsia="he-IL"/>
        </w:rPr>
        <w:t>ד</w:t>
      </w:r>
      <w:r w:rsidRPr="00125865">
        <w:rPr>
          <w:rFonts w:ascii="Times New Roman" w:eastAsia="Times New Roman" w:hAnsi="Times New Roman" w:cs="FrankRuehl"/>
          <w:noProof/>
          <w:position w:val="-4"/>
          <w:sz w:val="26"/>
          <w:szCs w:val="27"/>
          <w:vertAlign w:val="superscript"/>
          <w:rtl/>
          <w:lang w:eastAsia="he-IL"/>
        </w:rPr>
        <w:fldChar w:fldCharType="end"/>
      </w:r>
      <w:r w:rsidRPr="00125865">
        <w:rPr>
          <w:rFonts w:ascii="Times New Roman" w:eastAsia="Times New Roman" w:hAnsi="Times New Roman" w:cs="FrankRuehl" w:hint="cs"/>
          <w:sz w:val="26"/>
          <w:szCs w:val="27"/>
          <w:rtl/>
          <w:lang w:eastAsia="he-IL"/>
        </w:rPr>
        <w:t xml:space="preserve">, וקדושתן תלויה בהתקשרות לשתי האותיות הראשונות שבשם. לאותיות </w:t>
      </w:r>
      <w:r w:rsidRPr="00125865">
        <w:rPr>
          <w:rFonts w:ascii="Times New Roman" w:eastAsia="Times New Roman" w:hAnsi="Times New Roman" w:cs="FrankRuehl" w:hint="cs"/>
          <w:b/>
          <w:bCs/>
          <w:sz w:val="28"/>
          <w:szCs w:val="28"/>
          <w:rtl/>
          <w:lang w:eastAsia="he-IL"/>
        </w:rPr>
        <w:t>יה</w:t>
      </w:r>
      <w:r w:rsidRPr="00125865">
        <w:rPr>
          <w:rFonts w:ascii="Times New Roman" w:eastAsia="Times New Roman" w:hAnsi="Times New Roman" w:cs="FrankRuehl" w:hint="cs"/>
          <w:sz w:val="26"/>
          <w:szCs w:val="27"/>
          <w:rtl/>
          <w:lang w:eastAsia="he-IL"/>
        </w:rPr>
        <w:t xml:space="preserve"> שייכת התודעה לכך שה' מושיע תמיד, וכל מה שקורה מכוון מאת ה' וטוב באמת, גם אם אין הדבר נראה לעין</w:t>
      </w:r>
      <w:r w:rsidRPr="00125865">
        <w:rPr>
          <w:rFonts w:ascii="Times New Roman" w:eastAsia="Times New Roman" w:hAnsi="Times New Roman" w:cs="FrankRuehl"/>
          <w:noProof/>
          <w:position w:val="-4"/>
          <w:sz w:val="26"/>
          <w:szCs w:val="27"/>
          <w:vertAlign w:val="superscript"/>
          <w:rtl/>
          <w:lang w:eastAsia="he-IL"/>
        </w:rPr>
        <w:endnoteReference w:id="5"/>
      </w:r>
      <w:r w:rsidRPr="00125865">
        <w:rPr>
          <w:rFonts w:ascii="Times New Roman" w:eastAsia="Times New Roman" w:hAnsi="Times New Roman" w:cs="FrankRuehl" w:hint="cs"/>
          <w:sz w:val="26"/>
          <w:szCs w:val="27"/>
          <w:rtl/>
          <w:lang w:eastAsia="he-IL"/>
        </w:rPr>
        <w:t xml:space="preserve">, ואילו מאותיות </w:t>
      </w:r>
      <w:proofErr w:type="spellStart"/>
      <w:r w:rsidRPr="00125865">
        <w:rPr>
          <w:rFonts w:ascii="Times New Roman" w:eastAsia="Times New Roman" w:hAnsi="Times New Roman" w:cs="FrankRuehl" w:hint="cs"/>
          <w:b/>
          <w:bCs/>
          <w:sz w:val="28"/>
          <w:szCs w:val="28"/>
          <w:rtl/>
          <w:lang w:eastAsia="he-IL"/>
        </w:rPr>
        <w:t>וה</w:t>
      </w:r>
      <w:proofErr w:type="spellEnd"/>
      <w:r w:rsidRPr="00125865">
        <w:rPr>
          <w:rFonts w:ascii="Times New Roman" w:eastAsia="Times New Roman" w:hAnsi="Times New Roman" w:cs="FrankRuehl" w:hint="cs"/>
          <w:sz w:val="26"/>
          <w:szCs w:val="27"/>
          <w:rtl/>
          <w:lang w:eastAsia="he-IL"/>
        </w:rPr>
        <w:t xml:space="preserve"> באה ההצלחה בטוב הנראה והנגלה. </w:t>
      </w:r>
    </w:p>
    <w:p w:rsidR="00125865" w:rsidRPr="00125865" w:rsidRDefault="00125865" w:rsidP="00125865">
      <w:pPr>
        <w:spacing w:after="120" w:line="380" w:lineRule="exact"/>
        <w:jc w:val="both"/>
        <w:rPr>
          <w:rFonts w:ascii="Times New Roman" w:eastAsia="Times New Roman" w:hAnsi="Times New Roman" w:cs="FrankRuehl" w:hint="cs"/>
          <w:sz w:val="26"/>
          <w:szCs w:val="27"/>
          <w:rtl/>
          <w:lang w:eastAsia="he-IL"/>
        </w:rPr>
      </w:pPr>
      <w:r w:rsidRPr="00125865">
        <w:rPr>
          <w:rFonts w:ascii="Times New Roman" w:eastAsia="Times New Roman" w:hAnsi="Times New Roman" w:cs="FrankRuehl" w:hint="cs"/>
          <w:sz w:val="26"/>
          <w:szCs w:val="27"/>
          <w:rtl/>
          <w:lang w:eastAsia="he-IL"/>
        </w:rPr>
        <w:lastRenderedPageBreak/>
        <w:t>את חיי הנישואין צריכה ללוות תודעה קבועה של ישועת ה' ושל הכוונתו</w:t>
      </w:r>
      <w:r w:rsidRPr="00125865">
        <w:rPr>
          <w:rFonts w:ascii="Times New Roman" w:eastAsia="Times New Roman" w:hAnsi="Times New Roman" w:cs="FrankRuehl"/>
          <w:noProof/>
          <w:position w:val="-4"/>
          <w:sz w:val="26"/>
          <w:szCs w:val="27"/>
          <w:vertAlign w:val="superscript"/>
          <w:rtl/>
          <w:lang w:eastAsia="he-IL"/>
        </w:rPr>
        <w:endnoteReference w:id="6"/>
      </w:r>
      <w:r w:rsidRPr="00125865">
        <w:rPr>
          <w:rFonts w:ascii="Times New Roman" w:eastAsia="Times New Roman" w:hAnsi="Times New Roman" w:cs="FrankRuehl" w:hint="cs"/>
          <w:sz w:val="26"/>
          <w:szCs w:val="27"/>
          <w:rtl/>
          <w:lang w:eastAsia="he-IL"/>
        </w:rPr>
        <w:t xml:space="preserve"> את כל גווני היחס בין בני הזוג. אזי "איש ואשה זכו שכינה ביניהן"</w:t>
      </w:r>
      <w:r w:rsidRPr="00125865">
        <w:rPr>
          <w:rFonts w:ascii="Times New Roman" w:eastAsia="Times New Roman" w:hAnsi="Times New Roman" w:cs="FrankRuehl"/>
          <w:noProof/>
          <w:position w:val="-4"/>
          <w:sz w:val="26"/>
          <w:szCs w:val="27"/>
          <w:vertAlign w:val="superscript"/>
          <w:rtl/>
          <w:lang w:eastAsia="he-IL"/>
        </w:rPr>
        <w:endnoteReference w:id="7"/>
      </w:r>
      <w:r w:rsidRPr="00125865">
        <w:rPr>
          <w:rFonts w:ascii="Times New Roman" w:eastAsia="Times New Roman" w:hAnsi="Times New Roman" w:cs="FrankRuehl" w:hint="cs"/>
          <w:sz w:val="26"/>
          <w:szCs w:val="27"/>
          <w:rtl/>
          <w:lang w:eastAsia="he-IL"/>
        </w:rPr>
        <w:t xml:space="preserve"> בגילוי שם </w:t>
      </w:r>
      <w:r w:rsidRPr="00125865">
        <w:rPr>
          <w:rFonts w:ascii="Times New Roman" w:eastAsia="Times New Roman" w:hAnsi="Times New Roman" w:cs="FrankRuehl" w:hint="cs"/>
          <w:b/>
          <w:bCs/>
          <w:sz w:val="28"/>
          <w:szCs w:val="28"/>
          <w:rtl/>
          <w:lang w:eastAsia="he-IL"/>
        </w:rPr>
        <w:t>יה</w:t>
      </w:r>
      <w:r w:rsidRPr="00125865">
        <w:rPr>
          <w:rFonts w:ascii="Times New Roman" w:eastAsia="Times New Roman" w:hAnsi="Times New Roman" w:cs="FrankRuehl" w:hint="cs"/>
          <w:sz w:val="26"/>
          <w:szCs w:val="27"/>
          <w:rtl/>
          <w:lang w:eastAsia="he-IL"/>
        </w:rPr>
        <w:t xml:space="preserve"> ("</w:t>
      </w:r>
      <w:r w:rsidRPr="00125865">
        <w:rPr>
          <w:rFonts w:ascii="Times New Roman" w:eastAsia="Times New Roman" w:hAnsi="Times New Roman" w:cs="FrankRuehl" w:hint="cs"/>
          <w:b/>
          <w:bCs/>
          <w:sz w:val="28"/>
          <w:szCs w:val="28"/>
          <w:rtl/>
          <w:lang w:eastAsia="he-IL"/>
        </w:rPr>
        <w:t>י</w:t>
      </w:r>
      <w:r w:rsidRPr="00125865">
        <w:rPr>
          <w:rFonts w:ascii="Times New Roman" w:eastAsia="Times New Roman" w:hAnsi="Times New Roman" w:cs="FrankRuehl" w:hint="cs"/>
          <w:sz w:val="26"/>
          <w:szCs w:val="27"/>
          <w:rtl/>
          <w:lang w:eastAsia="he-IL"/>
        </w:rPr>
        <w:t xml:space="preserve"> בא</w:t>
      </w:r>
      <w:r w:rsidRPr="00125865">
        <w:rPr>
          <w:rFonts w:ascii="Times New Roman" w:eastAsia="Times New Roman" w:hAnsi="Times New Roman" w:cs="FrankRuehl" w:hint="cs"/>
          <w:b/>
          <w:bCs/>
          <w:sz w:val="28"/>
          <w:szCs w:val="28"/>
          <w:rtl/>
          <w:lang w:eastAsia="he-IL"/>
        </w:rPr>
        <w:t>י</w:t>
      </w:r>
      <w:r w:rsidRPr="00125865">
        <w:rPr>
          <w:rFonts w:ascii="Times New Roman" w:eastAsia="Times New Roman" w:hAnsi="Times New Roman" w:cs="FrankRuehl" w:hint="cs"/>
          <w:sz w:val="26"/>
          <w:szCs w:val="27"/>
          <w:rtl/>
          <w:lang w:eastAsia="he-IL"/>
        </w:rPr>
        <w:t>ש ו-</w:t>
      </w:r>
      <w:r w:rsidRPr="00125865">
        <w:rPr>
          <w:rFonts w:ascii="Times New Roman" w:eastAsia="Times New Roman" w:hAnsi="Times New Roman" w:cs="FrankRuehl" w:hint="cs"/>
          <w:b/>
          <w:bCs/>
          <w:sz w:val="28"/>
          <w:szCs w:val="28"/>
          <w:rtl/>
          <w:lang w:eastAsia="he-IL"/>
        </w:rPr>
        <w:t>ה</w:t>
      </w:r>
      <w:r w:rsidRPr="00125865">
        <w:rPr>
          <w:rFonts w:ascii="Times New Roman" w:eastAsia="Times New Roman" w:hAnsi="Times New Roman" w:cs="FrankRuehl" w:hint="cs"/>
          <w:sz w:val="26"/>
          <w:szCs w:val="27"/>
          <w:rtl/>
          <w:lang w:eastAsia="he-IL"/>
        </w:rPr>
        <w:t xml:space="preserve"> באש</w:t>
      </w:r>
      <w:r w:rsidRPr="00125865">
        <w:rPr>
          <w:rFonts w:ascii="Times New Roman" w:eastAsia="Times New Roman" w:hAnsi="Times New Roman" w:cs="FrankRuehl" w:hint="cs"/>
          <w:b/>
          <w:bCs/>
          <w:sz w:val="28"/>
          <w:szCs w:val="28"/>
          <w:rtl/>
          <w:lang w:eastAsia="he-IL"/>
        </w:rPr>
        <w:t>ה</w:t>
      </w:r>
      <w:r w:rsidRPr="00125865">
        <w:rPr>
          <w:rFonts w:ascii="Times New Roman" w:eastAsia="Times New Roman" w:hAnsi="Times New Roman" w:cs="FrankRuehl" w:hint="cs"/>
          <w:sz w:val="26"/>
          <w:szCs w:val="27"/>
          <w:rtl/>
          <w:lang w:eastAsia="he-IL"/>
        </w:rPr>
        <w:t>"</w:t>
      </w:r>
      <w:r w:rsidRPr="00125865">
        <w:rPr>
          <w:rFonts w:ascii="Times New Roman" w:eastAsia="Times New Roman" w:hAnsi="Times New Roman" w:cs="FrankRuehl"/>
          <w:noProof/>
          <w:position w:val="-4"/>
          <w:sz w:val="26"/>
          <w:szCs w:val="27"/>
          <w:vertAlign w:val="superscript"/>
          <w:rtl/>
          <w:lang w:eastAsia="he-IL"/>
        </w:rPr>
        <w:endnoteReference w:id="8"/>
      </w:r>
      <w:r w:rsidRPr="00125865">
        <w:rPr>
          <w:rFonts w:ascii="Times New Roman" w:eastAsia="Times New Roman" w:hAnsi="Times New Roman" w:cs="FrankRuehl" w:hint="cs"/>
          <w:sz w:val="26"/>
          <w:szCs w:val="27"/>
          <w:rtl/>
          <w:lang w:eastAsia="he-IL"/>
        </w:rPr>
        <w:t xml:space="preserve">). השראת השותף השלישי בין בני הזוג, בתחושת ישועתו התמידית, היא המביאה לעיקר ההצלחה בחיים בבנים ובבנות (כנודע שאותיות </w:t>
      </w:r>
      <w:proofErr w:type="spellStart"/>
      <w:r w:rsidRPr="00125865">
        <w:rPr>
          <w:rFonts w:ascii="Times New Roman" w:eastAsia="Times New Roman" w:hAnsi="Times New Roman" w:cs="FrankRuehl" w:hint="cs"/>
          <w:b/>
          <w:bCs/>
          <w:sz w:val="28"/>
          <w:szCs w:val="28"/>
          <w:rtl/>
          <w:lang w:eastAsia="he-IL"/>
        </w:rPr>
        <w:t>וה</w:t>
      </w:r>
      <w:proofErr w:type="spellEnd"/>
      <w:r w:rsidRPr="00125865">
        <w:rPr>
          <w:rFonts w:ascii="Times New Roman" w:eastAsia="Times New Roman" w:hAnsi="Times New Roman" w:cs="FrankRuehl" w:hint="cs"/>
          <w:sz w:val="26"/>
          <w:szCs w:val="27"/>
          <w:rtl/>
          <w:lang w:eastAsia="he-IL"/>
        </w:rPr>
        <w:t xml:space="preserve"> שבשם רומזות לבן ובת) </w:t>
      </w:r>
      <w:proofErr w:type="spellStart"/>
      <w:r w:rsidRPr="00125865">
        <w:rPr>
          <w:rFonts w:ascii="Times New Roman" w:eastAsia="Times New Roman" w:hAnsi="Times New Roman" w:cs="FrankRuehl" w:hint="cs"/>
          <w:sz w:val="26"/>
          <w:szCs w:val="27"/>
          <w:rtl/>
          <w:lang w:eastAsia="he-IL"/>
        </w:rPr>
        <w:t>וב"עיקר</w:t>
      </w:r>
      <w:proofErr w:type="spellEnd"/>
      <w:r w:rsidRPr="00125865">
        <w:rPr>
          <w:rFonts w:ascii="Times New Roman" w:eastAsia="Times New Roman" w:hAnsi="Times New Roman" w:cs="FrankRuehl" w:hint="cs"/>
          <w:sz w:val="26"/>
          <w:szCs w:val="27"/>
          <w:rtl/>
          <w:lang w:eastAsia="he-IL"/>
        </w:rPr>
        <w:t xml:space="preserve"> תולדותיהם של צדיקים </w:t>
      </w:r>
      <w:r w:rsidRPr="00125865">
        <w:rPr>
          <w:rFonts w:ascii="Times New Roman" w:eastAsia="Times New Roman" w:hAnsi="Times New Roman" w:cs="FrankRuehl"/>
          <w:sz w:val="26"/>
          <w:szCs w:val="27"/>
          <w:rtl/>
          <w:lang w:eastAsia="he-IL"/>
        </w:rPr>
        <w:t>–</w:t>
      </w:r>
      <w:r w:rsidRPr="00125865">
        <w:rPr>
          <w:rFonts w:ascii="Times New Roman" w:eastAsia="Times New Roman" w:hAnsi="Times New Roman" w:cs="FrankRuehl" w:hint="cs"/>
          <w:sz w:val="26"/>
          <w:szCs w:val="27"/>
          <w:rtl/>
          <w:lang w:eastAsia="he-IL"/>
        </w:rPr>
        <w:t xml:space="preserve"> מעשים טובים"</w:t>
      </w:r>
      <w:r w:rsidRPr="00125865">
        <w:rPr>
          <w:rFonts w:ascii="Times New Roman" w:eastAsia="Times New Roman" w:hAnsi="Times New Roman" w:cs="FrankRuehl"/>
          <w:noProof/>
          <w:position w:val="-4"/>
          <w:sz w:val="26"/>
          <w:szCs w:val="27"/>
          <w:vertAlign w:val="superscript"/>
          <w:rtl/>
          <w:lang w:eastAsia="he-IL"/>
        </w:rPr>
        <w:endnoteReference w:id="9"/>
      </w:r>
      <w:r w:rsidRPr="00125865">
        <w:rPr>
          <w:rFonts w:ascii="Times New Roman" w:eastAsia="Times New Roman" w:hAnsi="Times New Roman" w:cs="FrankRuehl" w:hint="cs"/>
          <w:sz w:val="26"/>
          <w:szCs w:val="27"/>
          <w:rtl/>
          <w:lang w:eastAsia="he-IL"/>
        </w:rPr>
        <w:t>.</w:t>
      </w:r>
    </w:p>
    <w:p w:rsidR="00125865" w:rsidRPr="00125865" w:rsidRDefault="00125865" w:rsidP="00125865">
      <w:pPr>
        <w:spacing w:after="120" w:line="380" w:lineRule="exact"/>
        <w:jc w:val="both"/>
        <w:rPr>
          <w:rFonts w:ascii="Times New Roman" w:eastAsia="Times New Roman" w:hAnsi="Times New Roman" w:cs="FrankRuehl"/>
          <w:sz w:val="26"/>
          <w:szCs w:val="27"/>
          <w:lang w:eastAsia="he-IL"/>
        </w:rPr>
      </w:pPr>
    </w:p>
    <w:p w:rsidR="005F4A47" w:rsidRPr="00125865" w:rsidRDefault="005B1D97">
      <w:bookmarkStart w:id="3" w:name="_GoBack"/>
      <w:bookmarkEnd w:id="3"/>
    </w:p>
    <w:sectPr w:rsidR="005F4A47" w:rsidRPr="00125865"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D97" w:rsidRDefault="005B1D97" w:rsidP="00125865">
      <w:pPr>
        <w:spacing w:after="0" w:line="240" w:lineRule="auto"/>
      </w:pPr>
      <w:r>
        <w:separator/>
      </w:r>
    </w:p>
  </w:endnote>
  <w:endnote w:type="continuationSeparator" w:id="0">
    <w:p w:rsidR="005B1D97" w:rsidRDefault="005B1D97" w:rsidP="00125865">
      <w:pPr>
        <w:spacing w:after="0" w:line="240" w:lineRule="auto"/>
      </w:pPr>
      <w:r>
        <w:continuationSeparator/>
      </w:r>
    </w:p>
  </w:endnote>
  <w:endnote w:id="1">
    <w:p w:rsidR="00125865" w:rsidRDefault="00125865" w:rsidP="00125865">
      <w:pPr>
        <w:pStyle w:val="a3"/>
        <w:rPr>
          <w:rFonts w:hint="cs"/>
          <w:rtl/>
        </w:rPr>
      </w:pPr>
      <w:r>
        <w:rPr>
          <w:rtl/>
        </w:rPr>
        <w:tab/>
      </w:r>
      <w:r w:rsidRPr="00330483">
        <w:rPr>
          <w:rtl/>
        </w:rPr>
        <w:endnoteRef/>
      </w:r>
      <w:r>
        <w:rPr>
          <w:rtl/>
        </w:rPr>
        <w:t>.</w:t>
      </w:r>
      <w:r>
        <w:rPr>
          <w:rtl/>
        </w:rPr>
        <w:tab/>
      </w:r>
      <w:r>
        <w:rPr>
          <w:rFonts w:hint="cs"/>
          <w:rtl/>
        </w:rPr>
        <w:t>כפי שהתבאר בתורה הקודמת.</w:t>
      </w:r>
    </w:p>
  </w:endnote>
  <w:endnote w:id="2">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ראה פסחים פח, ב ויבמות סב, א (ובכ"ד), וכן מבואר בכ"ד (עפ"י בראשית לו, לא-לט) כי מלכי </w:t>
      </w:r>
      <w:proofErr w:type="spellStart"/>
      <w:r>
        <w:rPr>
          <w:rFonts w:hint="cs"/>
          <w:rtl/>
        </w:rPr>
        <w:t>התהו</w:t>
      </w:r>
      <w:proofErr w:type="spellEnd"/>
      <w:r>
        <w:rPr>
          <w:rFonts w:hint="cs"/>
          <w:rtl/>
        </w:rPr>
        <w:t xml:space="preserve"> לא היו נשואים וראשית התיקון היא במלך הדר הנשוי </w:t>
      </w:r>
      <w:proofErr w:type="spellStart"/>
      <w:r>
        <w:rPr>
          <w:rFonts w:hint="cs"/>
          <w:rtl/>
        </w:rPr>
        <w:t>למהיטבאל</w:t>
      </w:r>
      <w:proofErr w:type="spellEnd"/>
      <w:r>
        <w:rPr>
          <w:rFonts w:hint="cs"/>
          <w:rtl/>
        </w:rPr>
        <w:t>.</w:t>
      </w:r>
    </w:p>
  </w:endnote>
  <w:endnote w:id="3">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תהלים </w:t>
      </w:r>
      <w:proofErr w:type="spellStart"/>
      <w:r>
        <w:rPr>
          <w:rFonts w:hint="cs"/>
          <w:rtl/>
        </w:rPr>
        <w:t>קיח</w:t>
      </w:r>
      <w:proofErr w:type="spellEnd"/>
      <w:r>
        <w:rPr>
          <w:rFonts w:hint="cs"/>
          <w:rtl/>
        </w:rPr>
        <w:t>, כה.</w:t>
      </w:r>
    </w:p>
  </w:endnote>
  <w:endnote w:id="4">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עץ חיים שער </w:t>
      </w:r>
      <w:proofErr w:type="spellStart"/>
      <w:r>
        <w:rPr>
          <w:rFonts w:hint="cs"/>
          <w:rtl/>
        </w:rPr>
        <w:t>יב</w:t>
      </w:r>
      <w:proofErr w:type="spellEnd"/>
      <w:r>
        <w:rPr>
          <w:rFonts w:hint="cs"/>
          <w:rtl/>
        </w:rPr>
        <w:t xml:space="preserve"> פרק ב (</w:t>
      </w:r>
      <w:proofErr w:type="spellStart"/>
      <w:r>
        <w:rPr>
          <w:rFonts w:hint="cs"/>
          <w:rtl/>
        </w:rPr>
        <w:t>מ"ת</w:t>
      </w:r>
      <w:proofErr w:type="spellEnd"/>
      <w:r>
        <w:rPr>
          <w:rFonts w:hint="cs"/>
          <w:rtl/>
        </w:rPr>
        <w:t xml:space="preserve">) ובכ"ד, עפ"י זהר </w:t>
      </w:r>
      <w:proofErr w:type="spellStart"/>
      <w:r>
        <w:rPr>
          <w:rFonts w:hint="cs"/>
          <w:rtl/>
        </w:rPr>
        <w:t>ח"ג</w:t>
      </w:r>
      <w:proofErr w:type="spellEnd"/>
      <w:r>
        <w:rPr>
          <w:rFonts w:hint="cs"/>
          <w:rtl/>
        </w:rPr>
        <w:t xml:space="preserve"> ד, א.</w:t>
      </w:r>
    </w:p>
  </w:endnote>
  <w:endnote w:id="5">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ראה תניא </w:t>
      </w:r>
      <w:proofErr w:type="spellStart"/>
      <w:r>
        <w:rPr>
          <w:rFonts w:hint="cs"/>
          <w:rtl/>
        </w:rPr>
        <w:t>פכ"ו</w:t>
      </w:r>
      <w:proofErr w:type="spellEnd"/>
      <w:r>
        <w:rPr>
          <w:rFonts w:hint="cs"/>
          <w:rtl/>
        </w:rPr>
        <w:t xml:space="preserve"> (עפ"י תהלים צ, </w:t>
      </w:r>
      <w:proofErr w:type="spellStart"/>
      <w:r>
        <w:rPr>
          <w:rFonts w:hint="cs"/>
          <w:rtl/>
        </w:rPr>
        <w:t>יב</w:t>
      </w:r>
      <w:proofErr w:type="spellEnd"/>
      <w:r>
        <w:rPr>
          <w:rFonts w:hint="cs"/>
          <w:rtl/>
        </w:rPr>
        <w:t>).</w:t>
      </w:r>
    </w:p>
  </w:endnote>
  <w:endnote w:id="6">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וראה יין משמח ח"א שער ראשון, בתורה "מה' </w:t>
      </w:r>
      <w:proofErr w:type="spellStart"/>
      <w:r>
        <w:rPr>
          <w:rFonts w:hint="cs"/>
          <w:rtl/>
        </w:rPr>
        <w:t>אשה</w:t>
      </w:r>
      <w:proofErr w:type="spellEnd"/>
      <w:r>
        <w:rPr>
          <w:rFonts w:hint="cs"/>
          <w:rtl/>
        </w:rPr>
        <w:t xml:space="preserve"> לאיש".</w:t>
      </w:r>
    </w:p>
  </w:endnote>
  <w:endnote w:id="7">
    <w:p w:rsidR="00125865" w:rsidRDefault="00125865" w:rsidP="00125865">
      <w:pPr>
        <w:pStyle w:val="a3"/>
        <w:rPr>
          <w:rFonts w:hint="cs"/>
          <w:rtl/>
        </w:rPr>
      </w:pPr>
      <w:r>
        <w:rPr>
          <w:rtl/>
        </w:rPr>
        <w:tab/>
      </w:r>
      <w:r w:rsidRPr="00330483">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8">
    <w:p w:rsidR="00125865" w:rsidRDefault="00125865" w:rsidP="00125865">
      <w:pPr>
        <w:pStyle w:val="a3"/>
        <w:rPr>
          <w:rFonts w:hint="cs"/>
        </w:rPr>
      </w:pPr>
      <w:r>
        <w:rPr>
          <w:rtl/>
        </w:rPr>
        <w:tab/>
      </w:r>
      <w:r w:rsidRPr="00330483">
        <w:rPr>
          <w:rtl/>
        </w:rPr>
        <w:endnoteRef/>
      </w:r>
      <w:r>
        <w:rPr>
          <w:rtl/>
        </w:rPr>
        <w:t>.</w:t>
      </w:r>
      <w:r>
        <w:rPr>
          <w:rtl/>
        </w:rPr>
        <w:tab/>
      </w:r>
      <w:r>
        <w:rPr>
          <w:rFonts w:hint="cs"/>
          <w:rtl/>
        </w:rPr>
        <w:t>רש"י שם, ד"ה "שכינה ביניהם".</w:t>
      </w:r>
    </w:p>
  </w:endnote>
  <w:endnote w:id="9">
    <w:p w:rsidR="00125865" w:rsidRDefault="00125865" w:rsidP="00125865">
      <w:pPr>
        <w:pStyle w:val="a3"/>
        <w:rPr>
          <w:rFonts w:hint="cs"/>
          <w:rtl/>
        </w:rPr>
      </w:pPr>
      <w:r>
        <w:rPr>
          <w:rtl/>
        </w:rPr>
        <w:tab/>
      </w:r>
      <w:r w:rsidRPr="00330483">
        <w:rPr>
          <w:rtl/>
        </w:rPr>
        <w:endnoteRef/>
      </w:r>
      <w:r>
        <w:rPr>
          <w:rtl/>
        </w:rPr>
        <w:t>.</w:t>
      </w:r>
      <w:r>
        <w:rPr>
          <w:rtl/>
        </w:rPr>
        <w:tab/>
      </w:r>
      <w:r>
        <w:rPr>
          <w:rFonts w:hint="cs"/>
          <w:rtl/>
        </w:rPr>
        <w:t>רש"י לבראשית ו, ט (עפ"י בראשית רבה ל, 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D97" w:rsidRDefault="005B1D97" w:rsidP="00125865">
      <w:pPr>
        <w:spacing w:after="0" w:line="240" w:lineRule="auto"/>
      </w:pPr>
      <w:r>
        <w:separator/>
      </w:r>
    </w:p>
  </w:footnote>
  <w:footnote w:type="continuationSeparator" w:id="0">
    <w:p w:rsidR="005B1D97" w:rsidRDefault="005B1D97" w:rsidP="00125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6E"/>
    <w:rsid w:val="00061E65"/>
    <w:rsid w:val="00125865"/>
    <w:rsid w:val="005B1D97"/>
    <w:rsid w:val="009C4B6E"/>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125865"/>
    <w:pPr>
      <w:spacing w:after="0" w:line="240" w:lineRule="auto"/>
    </w:pPr>
    <w:rPr>
      <w:sz w:val="20"/>
      <w:szCs w:val="20"/>
    </w:rPr>
  </w:style>
  <w:style w:type="character" w:customStyle="1" w:styleId="a4">
    <w:name w:val="טקסט הערת סיום תו"/>
    <w:basedOn w:val="a0"/>
    <w:link w:val="a3"/>
    <w:uiPriority w:val="99"/>
    <w:semiHidden/>
    <w:rsid w:val="0012586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125865"/>
    <w:pPr>
      <w:spacing w:after="0" w:line="240" w:lineRule="auto"/>
    </w:pPr>
    <w:rPr>
      <w:sz w:val="20"/>
      <w:szCs w:val="20"/>
    </w:rPr>
  </w:style>
  <w:style w:type="character" w:customStyle="1" w:styleId="a4">
    <w:name w:val="טקסט הערת סיום תו"/>
    <w:basedOn w:val="a0"/>
    <w:link w:val="a3"/>
    <w:uiPriority w:val="99"/>
    <w:semiHidden/>
    <w:rsid w:val="001258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2093</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2017-08-15T06:44:00Z</dcterms:created>
  <dcterms:modified xsi:type="dcterms:W3CDTF">2017-08-15T06:44:00Z</dcterms:modified>
</cp:coreProperties>
</file>