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F2C" w:rsidRPr="00CA7F2C" w:rsidRDefault="00CA7F2C" w:rsidP="00CA7F2C">
      <w:pPr>
        <w:spacing w:before="1040" w:after="640" w:line="240" w:lineRule="auto"/>
        <w:ind w:left="-45"/>
        <w:jc w:val="right"/>
        <w:outlineLvl w:val="1"/>
        <w:rPr>
          <w:rFonts w:ascii="DF Calligraphic Ornaments LET" w:hAnsi="DF Calligraphic Ornaments LET" w:cs="Guttman Soncino"/>
          <w:noProof/>
          <w:spacing w:val="20"/>
          <w:w w:val="90"/>
          <w:kern w:val="28"/>
          <w:sz w:val="44"/>
          <w:szCs w:val="46"/>
          <w:rtl/>
          <w:lang w:eastAsia="en-US"/>
        </w:rPr>
      </w:pPr>
      <w:bookmarkStart w:id="0" w:name="_Toc188281732"/>
      <w:bookmarkStart w:id="1" w:name="_Ref188281976"/>
      <w:r w:rsidRPr="00CA7F2C">
        <w:rPr>
          <w:rFonts w:ascii="DF Calligraphic Ornaments LET" w:hAnsi="DF Calligraphic Ornaments LET" w:cs="Guttman Soncino" w:hint="cs"/>
          <w:noProof/>
          <w:spacing w:val="20"/>
          <w:w w:val="90"/>
          <w:kern w:val="28"/>
          <w:sz w:val="44"/>
          <w:szCs w:val="46"/>
          <w:rtl/>
          <w:lang w:eastAsia="en-US"/>
        </w:rPr>
        <w:t>לא יחפֹץ כסיל בתבונה</w:t>
      </w:r>
      <w:bookmarkEnd w:id="0"/>
      <w:bookmarkEnd w:id="1"/>
    </w:p>
    <w:p w:rsidR="00CA7F2C" w:rsidRPr="00CA7F2C" w:rsidRDefault="00CA7F2C" w:rsidP="00CA7F2C">
      <w:pPr>
        <w:keepNext/>
        <w:framePr w:dropCap="drop" w:lines="2" w:hSpace="57" w:wrap="around" w:vAnchor="text" w:hAnchor="text" w:xAlign="right"/>
        <w:spacing w:after="0" w:line="760" w:lineRule="exact"/>
        <w:textAlignment w:val="baseline"/>
        <w:rPr>
          <w:rFonts w:cs="Guttman Soncino"/>
          <w:b/>
          <w:bCs/>
          <w:color w:val="808080"/>
          <w:position w:val="-5"/>
          <w:sz w:val="85"/>
          <w:szCs w:val="85"/>
          <w:rtl/>
        </w:rPr>
      </w:pPr>
      <w:r w:rsidRPr="00CA7F2C">
        <w:rPr>
          <w:rFonts w:cs="Guttman Soncino" w:hint="cs"/>
          <w:b/>
          <w:bCs/>
          <w:color w:val="808080"/>
          <w:position w:val="-5"/>
          <w:sz w:val="85"/>
          <w:szCs w:val="85"/>
          <w:rtl/>
        </w:rPr>
        <w:t>ר</w:t>
      </w:r>
    </w:p>
    <w:p w:rsidR="00CA7F2C" w:rsidRPr="00CA7F2C" w:rsidRDefault="00CA7F2C" w:rsidP="00CA7F2C">
      <w:pPr>
        <w:spacing w:after="80"/>
        <w:rPr>
          <w:rFonts w:hint="cs"/>
          <w:rtl/>
        </w:rPr>
      </w:pPr>
      <w:r w:rsidRPr="00CA7F2C">
        <w:rPr>
          <w:rFonts w:hint="cs"/>
          <w:rtl/>
        </w:rPr>
        <w:t>וב הקשיים בחיי הנישואין נובעים מכך שהאדם מחפש את עצמו</w:t>
      </w:r>
      <w:r w:rsidRPr="00CA7F2C">
        <w:rPr>
          <w:noProof/>
          <w:position w:val="-4"/>
          <w:vertAlign w:val="superscript"/>
          <w:rtl/>
        </w:rPr>
        <w:endnoteReference w:id="1"/>
      </w:r>
      <w:r w:rsidRPr="00CA7F2C">
        <w:rPr>
          <w:rFonts w:hint="cs"/>
          <w:rtl/>
        </w:rPr>
        <w:t>, את ביטוי והתגלות ה'אני' שלו, במקום לחפש באמת את בן/בת הזוג. אז, במקום "</w:t>
      </w:r>
      <w:r w:rsidRPr="00CA7F2C">
        <w:rPr>
          <w:rFonts w:cs="MiriamMFO" w:hint="cs"/>
          <w:sz w:val="21"/>
          <w:szCs w:val="23"/>
          <w:rtl/>
        </w:rPr>
        <w:t xml:space="preserve">מצא </w:t>
      </w:r>
      <w:proofErr w:type="spellStart"/>
      <w:r w:rsidRPr="00CA7F2C">
        <w:rPr>
          <w:rFonts w:cs="MiriamMFO" w:hint="cs"/>
          <w:sz w:val="21"/>
          <w:szCs w:val="23"/>
          <w:rtl/>
        </w:rPr>
        <w:t>אשה</w:t>
      </w:r>
      <w:proofErr w:type="spellEnd"/>
      <w:r w:rsidRPr="00CA7F2C">
        <w:rPr>
          <w:rFonts w:hint="cs"/>
          <w:rtl/>
        </w:rPr>
        <w:t xml:space="preserve"> מצא טוב"</w:t>
      </w:r>
      <w:r w:rsidRPr="00CA7F2C">
        <w:rPr>
          <w:noProof/>
          <w:position w:val="-4"/>
          <w:vertAlign w:val="superscript"/>
          <w:rtl/>
        </w:rPr>
        <w:endnoteReference w:id="2"/>
      </w:r>
      <w:r w:rsidRPr="00CA7F2C">
        <w:rPr>
          <w:rFonts w:hint="cs"/>
          <w:rtl/>
        </w:rPr>
        <w:t xml:space="preserve"> נופל בחלקו "</w:t>
      </w:r>
      <w:r w:rsidRPr="00CA7F2C">
        <w:rPr>
          <w:rFonts w:cs="MiriamMFO" w:hint="cs"/>
          <w:sz w:val="21"/>
          <w:szCs w:val="23"/>
          <w:rtl/>
        </w:rPr>
        <w:t>ומוצא אני</w:t>
      </w:r>
      <w:r w:rsidRPr="00CA7F2C">
        <w:rPr>
          <w:rFonts w:hint="cs"/>
          <w:rtl/>
        </w:rPr>
        <w:t xml:space="preserve"> מר ממות [את </w:t>
      </w:r>
      <w:proofErr w:type="spellStart"/>
      <w:r w:rsidRPr="00CA7F2C">
        <w:rPr>
          <w:rFonts w:hint="cs"/>
          <w:rtl/>
        </w:rPr>
        <w:t>האשה</w:t>
      </w:r>
      <w:proofErr w:type="spellEnd"/>
      <w:r w:rsidRPr="00CA7F2C">
        <w:rPr>
          <w:rFonts w:hint="cs"/>
          <w:rtl/>
        </w:rPr>
        <w:t>]"</w:t>
      </w:r>
      <w:r w:rsidRPr="00CA7F2C">
        <w:rPr>
          <w:noProof/>
          <w:position w:val="-4"/>
          <w:vertAlign w:val="superscript"/>
          <w:rtl/>
        </w:rPr>
        <w:endnoteReference w:id="3"/>
      </w:r>
      <w:r w:rsidRPr="00CA7F2C">
        <w:rPr>
          <w:rFonts w:hint="cs"/>
          <w:rtl/>
        </w:rPr>
        <w:t>. על חיפוש עצמי כזה, ביחס לעבודת ההתבוננות והתעוררות הלב, נדרש בחסידות</w:t>
      </w:r>
      <w:r w:rsidRPr="00CA7F2C">
        <w:rPr>
          <w:noProof/>
          <w:position w:val="-4"/>
          <w:vertAlign w:val="superscript"/>
          <w:rtl/>
        </w:rPr>
        <w:endnoteReference w:id="4"/>
      </w:r>
      <w:r w:rsidRPr="00CA7F2C">
        <w:rPr>
          <w:rFonts w:hint="cs"/>
          <w:rtl/>
        </w:rPr>
        <w:t xml:space="preserve"> הפסוק "לא </w:t>
      </w:r>
      <w:proofErr w:type="spellStart"/>
      <w:r w:rsidRPr="00CA7F2C">
        <w:rPr>
          <w:rFonts w:hint="cs"/>
          <w:rtl/>
        </w:rPr>
        <w:t>יחפ</w:t>
      </w:r>
      <w:r w:rsidRPr="00CA7F2C">
        <w:rPr>
          <w:rFonts w:hint="cs"/>
          <w:spacing w:val="-10"/>
          <w:rtl/>
        </w:rPr>
        <w:t>ֹ</w:t>
      </w:r>
      <w:r w:rsidRPr="00CA7F2C">
        <w:rPr>
          <w:rFonts w:hint="cs"/>
          <w:rtl/>
        </w:rPr>
        <w:t>ץ</w:t>
      </w:r>
      <w:proofErr w:type="spellEnd"/>
      <w:r w:rsidRPr="00CA7F2C">
        <w:rPr>
          <w:rFonts w:hint="cs"/>
          <w:rtl/>
        </w:rPr>
        <w:t xml:space="preserve"> כסיל בתבונה כי אם בהתגלות לבו"</w:t>
      </w:r>
      <w:r w:rsidRPr="00CA7F2C">
        <w:rPr>
          <w:noProof/>
          <w:position w:val="-4"/>
          <w:vertAlign w:val="superscript"/>
          <w:rtl/>
        </w:rPr>
        <w:endnoteReference w:id="5"/>
      </w:r>
      <w:r w:rsidRPr="00CA7F2C">
        <w:rPr>
          <w:rFonts w:hint="cs"/>
          <w:rtl/>
        </w:rPr>
        <w:t xml:space="preserve"> </w:t>
      </w:r>
      <w:r w:rsidRPr="00CA7F2C">
        <w:rPr>
          <w:rtl/>
        </w:rPr>
        <w:t>–</w:t>
      </w:r>
      <w:r w:rsidRPr="00CA7F2C">
        <w:rPr>
          <w:rFonts w:hint="cs"/>
          <w:rtl/>
        </w:rPr>
        <w:t xml:space="preserve"> הכסיל אינו חפץ בעומק ההתבוננות בה' (המולידה רגשות </w:t>
      </w:r>
      <w:proofErr w:type="spellStart"/>
      <w:r w:rsidRPr="00CA7F2C">
        <w:rPr>
          <w:rFonts w:hint="cs"/>
          <w:rtl/>
        </w:rPr>
        <w:t>אמיתיים</w:t>
      </w:r>
      <w:proofErr w:type="spellEnd"/>
      <w:r w:rsidRPr="00CA7F2C">
        <w:rPr>
          <w:rFonts w:hint="cs"/>
          <w:rtl/>
        </w:rPr>
        <w:t xml:space="preserve"> בנפש) אלא מתמכר </w:t>
      </w:r>
      <w:proofErr w:type="spellStart"/>
      <w:r w:rsidRPr="00CA7F2C">
        <w:rPr>
          <w:rFonts w:hint="cs"/>
          <w:rtl/>
        </w:rPr>
        <w:t>לחוית</w:t>
      </w:r>
      <w:proofErr w:type="spellEnd"/>
      <w:r w:rsidRPr="00CA7F2C">
        <w:rPr>
          <w:rFonts w:hint="cs"/>
          <w:rtl/>
        </w:rPr>
        <w:t xml:space="preserve"> ההתרגשות וההתעוררות האישית. </w:t>
      </w:r>
    </w:p>
    <w:p w:rsidR="00CA7F2C" w:rsidRPr="00CA7F2C" w:rsidRDefault="00CA7F2C" w:rsidP="00CA7F2C">
      <w:pPr>
        <w:rPr>
          <w:rFonts w:hint="cs"/>
          <w:rtl/>
        </w:rPr>
      </w:pPr>
      <w:r w:rsidRPr="00CA7F2C">
        <w:rPr>
          <w:rFonts w:hint="cs"/>
          <w:rtl/>
        </w:rPr>
        <w:t xml:space="preserve">בחיי הנישואין, הכסיל מתמכר לביטוי עצמו, במקום להקדיש תשומת לב </w:t>
      </w:r>
      <w:proofErr w:type="spellStart"/>
      <w:r w:rsidRPr="00CA7F2C">
        <w:rPr>
          <w:rFonts w:hint="cs"/>
          <w:rtl/>
        </w:rPr>
        <w:t>אמיתית</w:t>
      </w:r>
      <w:proofErr w:type="spellEnd"/>
      <w:r w:rsidRPr="00CA7F2C">
        <w:rPr>
          <w:rFonts w:hint="cs"/>
          <w:rtl/>
        </w:rPr>
        <w:t xml:space="preserve"> לאישיות של בן זוגו. במקום השקעה פנימית </w:t>
      </w:r>
      <w:proofErr w:type="spellStart"/>
      <w:r w:rsidRPr="00CA7F2C">
        <w:rPr>
          <w:rFonts w:hint="cs"/>
          <w:rtl/>
        </w:rPr>
        <w:t>בבנין</w:t>
      </w:r>
      <w:proofErr w:type="spellEnd"/>
      <w:r w:rsidRPr="00CA7F2C">
        <w:rPr>
          <w:rFonts w:hint="cs"/>
          <w:rtl/>
        </w:rPr>
        <w:t xml:space="preserve"> קשר יציב ואכפתי עם הזולת, הוא מחפש ריגוש רומנטי (הנובע מיחס לחיצוניותו של זולתו בלבד ונוגע רק לחיצוניות לבו שלו). כשהמציאות </w:t>
      </w:r>
      <w:proofErr w:type="spellStart"/>
      <w:r w:rsidRPr="00CA7F2C">
        <w:rPr>
          <w:rFonts w:hint="cs"/>
          <w:rtl/>
        </w:rPr>
        <w:t>האמיתית</w:t>
      </w:r>
      <w:proofErr w:type="spellEnd"/>
      <w:r w:rsidRPr="00CA7F2C">
        <w:rPr>
          <w:rFonts w:hint="cs"/>
          <w:rtl/>
        </w:rPr>
        <w:t xml:space="preserve"> מערימה קשיים על הדמיונות החיצוניים של האדם, מתעוררים בו דינים וכעסים, ושלום הבית מתערער. כדי לתקן את החיצוניות הזו נדרש האדם, לכל לראש, להכיר בכך שעד כה היה שקוע בעצמו, על אף שנדמה היה לו שהוא מחפש רק אחר התבונה הטהורה. רק מתוך כך יכול האדם לשבור את הקטנות הראשונית הזו, לזכך את עצמו, ולהתחיל לחפוץ ב"תבונה" באמת </w:t>
      </w:r>
      <w:r w:rsidRPr="00CA7F2C">
        <w:rPr>
          <w:rtl/>
        </w:rPr>
        <w:t>–</w:t>
      </w:r>
      <w:r w:rsidRPr="00CA7F2C">
        <w:rPr>
          <w:rFonts w:hint="cs"/>
          <w:rtl/>
        </w:rPr>
        <w:t xml:space="preserve"> בהכרה </w:t>
      </w:r>
      <w:proofErr w:type="spellStart"/>
      <w:r w:rsidRPr="00CA7F2C">
        <w:rPr>
          <w:rFonts w:hint="cs"/>
          <w:rtl/>
        </w:rPr>
        <w:t>אמיתית</w:t>
      </w:r>
      <w:proofErr w:type="spellEnd"/>
      <w:r w:rsidRPr="00CA7F2C">
        <w:rPr>
          <w:rFonts w:hint="cs"/>
          <w:rtl/>
        </w:rPr>
        <w:t xml:space="preserve"> בבן הזוג וברגישות כלפיו.</w:t>
      </w:r>
    </w:p>
    <w:p w:rsidR="00CA7F2C" w:rsidRPr="00CA7F2C" w:rsidRDefault="00CA7F2C" w:rsidP="00CA7F2C">
      <w:pPr>
        <w:rPr>
          <w:rFonts w:hint="cs"/>
          <w:rtl/>
        </w:rPr>
      </w:pPr>
      <w:r w:rsidRPr="00CA7F2C">
        <w:rPr>
          <w:rFonts w:hint="cs"/>
          <w:rtl/>
        </w:rPr>
        <w:t>לתיקון זה יש לכוון בשבירת כוס ה</w:t>
      </w:r>
      <w:r w:rsidRPr="00CA7F2C">
        <w:rPr>
          <w:rFonts w:cs="MiriamMFO" w:hint="cs"/>
          <w:sz w:val="21"/>
          <w:szCs w:val="23"/>
          <w:rtl/>
        </w:rPr>
        <w:t>זכוכית</w:t>
      </w:r>
      <w:r w:rsidRPr="00CA7F2C">
        <w:rPr>
          <w:rFonts w:hint="cs"/>
          <w:rtl/>
        </w:rPr>
        <w:t xml:space="preserve"> תחת החופה, כדי לשבור את הישות הראשונה ו</w:t>
      </w:r>
      <w:r w:rsidRPr="00CA7F2C">
        <w:rPr>
          <w:rFonts w:cs="MiriamMFO" w:hint="cs"/>
          <w:sz w:val="21"/>
          <w:szCs w:val="23"/>
          <w:rtl/>
        </w:rPr>
        <w:t>לזכך</w:t>
      </w:r>
      <w:r w:rsidRPr="00CA7F2C">
        <w:rPr>
          <w:rFonts w:hint="cs"/>
          <w:rtl/>
        </w:rPr>
        <w:t xml:space="preserve"> אותה. והרמז: </w:t>
      </w:r>
      <w:r w:rsidRPr="00CA7F2C">
        <w:rPr>
          <w:rFonts w:hint="cs"/>
          <w:b/>
          <w:bCs/>
          <w:sz w:val="28"/>
          <w:szCs w:val="28"/>
          <w:rtl/>
        </w:rPr>
        <w:t>זכוכית</w:t>
      </w:r>
      <w:r w:rsidRPr="00CA7F2C">
        <w:rPr>
          <w:rFonts w:hint="cs"/>
          <w:rtl/>
        </w:rPr>
        <w:t xml:space="preserve"> עולה </w:t>
      </w:r>
      <w:proofErr w:type="spellStart"/>
      <w:r w:rsidRPr="00CA7F2C">
        <w:rPr>
          <w:rFonts w:hint="cs"/>
          <w:rtl/>
        </w:rPr>
        <w:t>בגימטריא</w:t>
      </w:r>
      <w:proofErr w:type="spellEnd"/>
      <w:r w:rsidRPr="00CA7F2C">
        <w:rPr>
          <w:rFonts w:hint="cs"/>
          <w:rtl/>
        </w:rPr>
        <w:t xml:space="preserve"> </w:t>
      </w:r>
      <w:r w:rsidRPr="00CA7F2C">
        <w:rPr>
          <w:rFonts w:hint="cs"/>
          <w:b/>
          <w:bCs/>
          <w:sz w:val="28"/>
          <w:szCs w:val="28"/>
          <w:rtl/>
        </w:rPr>
        <w:t>תבונה</w:t>
      </w:r>
      <w:r w:rsidRPr="00CA7F2C">
        <w:rPr>
          <w:noProof/>
          <w:position w:val="-4"/>
          <w:vertAlign w:val="superscript"/>
          <w:rtl/>
        </w:rPr>
        <w:endnoteReference w:id="6"/>
      </w:r>
      <w:r w:rsidRPr="00CA7F2C">
        <w:rPr>
          <w:rFonts w:hint="cs"/>
          <w:rtl/>
        </w:rPr>
        <w:t xml:space="preserve">. על חיצוניות התבונה נאמר "מינה </w:t>
      </w:r>
      <w:proofErr w:type="spellStart"/>
      <w:r w:rsidRPr="00CA7F2C">
        <w:rPr>
          <w:rFonts w:hint="cs"/>
          <w:rtl/>
        </w:rPr>
        <w:t>דינין</w:t>
      </w:r>
      <w:proofErr w:type="spellEnd"/>
      <w:r w:rsidRPr="00CA7F2C">
        <w:rPr>
          <w:rFonts w:hint="cs"/>
          <w:rtl/>
        </w:rPr>
        <w:t xml:space="preserve"> </w:t>
      </w:r>
      <w:proofErr w:type="spellStart"/>
      <w:r w:rsidRPr="00CA7F2C">
        <w:rPr>
          <w:rFonts w:hint="cs"/>
          <w:rtl/>
        </w:rPr>
        <w:t>מתערין</w:t>
      </w:r>
      <w:proofErr w:type="spellEnd"/>
      <w:r w:rsidRPr="00CA7F2C">
        <w:rPr>
          <w:rFonts w:hint="cs"/>
          <w:rtl/>
        </w:rPr>
        <w:t>"</w:t>
      </w:r>
      <w:r w:rsidRPr="00CA7F2C">
        <w:rPr>
          <w:noProof/>
          <w:position w:val="-4"/>
          <w:vertAlign w:val="superscript"/>
          <w:rtl/>
        </w:rPr>
        <w:endnoteReference w:id="7"/>
      </w:r>
      <w:r w:rsidRPr="00CA7F2C">
        <w:rPr>
          <w:rFonts w:hint="cs"/>
          <w:rtl/>
        </w:rPr>
        <w:t xml:space="preserve"> (ממנה מתעוררים הדינים). כלומר, יומרת ההבנה החיצונית מעוררת דינים וכעסים על מי שאינו מתאים את עצמו להבנה זאת. בתוך הבית דינים אלו הם הכעס כלפי בן הזוג, כאשר הלה איננו מתאים את עצמו לתבניות שהאדם בנה בתוכו. שבירת כוס הזכוכית מכוונת להוציא את האדם מהקטנות של "לא </w:t>
      </w:r>
      <w:proofErr w:type="spellStart"/>
      <w:r w:rsidRPr="00CA7F2C">
        <w:rPr>
          <w:rFonts w:hint="cs"/>
          <w:rtl/>
        </w:rPr>
        <w:t>יחפ</w:t>
      </w:r>
      <w:r w:rsidRPr="00CA7F2C">
        <w:rPr>
          <w:rFonts w:hint="cs"/>
          <w:spacing w:val="-10"/>
          <w:rtl/>
        </w:rPr>
        <w:t>ֹ</w:t>
      </w:r>
      <w:r w:rsidRPr="00CA7F2C">
        <w:rPr>
          <w:rFonts w:hint="cs"/>
          <w:rtl/>
        </w:rPr>
        <w:t>ץ</w:t>
      </w:r>
      <w:proofErr w:type="spellEnd"/>
      <w:r w:rsidRPr="00CA7F2C">
        <w:rPr>
          <w:rFonts w:hint="cs"/>
          <w:rtl/>
        </w:rPr>
        <w:t xml:space="preserve"> כסיל בתבונה כי אם בהתגלות לבו", לבטל את כל הכעסים </w:t>
      </w:r>
      <w:proofErr w:type="spellStart"/>
      <w:r w:rsidRPr="00CA7F2C">
        <w:rPr>
          <w:rFonts w:hint="cs"/>
          <w:rtl/>
        </w:rPr>
        <w:t>וההקפדות</w:t>
      </w:r>
      <w:proofErr w:type="spellEnd"/>
      <w:r w:rsidRPr="00CA7F2C">
        <w:rPr>
          <w:rFonts w:hint="cs"/>
          <w:rtl/>
        </w:rPr>
        <w:t xml:space="preserve"> בבית ולהכשיר את החתן והכלה </w:t>
      </w:r>
      <w:proofErr w:type="spellStart"/>
      <w:r w:rsidRPr="00CA7F2C">
        <w:rPr>
          <w:rFonts w:hint="cs"/>
          <w:rtl/>
        </w:rPr>
        <w:t>להתענינות</w:t>
      </w:r>
      <w:proofErr w:type="spellEnd"/>
      <w:r w:rsidRPr="00CA7F2C">
        <w:rPr>
          <w:rFonts w:hint="cs"/>
          <w:rtl/>
        </w:rPr>
        <w:t xml:space="preserve"> וחיפוש תבונה </w:t>
      </w:r>
      <w:proofErr w:type="spellStart"/>
      <w:r w:rsidRPr="00CA7F2C">
        <w:rPr>
          <w:rFonts w:hint="cs"/>
          <w:rtl/>
        </w:rPr>
        <w:t>אמיתיים</w:t>
      </w:r>
      <w:proofErr w:type="spellEnd"/>
      <w:r w:rsidRPr="00CA7F2C">
        <w:rPr>
          <w:rFonts w:hint="cs"/>
          <w:rtl/>
        </w:rPr>
        <w:t xml:space="preserve"> דרך אישיותו של בן/בת הזוג.</w:t>
      </w:r>
    </w:p>
    <w:p w:rsidR="00CA7F2C" w:rsidRPr="00CA7F2C" w:rsidRDefault="00CA7F2C" w:rsidP="00CA7F2C">
      <w:pPr>
        <w:rPr>
          <w:rFonts w:hint="cs"/>
          <w:rtl/>
        </w:rPr>
      </w:pPr>
      <w:r w:rsidRPr="00CA7F2C">
        <w:rPr>
          <w:rFonts w:hint="cs"/>
          <w:rtl/>
        </w:rPr>
        <w:t xml:space="preserve">בקבלה, בינה-תבונה היא מדת האם, פרצוף </w:t>
      </w:r>
      <w:proofErr w:type="spellStart"/>
      <w:r w:rsidRPr="00CA7F2C">
        <w:rPr>
          <w:rFonts w:hint="cs"/>
          <w:rtl/>
        </w:rPr>
        <w:t>אמא</w:t>
      </w:r>
      <w:proofErr w:type="spellEnd"/>
      <w:r w:rsidRPr="00CA7F2C">
        <w:rPr>
          <w:rFonts w:hint="cs"/>
          <w:rtl/>
        </w:rPr>
        <w:t>, וכשהחתן שובר את כוס הזכוכית עליו לחשוף בתוכו תכונות נשיות שהן ירושה לו מאמו</w:t>
      </w:r>
      <w:r w:rsidRPr="00CA7F2C">
        <w:rPr>
          <w:noProof/>
          <w:position w:val="-4"/>
          <w:vertAlign w:val="superscript"/>
          <w:rtl/>
        </w:rPr>
        <w:endnoteReference w:id="8"/>
      </w:r>
      <w:r w:rsidRPr="00CA7F2C">
        <w:rPr>
          <w:rFonts w:hint="cs"/>
          <w:rtl/>
        </w:rPr>
        <w:t xml:space="preserve">. בכך הוא ממשיך את שבירת צלחת החרס על ידי </w:t>
      </w:r>
      <w:proofErr w:type="spellStart"/>
      <w:r w:rsidRPr="00CA7F2C">
        <w:rPr>
          <w:rFonts w:hint="cs"/>
          <w:rtl/>
        </w:rPr>
        <w:t>אמהות</w:t>
      </w:r>
      <w:proofErr w:type="spellEnd"/>
      <w:r w:rsidRPr="00CA7F2C">
        <w:rPr>
          <w:rFonts w:hint="cs"/>
          <w:rtl/>
        </w:rPr>
        <w:t xml:space="preserve"> החתן והכלה בעת התקשרות השידוך</w:t>
      </w:r>
      <w:r w:rsidRPr="00CA7F2C">
        <w:rPr>
          <w:noProof/>
          <w:position w:val="-4"/>
          <w:vertAlign w:val="superscript"/>
          <w:rtl/>
        </w:rPr>
        <w:endnoteReference w:id="9"/>
      </w:r>
      <w:r w:rsidRPr="00CA7F2C">
        <w:rPr>
          <w:rFonts w:hint="cs"/>
          <w:rtl/>
        </w:rPr>
        <w:t xml:space="preserve">. ועוד, בדרגת התבונה </w:t>
      </w:r>
      <w:proofErr w:type="spellStart"/>
      <w:r w:rsidRPr="00CA7F2C">
        <w:rPr>
          <w:rFonts w:hint="cs"/>
          <w:rtl/>
        </w:rPr>
        <w:t>האמהית</w:t>
      </w:r>
      <w:proofErr w:type="spellEnd"/>
      <w:r w:rsidRPr="00CA7F2C">
        <w:rPr>
          <w:rFonts w:hint="cs"/>
          <w:rtl/>
        </w:rPr>
        <w:t xml:space="preserve"> הזו נמצא השילוב התמידי בין ההפכים של בתולה ובעולה</w:t>
      </w:r>
      <w:r w:rsidRPr="00CA7F2C">
        <w:rPr>
          <w:noProof/>
          <w:position w:val="-4"/>
          <w:vertAlign w:val="superscript"/>
          <w:rtl/>
        </w:rPr>
        <w:endnoteReference w:id="10"/>
      </w:r>
      <w:r w:rsidRPr="00CA7F2C">
        <w:rPr>
          <w:rFonts w:hint="cs"/>
          <w:rtl/>
        </w:rPr>
        <w:t>, בה ניתן לחדש מיניה וביה את הבתולין וההתחדשות בחיי הנישואין (כשם שאת הכוס השבורה ניתן להתיך ולחבר שוב). שבירת הכוס (הרומזת גם לשבירת הבתולים</w:t>
      </w:r>
      <w:r w:rsidRPr="00CA7F2C">
        <w:rPr>
          <w:noProof/>
          <w:position w:val="-4"/>
          <w:vertAlign w:val="superscript"/>
          <w:rtl/>
        </w:rPr>
        <w:endnoteReference w:id="11"/>
      </w:r>
      <w:r w:rsidRPr="00CA7F2C">
        <w:rPr>
          <w:rFonts w:hint="cs"/>
          <w:rtl/>
        </w:rPr>
        <w:t xml:space="preserve">) מכוונת גם לכך </w:t>
      </w:r>
      <w:r w:rsidRPr="00CA7F2C">
        <w:rPr>
          <w:rtl/>
        </w:rPr>
        <w:t>–</w:t>
      </w:r>
      <w:r w:rsidRPr="00CA7F2C">
        <w:rPr>
          <w:rFonts w:hint="cs"/>
          <w:rtl/>
        </w:rPr>
        <w:t xml:space="preserve"> כאשר שוברים את התובנות החיצוניות על בן הזוג, המוכר-לכאורה, חוזרת היכולת להתייחס לבן הזוג באופן בתולי ומתחדש.</w:t>
      </w:r>
    </w:p>
    <w:p w:rsidR="005F4A47" w:rsidRPr="00CA7F2C" w:rsidRDefault="004949C6" w:rsidP="00CA7F2C">
      <w:bookmarkStart w:id="2" w:name="_GoBack"/>
      <w:bookmarkEnd w:id="2"/>
    </w:p>
    <w:sectPr w:rsidR="005F4A47" w:rsidRPr="00CA7F2C"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9C6" w:rsidRDefault="004949C6" w:rsidP="00CA7F2C">
      <w:pPr>
        <w:spacing w:after="0" w:line="240" w:lineRule="auto"/>
      </w:pPr>
      <w:r>
        <w:separator/>
      </w:r>
    </w:p>
  </w:endnote>
  <w:endnote w:type="continuationSeparator" w:id="0">
    <w:p w:rsidR="004949C6" w:rsidRDefault="004949C6" w:rsidP="00CA7F2C">
      <w:pPr>
        <w:spacing w:after="0" w:line="240" w:lineRule="auto"/>
      </w:pPr>
      <w:r>
        <w:continuationSeparator/>
      </w:r>
    </w:p>
  </w:endnote>
  <w:endnote w:id="1">
    <w:p w:rsidR="00CA7F2C" w:rsidRDefault="00CA7F2C" w:rsidP="00CA7F2C">
      <w:pPr>
        <w:pStyle w:val="a4"/>
        <w:rPr>
          <w:rFonts w:hint="cs"/>
        </w:rPr>
      </w:pPr>
      <w:r>
        <w:rPr>
          <w:rtl/>
        </w:rPr>
        <w:tab/>
      </w:r>
      <w:r w:rsidRPr="00330483">
        <w:rPr>
          <w:rtl/>
        </w:rPr>
        <w:endnoteRef/>
      </w:r>
      <w:r>
        <w:rPr>
          <w:rtl/>
        </w:rPr>
        <w:t>.</w:t>
      </w:r>
      <w:r>
        <w:rPr>
          <w:rtl/>
        </w:rPr>
        <w:tab/>
      </w:r>
      <w:r>
        <w:rPr>
          <w:rFonts w:hint="cs"/>
          <w:rtl/>
        </w:rPr>
        <w:t xml:space="preserve">בכל המבואר </w:t>
      </w:r>
      <w:proofErr w:type="spellStart"/>
      <w:r>
        <w:rPr>
          <w:rFonts w:hint="cs"/>
          <w:rtl/>
        </w:rPr>
        <w:t>בפיסקה</w:t>
      </w:r>
      <w:proofErr w:type="spellEnd"/>
      <w:r>
        <w:rPr>
          <w:rFonts w:hint="cs"/>
          <w:rtl/>
        </w:rPr>
        <w:t xml:space="preserve"> הראשונה כאן ראה באריכות בהקדמת הספר שכינה ביניהם.</w:t>
      </w:r>
    </w:p>
  </w:endnote>
  <w:endnote w:id="2">
    <w:p w:rsidR="00CA7F2C" w:rsidRDefault="00CA7F2C" w:rsidP="00CA7F2C">
      <w:pPr>
        <w:pStyle w:val="a4"/>
        <w:rPr>
          <w:rFonts w:hint="cs"/>
          <w:rtl/>
        </w:rPr>
      </w:pPr>
      <w:r>
        <w:rPr>
          <w:rtl/>
        </w:rPr>
        <w:tab/>
      </w:r>
      <w:r w:rsidRPr="00330483">
        <w:rPr>
          <w:rtl/>
        </w:rPr>
        <w:endnoteRef/>
      </w:r>
      <w:r>
        <w:rPr>
          <w:rtl/>
        </w:rPr>
        <w:t>.</w:t>
      </w:r>
      <w:r>
        <w:rPr>
          <w:rtl/>
        </w:rPr>
        <w:tab/>
      </w:r>
      <w:r>
        <w:rPr>
          <w:rFonts w:hint="cs"/>
          <w:rtl/>
        </w:rPr>
        <w:t xml:space="preserve">משלי </w:t>
      </w:r>
      <w:proofErr w:type="spellStart"/>
      <w:r>
        <w:rPr>
          <w:rFonts w:hint="cs"/>
          <w:rtl/>
        </w:rPr>
        <w:t>יח</w:t>
      </w:r>
      <w:proofErr w:type="spellEnd"/>
      <w:r>
        <w:rPr>
          <w:rFonts w:hint="cs"/>
          <w:rtl/>
        </w:rPr>
        <w:t xml:space="preserve">, </w:t>
      </w:r>
      <w:proofErr w:type="spellStart"/>
      <w:r>
        <w:rPr>
          <w:rFonts w:hint="cs"/>
          <w:rtl/>
        </w:rPr>
        <w:t>כב</w:t>
      </w:r>
      <w:proofErr w:type="spellEnd"/>
      <w:r>
        <w:rPr>
          <w:rFonts w:hint="cs"/>
          <w:rtl/>
        </w:rPr>
        <w:t>.</w:t>
      </w:r>
    </w:p>
  </w:endnote>
  <w:endnote w:id="3">
    <w:p w:rsidR="00CA7F2C" w:rsidRDefault="00CA7F2C" w:rsidP="00CA7F2C">
      <w:pPr>
        <w:pStyle w:val="a4"/>
        <w:rPr>
          <w:rFonts w:hint="cs"/>
          <w:rtl/>
        </w:rPr>
      </w:pPr>
      <w:r>
        <w:rPr>
          <w:rtl/>
        </w:rPr>
        <w:tab/>
      </w:r>
      <w:r w:rsidRPr="00330483">
        <w:rPr>
          <w:rtl/>
        </w:rPr>
        <w:endnoteRef/>
      </w:r>
      <w:r>
        <w:rPr>
          <w:rtl/>
        </w:rPr>
        <w:t>.</w:t>
      </w:r>
      <w:r>
        <w:rPr>
          <w:rtl/>
        </w:rPr>
        <w:tab/>
      </w:r>
      <w:r>
        <w:rPr>
          <w:rFonts w:hint="cs"/>
          <w:rtl/>
        </w:rPr>
        <w:t xml:space="preserve">קהלת ז, </w:t>
      </w:r>
      <w:proofErr w:type="spellStart"/>
      <w:r>
        <w:rPr>
          <w:rFonts w:hint="cs"/>
          <w:rtl/>
        </w:rPr>
        <w:t>כו</w:t>
      </w:r>
      <w:proofErr w:type="spellEnd"/>
      <w:r>
        <w:rPr>
          <w:rFonts w:hint="cs"/>
          <w:rtl/>
        </w:rPr>
        <w:t>.</w:t>
      </w:r>
    </w:p>
  </w:endnote>
  <w:endnote w:id="4">
    <w:p w:rsidR="00CA7F2C" w:rsidRDefault="00CA7F2C" w:rsidP="00CA7F2C">
      <w:pPr>
        <w:pStyle w:val="a4"/>
        <w:rPr>
          <w:rFonts w:hint="cs"/>
        </w:rPr>
      </w:pPr>
      <w:r>
        <w:rPr>
          <w:rtl/>
        </w:rPr>
        <w:tab/>
      </w:r>
      <w:r w:rsidRPr="00330483">
        <w:rPr>
          <w:rtl/>
        </w:rPr>
        <w:endnoteRef/>
      </w:r>
      <w:r>
        <w:rPr>
          <w:rtl/>
        </w:rPr>
        <w:t>.</w:t>
      </w:r>
      <w:r>
        <w:rPr>
          <w:rtl/>
        </w:rPr>
        <w:tab/>
      </w:r>
      <w:r>
        <w:rPr>
          <w:rFonts w:hint="cs"/>
          <w:rtl/>
        </w:rPr>
        <w:t xml:space="preserve">מאמרי אדמו"ר הזקן </w:t>
      </w:r>
      <w:proofErr w:type="spellStart"/>
      <w:r>
        <w:rPr>
          <w:rFonts w:hint="cs"/>
          <w:rtl/>
        </w:rPr>
        <w:t>ענינים</w:t>
      </w:r>
      <w:proofErr w:type="spellEnd"/>
      <w:r>
        <w:rPr>
          <w:rFonts w:hint="cs"/>
          <w:rtl/>
        </w:rPr>
        <w:t xml:space="preserve"> עמ' </w:t>
      </w:r>
      <w:proofErr w:type="spellStart"/>
      <w:r>
        <w:rPr>
          <w:rFonts w:hint="cs"/>
          <w:rtl/>
        </w:rPr>
        <w:t>קלג</w:t>
      </w:r>
      <w:proofErr w:type="spellEnd"/>
      <w:r>
        <w:rPr>
          <w:rFonts w:hint="cs"/>
          <w:rtl/>
        </w:rPr>
        <w:t xml:space="preserve"> (הובא בהקדמת שכינה ביניהם הערה </w:t>
      </w:r>
      <w:proofErr w:type="spellStart"/>
      <w:r>
        <w:rPr>
          <w:rFonts w:hint="cs"/>
          <w:rtl/>
        </w:rPr>
        <w:t>יג</w:t>
      </w:r>
      <w:proofErr w:type="spellEnd"/>
      <w:r>
        <w:rPr>
          <w:rFonts w:hint="cs"/>
          <w:rtl/>
        </w:rPr>
        <w:t xml:space="preserve"> ובאור ישראל </w:t>
      </w:r>
      <w:proofErr w:type="spellStart"/>
      <w:r>
        <w:rPr>
          <w:rFonts w:hint="cs"/>
          <w:rtl/>
        </w:rPr>
        <w:t>ח"ב</w:t>
      </w:r>
      <w:proofErr w:type="spellEnd"/>
      <w:r>
        <w:rPr>
          <w:rFonts w:hint="cs"/>
          <w:rtl/>
        </w:rPr>
        <w:t xml:space="preserve"> עמ' נא-</w:t>
      </w:r>
      <w:proofErr w:type="spellStart"/>
      <w:r>
        <w:rPr>
          <w:rFonts w:hint="cs"/>
          <w:rtl/>
        </w:rPr>
        <w:t>נג</w:t>
      </w:r>
      <w:proofErr w:type="spellEnd"/>
      <w:r>
        <w:rPr>
          <w:rFonts w:hint="cs"/>
          <w:rtl/>
        </w:rPr>
        <w:t>).</w:t>
      </w:r>
    </w:p>
  </w:endnote>
  <w:endnote w:id="5">
    <w:p w:rsidR="00CA7F2C" w:rsidRDefault="00CA7F2C" w:rsidP="00CA7F2C">
      <w:pPr>
        <w:pStyle w:val="a4"/>
        <w:rPr>
          <w:rFonts w:hint="cs"/>
          <w:rtl/>
        </w:rPr>
      </w:pPr>
      <w:r>
        <w:rPr>
          <w:rtl/>
        </w:rPr>
        <w:tab/>
      </w:r>
      <w:r w:rsidRPr="00330483">
        <w:rPr>
          <w:rtl/>
        </w:rPr>
        <w:endnoteRef/>
      </w:r>
      <w:r>
        <w:rPr>
          <w:rtl/>
        </w:rPr>
        <w:t>.</w:t>
      </w:r>
      <w:r>
        <w:rPr>
          <w:rtl/>
        </w:rPr>
        <w:tab/>
      </w:r>
      <w:r>
        <w:rPr>
          <w:rFonts w:hint="cs"/>
          <w:rtl/>
        </w:rPr>
        <w:t xml:space="preserve">משלי </w:t>
      </w:r>
      <w:proofErr w:type="spellStart"/>
      <w:r>
        <w:rPr>
          <w:rFonts w:hint="cs"/>
          <w:rtl/>
        </w:rPr>
        <w:t>יח</w:t>
      </w:r>
      <w:proofErr w:type="spellEnd"/>
      <w:r>
        <w:rPr>
          <w:rFonts w:hint="cs"/>
          <w:rtl/>
        </w:rPr>
        <w:t>, ב.</w:t>
      </w:r>
    </w:p>
  </w:endnote>
  <w:endnote w:id="6">
    <w:p w:rsidR="00CA7F2C" w:rsidRDefault="00CA7F2C" w:rsidP="00CA7F2C">
      <w:pPr>
        <w:pStyle w:val="a4"/>
        <w:rPr>
          <w:rFonts w:hint="cs"/>
          <w:rtl/>
        </w:rPr>
      </w:pPr>
      <w:r>
        <w:rPr>
          <w:rtl/>
        </w:rPr>
        <w:tab/>
      </w:r>
      <w:r w:rsidRPr="00330483">
        <w:rPr>
          <w:rtl/>
        </w:rPr>
        <w:endnoteRef/>
      </w:r>
      <w:r>
        <w:rPr>
          <w:rtl/>
        </w:rPr>
        <w:t>.</w:t>
      </w:r>
      <w:r>
        <w:rPr>
          <w:rtl/>
        </w:rPr>
        <w:tab/>
      </w:r>
      <w:r>
        <w:rPr>
          <w:rFonts w:hint="cs"/>
          <w:rtl/>
        </w:rPr>
        <w:t xml:space="preserve">והדבר מתאים לכך שהיחס בין בטול </w:t>
      </w:r>
      <w:proofErr w:type="spellStart"/>
      <w:r>
        <w:rPr>
          <w:rFonts w:hint="cs"/>
          <w:rtl/>
        </w:rPr>
        <w:t>לזכוך</w:t>
      </w:r>
      <w:proofErr w:type="spellEnd"/>
      <w:r>
        <w:rPr>
          <w:rFonts w:hint="cs"/>
          <w:rtl/>
        </w:rPr>
        <w:t xml:space="preserve"> הוא כיחס בין החכמה והבינה, וראה מעין גנים ח"א מאמר "כיונים אל </w:t>
      </w:r>
      <w:proofErr w:type="spellStart"/>
      <w:r>
        <w:rPr>
          <w:rFonts w:hint="cs"/>
          <w:rtl/>
        </w:rPr>
        <w:t>ארֻבותיהם</w:t>
      </w:r>
      <w:proofErr w:type="spellEnd"/>
      <w:r>
        <w:rPr>
          <w:rFonts w:hint="cs"/>
          <w:rtl/>
        </w:rPr>
        <w:t xml:space="preserve">" פ"ב הערה </w:t>
      </w:r>
      <w:proofErr w:type="spellStart"/>
      <w:r>
        <w:rPr>
          <w:rFonts w:hint="cs"/>
          <w:rtl/>
        </w:rPr>
        <w:t>יז</w:t>
      </w:r>
      <w:proofErr w:type="spellEnd"/>
      <w:r>
        <w:rPr>
          <w:rFonts w:hint="cs"/>
          <w:rtl/>
        </w:rPr>
        <w:t>, ובכ"ד.</w:t>
      </w:r>
    </w:p>
  </w:endnote>
  <w:endnote w:id="7">
    <w:p w:rsidR="00CA7F2C" w:rsidRDefault="00CA7F2C" w:rsidP="00CA7F2C">
      <w:pPr>
        <w:pStyle w:val="a4"/>
        <w:rPr>
          <w:rFonts w:hint="cs"/>
          <w:rtl/>
        </w:rPr>
      </w:pPr>
      <w:r>
        <w:rPr>
          <w:rtl/>
        </w:rPr>
        <w:tab/>
      </w:r>
      <w:r w:rsidRPr="00330483">
        <w:rPr>
          <w:rtl/>
        </w:rPr>
        <w:endnoteRef/>
      </w:r>
      <w:r>
        <w:rPr>
          <w:rtl/>
        </w:rPr>
        <w:t>.</w:t>
      </w:r>
      <w:r>
        <w:rPr>
          <w:rtl/>
        </w:rPr>
        <w:tab/>
      </w:r>
      <w:r>
        <w:rPr>
          <w:rFonts w:hint="cs"/>
          <w:rtl/>
        </w:rPr>
        <w:t xml:space="preserve">ראה זהר </w:t>
      </w:r>
      <w:proofErr w:type="spellStart"/>
      <w:r>
        <w:rPr>
          <w:rFonts w:hint="cs"/>
          <w:rtl/>
        </w:rPr>
        <w:t>ח"ג</w:t>
      </w:r>
      <w:proofErr w:type="spellEnd"/>
      <w:r>
        <w:rPr>
          <w:rFonts w:hint="cs"/>
          <w:rtl/>
        </w:rPr>
        <w:t xml:space="preserve"> סה, א (ובכ"ד).</w:t>
      </w:r>
    </w:p>
  </w:endnote>
  <w:endnote w:id="8">
    <w:p w:rsidR="00CA7F2C" w:rsidRDefault="00CA7F2C" w:rsidP="00CA7F2C">
      <w:pPr>
        <w:pStyle w:val="a4"/>
        <w:rPr>
          <w:rFonts w:hint="cs"/>
        </w:rPr>
      </w:pPr>
      <w:r>
        <w:rPr>
          <w:rtl/>
        </w:rPr>
        <w:tab/>
      </w:r>
      <w:r w:rsidRPr="00330483">
        <w:rPr>
          <w:rtl/>
        </w:rPr>
        <w:endnoteRef/>
      </w:r>
      <w:r>
        <w:rPr>
          <w:rtl/>
        </w:rPr>
        <w:t>.</w:t>
      </w:r>
      <w:r>
        <w:rPr>
          <w:rtl/>
        </w:rPr>
        <w:tab/>
      </w:r>
      <w:r>
        <w:rPr>
          <w:rFonts w:hint="cs"/>
          <w:rtl/>
        </w:rPr>
        <w:t>ראה גם יין משמח ח"א שער ה בתורה "כמשפט הבנות".</w:t>
      </w:r>
    </w:p>
  </w:endnote>
  <w:endnote w:id="9">
    <w:p w:rsidR="00CA7F2C" w:rsidRDefault="00CA7F2C" w:rsidP="00CA7F2C">
      <w:pPr>
        <w:pStyle w:val="a4"/>
        <w:rPr>
          <w:rFonts w:hint="cs"/>
          <w:rtl/>
        </w:rPr>
      </w:pPr>
      <w:r>
        <w:rPr>
          <w:rtl/>
        </w:rPr>
        <w:tab/>
      </w:r>
      <w:r w:rsidRPr="00330483">
        <w:rPr>
          <w:rtl/>
        </w:rPr>
        <w:endnoteRef/>
      </w:r>
      <w:r>
        <w:rPr>
          <w:rtl/>
        </w:rPr>
        <w:t>.</w:t>
      </w:r>
      <w:r>
        <w:rPr>
          <w:rtl/>
        </w:rPr>
        <w:tab/>
      </w:r>
      <w:r>
        <w:rPr>
          <w:rFonts w:hint="cs"/>
          <w:rtl/>
        </w:rPr>
        <w:t>וראה לעיל בתורה "שבירת הצלחת".</w:t>
      </w:r>
    </w:p>
  </w:endnote>
  <w:endnote w:id="10">
    <w:p w:rsidR="00CA7F2C" w:rsidRDefault="00CA7F2C" w:rsidP="00CA7F2C">
      <w:pPr>
        <w:pStyle w:val="a4"/>
        <w:rPr>
          <w:rFonts w:hint="cs"/>
          <w:rtl/>
        </w:rPr>
      </w:pPr>
      <w:r>
        <w:rPr>
          <w:rtl/>
        </w:rPr>
        <w:tab/>
      </w:r>
      <w:r w:rsidRPr="00330483">
        <w:rPr>
          <w:rtl/>
        </w:rPr>
        <w:endnoteRef/>
      </w:r>
      <w:r>
        <w:rPr>
          <w:rtl/>
        </w:rPr>
        <w:t>.</w:t>
      </w:r>
      <w:r>
        <w:rPr>
          <w:rtl/>
        </w:rPr>
        <w:tab/>
      </w:r>
      <w:r>
        <w:rPr>
          <w:rFonts w:hint="cs"/>
          <w:rtl/>
        </w:rPr>
        <w:t>ראה הקדמת שכינה ביניהם הערה ז (עמ' כד) ובמאמר "חידוש הישנות" בספר אני לדודי ודודי לי.</w:t>
      </w:r>
    </w:p>
  </w:endnote>
  <w:endnote w:id="11">
    <w:p w:rsidR="00CA7F2C" w:rsidRDefault="00CA7F2C" w:rsidP="00CA7F2C">
      <w:pPr>
        <w:pStyle w:val="a4"/>
        <w:rPr>
          <w:rFonts w:hint="cs"/>
          <w:rtl/>
        </w:rPr>
      </w:pPr>
      <w:r>
        <w:rPr>
          <w:rtl/>
        </w:rPr>
        <w:tab/>
      </w:r>
      <w:r w:rsidRPr="00330483">
        <w:rPr>
          <w:rtl/>
        </w:rPr>
        <w:endnoteRef/>
      </w:r>
      <w:r>
        <w:rPr>
          <w:rtl/>
        </w:rPr>
        <w:t>.</w:t>
      </w:r>
      <w:r>
        <w:rPr>
          <w:rtl/>
        </w:rPr>
        <w:tab/>
      </w:r>
      <w:r>
        <w:rPr>
          <w:rFonts w:hint="cs"/>
          <w:rtl/>
        </w:rPr>
        <w:t xml:space="preserve">ראה יין משמח </w:t>
      </w:r>
      <w:proofErr w:type="spellStart"/>
      <w:r>
        <w:rPr>
          <w:rFonts w:hint="cs"/>
          <w:rtl/>
        </w:rPr>
        <w:t>ח"ג</w:t>
      </w:r>
      <w:proofErr w:type="spellEnd"/>
      <w:r>
        <w:rPr>
          <w:rFonts w:hint="cs"/>
          <w:rtl/>
        </w:rPr>
        <w:t xml:space="preserve"> שער שני בתורה "אין כלי שלם יותר מלב שבור".</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Guttman-Soncino"/>
    <w:charset w:val="B1"/>
    <w:family w:val="auto"/>
    <w:pitch w:val="variable"/>
    <w:sig w:usb0="00001801"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9C6" w:rsidRDefault="004949C6" w:rsidP="00CA7F2C">
      <w:pPr>
        <w:spacing w:after="0" w:line="240" w:lineRule="auto"/>
      </w:pPr>
      <w:r>
        <w:separator/>
      </w:r>
    </w:p>
  </w:footnote>
  <w:footnote w:type="continuationSeparator" w:id="0">
    <w:p w:rsidR="004949C6" w:rsidRDefault="004949C6" w:rsidP="00CA7F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752"/>
    <w:rsid w:val="00061E65"/>
    <w:rsid w:val="004949C6"/>
    <w:rsid w:val="004A3752"/>
    <w:rsid w:val="00AC2310"/>
    <w:rsid w:val="00CA7F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CA7F2C"/>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CA7F2C"/>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CA7F2C"/>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CA7F2C"/>
    <w:rPr>
      <w:rFonts w:cs="MiriamMFO"/>
      <w:w w:val="100"/>
      <w:sz w:val="21"/>
      <w:szCs w:val="23"/>
    </w:rPr>
  </w:style>
  <w:style w:type="paragraph" w:styleId="a4">
    <w:name w:val="endnote text"/>
    <w:aliases w:val="Endnote Text"/>
    <w:basedOn w:val="a"/>
    <w:link w:val="a5"/>
    <w:semiHidden/>
    <w:rsid w:val="00CA7F2C"/>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CA7F2C"/>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CA7F2C"/>
    <w:rPr>
      <w:noProof/>
      <w:position w:val="-4"/>
      <w:szCs w:val="27"/>
      <w:vertAlign w:val="superscript"/>
    </w:rPr>
  </w:style>
  <w:style w:type="paragraph" w:customStyle="1" w:styleId="a8">
    <w:name w:val="פתיח תו"/>
    <w:basedOn w:val="a"/>
    <w:link w:val="a9"/>
    <w:rsid w:val="00CA7F2C"/>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CA7F2C"/>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CA7F2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CA7F2C"/>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CA7F2C"/>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CA7F2C"/>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CA7F2C"/>
    <w:rPr>
      <w:rFonts w:cs="MiriamMFO"/>
      <w:w w:val="100"/>
      <w:sz w:val="21"/>
      <w:szCs w:val="23"/>
    </w:rPr>
  </w:style>
  <w:style w:type="paragraph" w:styleId="a4">
    <w:name w:val="endnote text"/>
    <w:aliases w:val="Endnote Text"/>
    <w:basedOn w:val="a"/>
    <w:link w:val="a5"/>
    <w:semiHidden/>
    <w:rsid w:val="00CA7F2C"/>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CA7F2C"/>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CA7F2C"/>
    <w:rPr>
      <w:noProof/>
      <w:position w:val="-4"/>
      <w:szCs w:val="27"/>
      <w:vertAlign w:val="superscript"/>
    </w:rPr>
  </w:style>
  <w:style w:type="paragraph" w:customStyle="1" w:styleId="a8">
    <w:name w:val="פתיח תו"/>
    <w:basedOn w:val="a"/>
    <w:link w:val="a9"/>
    <w:rsid w:val="00CA7F2C"/>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CA7F2C"/>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CA7F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1802</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2017-08-15T06:44:00Z</dcterms:created>
  <dcterms:modified xsi:type="dcterms:W3CDTF">2017-08-15T06:45:00Z</dcterms:modified>
</cp:coreProperties>
</file>