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A6" w:rsidRPr="00B46B4B" w:rsidRDefault="006255A6" w:rsidP="006255A6">
      <w:pPr>
        <w:pStyle w:val="2"/>
        <w:spacing w:after="480"/>
        <w:rPr>
          <w:rFonts w:hint="cs"/>
          <w:rtl/>
        </w:rPr>
      </w:pPr>
      <w:bookmarkStart w:id="0" w:name="_Toc188281756"/>
      <w:bookmarkStart w:id="1" w:name="_Ref188282190"/>
      <w:r w:rsidRPr="00B46B4B">
        <w:rPr>
          <w:rFonts w:hint="cs"/>
          <w:rtl/>
        </w:rPr>
        <w:t>כשושנה אדומה ראיתי</w:t>
      </w:r>
      <w:bookmarkEnd w:id="0"/>
      <w:bookmarkEnd w:id="1"/>
    </w:p>
    <w:p w:rsidR="006255A6" w:rsidRPr="00B46B4B" w:rsidRDefault="006255A6" w:rsidP="006255A6">
      <w:pPr>
        <w:spacing w:line="640" w:lineRule="exact"/>
        <w:rPr>
          <w:rFonts w:hint="cs"/>
          <w:rtl/>
        </w:rPr>
      </w:pPr>
      <w:r w:rsidRPr="00EC3D1D">
        <w:rPr>
          <w:rStyle w:val="aa"/>
          <w:rFonts w:hint="cs"/>
          <w:rtl/>
        </w:rPr>
        <w:t>ע</w:t>
      </w:r>
      <w:r w:rsidRPr="00B46B4B">
        <w:rPr>
          <w:rFonts w:hint="cs"/>
          <w:rtl/>
        </w:rPr>
        <w:t>ל לשון שיר השירים "סוגה בשושנים"</w:t>
      </w:r>
      <w:r w:rsidRPr="00C37DFC">
        <w:rPr>
          <w:rStyle w:val="a7"/>
          <w:rtl/>
        </w:rPr>
        <w:endnoteReference w:id="1"/>
      </w:r>
      <w:r w:rsidRPr="00B46B4B">
        <w:rPr>
          <w:rFonts w:hint="cs"/>
          <w:rtl/>
        </w:rPr>
        <w:t xml:space="preserve"> דרשו חז"ל</w:t>
      </w:r>
      <w:r w:rsidRPr="00C37DFC">
        <w:rPr>
          <w:rStyle w:val="a7"/>
          <w:rtl/>
        </w:rPr>
        <w:endnoteReference w:id="2"/>
      </w:r>
      <w:r w:rsidRPr="00B46B4B">
        <w:rPr>
          <w:rFonts w:hint="cs"/>
          <w:rtl/>
        </w:rPr>
        <w:t>:</w:t>
      </w:r>
    </w:p>
    <w:p w:rsidR="006255A6" w:rsidRPr="00B46B4B" w:rsidRDefault="006255A6" w:rsidP="006255A6">
      <w:pPr>
        <w:pStyle w:val="a3"/>
        <w:rPr>
          <w:rFonts w:hint="cs"/>
          <w:rtl/>
        </w:rPr>
      </w:pPr>
      <w:r w:rsidRPr="00B46B4B">
        <w:rPr>
          <w:rFonts w:hint="cs"/>
          <w:rtl/>
        </w:rPr>
        <w:t>"</w:t>
      </w:r>
      <w:r w:rsidRPr="00B46B4B">
        <w:rPr>
          <w:rtl/>
        </w:rPr>
        <w:t>סוגה בשושנים</w:t>
      </w:r>
      <w:r w:rsidRPr="00B46B4B">
        <w:rPr>
          <w:rFonts w:hint="cs"/>
          <w:rtl/>
        </w:rPr>
        <w:t>"</w:t>
      </w:r>
      <w:r w:rsidRPr="00B46B4B">
        <w:rPr>
          <w:rtl/>
        </w:rPr>
        <w:t xml:space="preserve"> אלו מצות הרבה כשושנים</w:t>
      </w:r>
      <w:r w:rsidRPr="00B46B4B">
        <w:rPr>
          <w:rFonts w:hint="cs"/>
          <w:rtl/>
        </w:rPr>
        <w:t>.</w:t>
      </w:r>
      <w:r w:rsidRPr="00B46B4B">
        <w:rPr>
          <w:rtl/>
        </w:rPr>
        <w:t xml:space="preserve"> כיצד</w:t>
      </w:r>
      <w:r w:rsidRPr="00B46B4B">
        <w:rPr>
          <w:rFonts w:hint="cs"/>
          <w:rtl/>
        </w:rPr>
        <w:t>?</w:t>
      </w:r>
      <w:r w:rsidRPr="00B46B4B">
        <w:rPr>
          <w:rtl/>
        </w:rPr>
        <w:t xml:space="preserve"> היה מתאוה לראות עצמו בתוך חופתו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לפי שאין לו יום בעולם חביב ממנו שהוא שמח עם אשתו</w:t>
      </w:r>
      <w:r w:rsidRPr="00B46B4B">
        <w:rPr>
          <w:rFonts w:hint="cs"/>
          <w:rtl/>
        </w:rPr>
        <w:t xml:space="preserve"> [</w:t>
      </w:r>
      <w:r w:rsidRPr="00B46B4B">
        <w:rPr>
          <w:rFonts w:cs="FrankRuehl" w:hint="cs"/>
          <w:sz w:val="26"/>
          <w:szCs w:val="26"/>
          <w:rtl/>
        </w:rPr>
        <w:t>ובלשון רש"י על הפסוק</w:t>
      </w:r>
      <w:r w:rsidRPr="00B46B4B">
        <w:rPr>
          <w:rFonts w:hint="cs"/>
          <w:rtl/>
        </w:rPr>
        <w:t xml:space="preserve"> </w:t>
      </w:r>
      <w:r w:rsidRPr="00B46B4B">
        <w:rPr>
          <w:rFonts w:cs="FrankRuehl" w:hint="cs"/>
          <w:sz w:val="26"/>
          <w:szCs w:val="26"/>
          <w:rtl/>
        </w:rPr>
        <w:t>'הרי חתן נכנס לחופה לבו מגעגעת לחופה ולחיבת חיתוניו</w:t>
      </w:r>
      <w:r>
        <w:rPr>
          <w:rFonts w:cs="FrankRuehl" w:hint="cs"/>
          <w:sz w:val="26"/>
          <w:szCs w:val="26"/>
          <w:rtl/>
        </w:rPr>
        <w:t>…</w:t>
      </w:r>
      <w:r w:rsidRPr="00B46B4B">
        <w:rPr>
          <w:rFonts w:cs="FrankRuehl" w:hint="cs"/>
          <w:sz w:val="26"/>
          <w:szCs w:val="26"/>
          <w:rtl/>
        </w:rPr>
        <w:t>']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מה עשה</w:t>
      </w:r>
      <w:r w:rsidRPr="00B46B4B">
        <w:rPr>
          <w:rFonts w:hint="cs"/>
          <w:rtl/>
        </w:rPr>
        <w:t>?</w:t>
      </w:r>
      <w:r w:rsidRPr="00B46B4B">
        <w:rPr>
          <w:rtl/>
        </w:rPr>
        <w:t xml:space="preserve"> הוציא הוצאות הרבה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הציע חופתו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בא להזקק עמה</w:t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 אמרה לו כשושנה אדומה ראיתי פירש הימנה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זה הופך פניו לכאן וזו הופכת פניה לכאן</w:t>
      </w:r>
      <w:r w:rsidRPr="00B46B4B">
        <w:rPr>
          <w:rFonts w:hint="cs"/>
          <w:rtl/>
        </w:rPr>
        <w:t>,</w:t>
      </w:r>
      <w:r w:rsidRPr="00B46B4B">
        <w:rPr>
          <w:rtl/>
        </w:rPr>
        <w:t xml:space="preserve"> מי הפרישו ממנה</w:t>
      </w:r>
      <w:r w:rsidRPr="00B46B4B">
        <w:rPr>
          <w:rFonts w:hint="cs"/>
          <w:rtl/>
        </w:rPr>
        <w:t>?</w:t>
      </w:r>
      <w:r w:rsidRPr="00B46B4B">
        <w:rPr>
          <w:rtl/>
        </w:rPr>
        <w:t xml:space="preserve"> אי זה נחש עוקצו</w:t>
      </w:r>
      <w:r w:rsidRPr="00B46B4B">
        <w:rPr>
          <w:rFonts w:hint="cs"/>
          <w:rtl/>
        </w:rPr>
        <w:t>?</w:t>
      </w:r>
      <w:r w:rsidRPr="00B46B4B">
        <w:rPr>
          <w:rtl/>
        </w:rPr>
        <w:t xml:space="preserve"> אי זה עקרב הזיקו</w:t>
      </w:r>
      <w:r w:rsidRPr="00B46B4B">
        <w:rPr>
          <w:rFonts w:hint="cs"/>
          <w:rtl/>
        </w:rPr>
        <w:t>?</w:t>
      </w:r>
      <w:r w:rsidRPr="00B46B4B">
        <w:rPr>
          <w:rtl/>
        </w:rPr>
        <w:t xml:space="preserve"> אי זה גדר ביניהם</w:t>
      </w:r>
      <w:r w:rsidRPr="00B46B4B">
        <w:rPr>
          <w:rFonts w:hint="cs"/>
          <w:rtl/>
        </w:rPr>
        <w:t>?</w:t>
      </w:r>
      <w:r w:rsidRPr="00B46B4B">
        <w:rPr>
          <w:rtl/>
        </w:rPr>
        <w:t xml:space="preserve"> אלא דברי תורה </w:t>
      </w:r>
      <w:r w:rsidRPr="00B46B4B">
        <w:rPr>
          <w:rFonts w:hint="cs"/>
          <w:rtl/>
        </w:rPr>
        <w:t>[</w:t>
      </w:r>
      <w:r w:rsidRPr="00B46B4B">
        <w:rPr>
          <w:rFonts w:cs="FrankRuehl" w:hint="cs"/>
          <w:sz w:val="26"/>
          <w:szCs w:val="26"/>
          <w:rtl/>
        </w:rPr>
        <w:t>'שרכין כשושנה'</w:t>
      </w:r>
      <w:r w:rsidRPr="004E36B6">
        <w:rPr>
          <w:rStyle w:val="a7"/>
          <w:rFonts w:cs="FrankRuehl"/>
          <w:sz w:val="26"/>
          <w:szCs w:val="26"/>
          <w:rtl/>
        </w:rPr>
        <w:endnoteReference w:id="3"/>
      </w:r>
      <w:r w:rsidRPr="00B46B4B">
        <w:rPr>
          <w:rFonts w:hint="cs"/>
          <w:rtl/>
        </w:rPr>
        <w:t xml:space="preserve">] </w:t>
      </w:r>
      <w:r w:rsidRPr="00B46B4B">
        <w:rPr>
          <w:rtl/>
        </w:rPr>
        <w:t xml:space="preserve">שנאמר </w:t>
      </w:r>
      <w:r w:rsidRPr="00B46B4B">
        <w:rPr>
          <w:rFonts w:hint="cs"/>
          <w:rtl/>
        </w:rPr>
        <w:t>"</w:t>
      </w:r>
      <w:r w:rsidRPr="00B46B4B">
        <w:rPr>
          <w:rtl/>
        </w:rPr>
        <w:t>ואל אשה בנדת טומאתה</w:t>
      </w:r>
      <w:r w:rsidRPr="00B46B4B">
        <w:rPr>
          <w:rFonts w:hint="cs"/>
          <w:rtl/>
        </w:rPr>
        <w:t>"</w:t>
      </w:r>
      <w:r w:rsidRPr="00070891">
        <w:rPr>
          <w:rStyle w:val="a7"/>
          <w:position w:val="-3"/>
          <w:szCs w:val="23"/>
          <w:rtl/>
        </w:rPr>
        <w:endnoteReference w:id="4"/>
      </w:r>
      <w:r w:rsidRPr="00B46B4B">
        <w:rPr>
          <w:rFonts w:hint="cs"/>
          <w:rtl/>
        </w:rPr>
        <w:t>.</w:t>
      </w:r>
    </w:p>
    <w:p w:rsidR="006255A6" w:rsidRDefault="006255A6" w:rsidP="006255A6">
      <w:pPr>
        <w:rPr>
          <w:rFonts w:hint="cs"/>
          <w:rtl/>
        </w:rPr>
      </w:pPr>
      <w:r w:rsidRPr="00B46B4B">
        <w:rPr>
          <w:rFonts w:hint="cs"/>
          <w:rtl/>
        </w:rPr>
        <w:t>מדרש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זה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מתאר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את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זמן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הפרישה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כזמן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בו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שושנים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רכות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עומדות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כסיג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בין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בני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הזוג.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דימוי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זה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משרה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גם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על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זמן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הפרישה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אוירה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רכה</w:t>
      </w:r>
      <w:r>
        <w:rPr>
          <w:rFonts w:hint="cs"/>
          <w:rtl/>
        </w:rPr>
        <w:t>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ואפילו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רומנטית,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ומלמד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כי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גם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בזמן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זה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יש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עבודה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</w:t>
      </w:r>
      <w:r>
        <w:rPr>
          <w:rFonts w:hint="cs"/>
          <w:rtl/>
        </w:rPr>
        <w:t>ל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שימור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קשר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האהבה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בין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בני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הזוג.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במובן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מסוים,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אז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הקשר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נינוח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יותר,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רווי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חבה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שלוה,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בלי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המתח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(החיובי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לכשעצמו,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</w:t>
      </w:r>
      <w:r>
        <w:rPr>
          <w:rFonts w:hint="cs"/>
          <w:rtl/>
        </w:rPr>
        <w:t>עתו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ובזמנו)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של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אש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האהבה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הלוהטת.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כך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רמוז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בלשון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הזמר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לשבת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tl/>
        </w:rPr>
        <w:t>–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"ולנוח</w:t>
      </w:r>
      <w:r w:rsidRPr="00AA280B">
        <w:rPr>
          <w:rFonts w:hint="cs"/>
          <w:spacing w:val="-18"/>
          <w:rtl/>
        </w:rPr>
        <w:t xml:space="preserve"> </w:t>
      </w:r>
      <w:proofErr w:type="spellStart"/>
      <w:r w:rsidRPr="00B46B4B">
        <w:rPr>
          <w:rFonts w:hint="cs"/>
          <w:rtl/>
        </w:rPr>
        <w:t>בחבת</w:t>
      </w:r>
      <w:proofErr w:type="spellEnd"/>
      <w:r w:rsidRPr="00B46B4B">
        <w:rPr>
          <w:rFonts w:hint="cs"/>
          <w:rtl/>
        </w:rPr>
        <w:t>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כשושנים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סוגה,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בו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ינוחו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בן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ובת"</w:t>
      </w:r>
      <w:r w:rsidRPr="00C37DFC">
        <w:rPr>
          <w:rStyle w:val="a7"/>
          <w:rtl/>
        </w:rPr>
        <w:endnoteReference w:id="5"/>
      </w:r>
      <w:r>
        <w:rPr>
          <w:rFonts w:hint="cs"/>
          <w:rtl/>
        </w:rPr>
        <w:t>.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כלומר,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דווקא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בשבת</w:t>
      </w:r>
      <w:r w:rsidRPr="00AA280B">
        <w:rPr>
          <w:rFonts w:hint="cs"/>
          <w:spacing w:val="-18"/>
          <w:rtl/>
        </w:rPr>
        <w:t xml:space="preserve"> </w:t>
      </w:r>
      <w:proofErr w:type="spellStart"/>
      <w:r>
        <w:rPr>
          <w:rFonts w:hint="cs"/>
          <w:rtl/>
        </w:rPr>
        <w:t>שהאשה</w:t>
      </w:r>
      <w:proofErr w:type="spellEnd"/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אסורה,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"סוגה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בשושנים",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כשלא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ניתן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לקיים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את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"עונת</w:t>
      </w:r>
      <w:r>
        <w:rPr>
          <w:rFonts w:hint="cs"/>
          <w:rtl/>
        </w:rPr>
        <w:t>ם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של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תלמידי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חכמים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מערב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שבת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לערב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שבת"</w:t>
      </w:r>
      <w:r w:rsidRPr="00C37DFC">
        <w:rPr>
          <w:rStyle w:val="a7"/>
          <w:rtl/>
        </w:rPr>
        <w:endnoteReference w:id="6"/>
      </w:r>
      <w:r w:rsidRPr="00B46B4B">
        <w:rPr>
          <w:rFonts w:hint="cs"/>
          <w:rtl/>
        </w:rPr>
        <w:t>,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יש</w:t>
      </w:r>
      <w:r w:rsidRPr="00AA280B">
        <w:rPr>
          <w:rFonts w:hint="cs"/>
          <w:spacing w:val="-18"/>
          <w:rtl/>
        </w:rPr>
        <w:t xml:space="preserve"> </w:t>
      </w:r>
      <w:r w:rsidRPr="00B46B4B">
        <w:rPr>
          <w:rFonts w:hint="cs"/>
          <w:rtl/>
        </w:rPr>
        <w:t>מ</w:t>
      </w:r>
      <w:r>
        <w:rPr>
          <w:rFonts w:hint="cs"/>
          <w:rtl/>
        </w:rPr>
        <w:t>נוחה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וחבה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מיוחדת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בין</w:t>
      </w:r>
      <w:r w:rsidRPr="00AA280B">
        <w:rPr>
          <w:rFonts w:hint="cs"/>
          <w:spacing w:val="-18"/>
          <w:rtl/>
        </w:rPr>
        <w:t xml:space="preserve"> </w:t>
      </w:r>
      <w:r>
        <w:rPr>
          <w:rFonts w:hint="cs"/>
          <w:rtl/>
        </w:rPr>
        <w:t>האיש</w:t>
      </w:r>
      <w:r w:rsidRPr="00AA280B">
        <w:rPr>
          <w:rFonts w:hint="cs"/>
          <w:spacing w:val="-18"/>
          <w:rtl/>
        </w:rPr>
        <w:t xml:space="preserve"> </w:t>
      </w:r>
      <w:proofErr w:type="spellStart"/>
      <w:r>
        <w:rPr>
          <w:rFonts w:hint="cs"/>
          <w:rtl/>
        </w:rPr>
        <w:t>והאשה</w:t>
      </w:r>
      <w:proofErr w:type="spellEnd"/>
      <w:r w:rsidRPr="00B46B4B">
        <w:rPr>
          <w:rFonts w:hint="cs"/>
          <w:rtl/>
        </w:rPr>
        <w:t>.</w:t>
      </w:r>
      <w:r w:rsidRPr="00AA280B">
        <w:rPr>
          <w:rFonts w:hint="cs"/>
          <w:spacing w:val="-18"/>
          <w:rtl/>
        </w:rPr>
        <w:t xml:space="preserve"> </w:t>
      </w:r>
    </w:p>
    <w:p w:rsidR="006255A6" w:rsidRPr="00B46B4B" w:rsidRDefault="006255A6" w:rsidP="006255A6">
      <w:pPr>
        <w:rPr>
          <w:rFonts w:hint="cs"/>
          <w:rtl/>
        </w:rPr>
      </w:pPr>
      <w:r w:rsidRPr="00B46B4B">
        <w:rPr>
          <w:rFonts w:hint="cs"/>
          <w:rtl/>
        </w:rPr>
        <w:t>רש"י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על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הפסוק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מביא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ל"סוג</w:t>
      </w:r>
      <w:r>
        <w:rPr>
          <w:rFonts w:hint="cs"/>
          <w:rtl/>
        </w:rPr>
        <w:t>ה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בשושנים"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דימוי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נוסף,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של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גזל</w:t>
      </w:r>
      <w:r w:rsidRPr="00C97346">
        <w:rPr>
          <w:rFonts w:hint="cs"/>
          <w:spacing w:val="-22"/>
          <w:rtl/>
        </w:rPr>
        <w:t xml:space="preserve"> </w:t>
      </w:r>
      <w:r>
        <w:rPr>
          <w:rtl/>
        </w:rPr>
        <w:t>–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"</w:t>
      </w:r>
      <w:r>
        <w:rPr>
          <w:rtl/>
        </w:rPr>
        <w:t>הרי</w:t>
      </w:r>
      <w:r w:rsidRPr="00C97346">
        <w:rPr>
          <w:spacing w:val="-22"/>
          <w:rtl/>
        </w:rPr>
        <w:t xml:space="preserve"> </w:t>
      </w:r>
      <w:r>
        <w:rPr>
          <w:rtl/>
        </w:rPr>
        <w:t>שהוא</w:t>
      </w:r>
      <w:r w:rsidRPr="00C97346">
        <w:rPr>
          <w:spacing w:val="-22"/>
          <w:rtl/>
        </w:rPr>
        <w:t xml:space="preserve"> </w:t>
      </w:r>
      <w:r>
        <w:rPr>
          <w:rtl/>
        </w:rPr>
        <w:t>עובר</w:t>
      </w:r>
      <w:r w:rsidRPr="00C97346">
        <w:rPr>
          <w:spacing w:val="-22"/>
          <w:rtl/>
        </w:rPr>
        <w:t xml:space="preserve"> </w:t>
      </w:r>
      <w:r>
        <w:rPr>
          <w:rtl/>
        </w:rPr>
        <w:t>בדרך</w:t>
      </w:r>
      <w:r>
        <w:rPr>
          <w:rFonts w:hint="cs"/>
          <w:rtl/>
        </w:rPr>
        <w:t>,</w:t>
      </w:r>
      <w:r w:rsidRPr="00C97346">
        <w:rPr>
          <w:spacing w:val="-22"/>
          <w:rtl/>
        </w:rPr>
        <w:t xml:space="preserve"> </w:t>
      </w:r>
      <w:r>
        <w:rPr>
          <w:rtl/>
        </w:rPr>
        <w:t>ראה</w:t>
      </w:r>
      <w:r w:rsidRPr="00C97346">
        <w:rPr>
          <w:spacing w:val="-22"/>
          <w:rtl/>
        </w:rPr>
        <w:t xml:space="preserve"> </w:t>
      </w:r>
      <w:r>
        <w:rPr>
          <w:rtl/>
        </w:rPr>
        <w:t>בכורות</w:t>
      </w:r>
      <w:r w:rsidRPr="00C97346">
        <w:rPr>
          <w:spacing w:val="-22"/>
          <w:rtl/>
        </w:rPr>
        <w:t xml:space="preserve"> </w:t>
      </w:r>
      <w:r>
        <w:rPr>
          <w:rtl/>
        </w:rPr>
        <w:t>בראשי</w:t>
      </w:r>
      <w:r w:rsidRPr="00C97346">
        <w:rPr>
          <w:spacing w:val="-22"/>
          <w:rtl/>
        </w:rPr>
        <w:t xml:space="preserve"> </w:t>
      </w:r>
      <w:r>
        <w:rPr>
          <w:rtl/>
        </w:rPr>
        <w:t>התאני</w:t>
      </w:r>
      <w:r>
        <w:rPr>
          <w:rFonts w:hint="cs"/>
          <w:rtl/>
        </w:rPr>
        <w:t>ם,</w:t>
      </w:r>
      <w:r w:rsidRPr="00C97346">
        <w:rPr>
          <w:spacing w:val="-22"/>
          <w:rtl/>
        </w:rPr>
        <w:t xml:space="preserve"> </w:t>
      </w:r>
      <w:r>
        <w:rPr>
          <w:rtl/>
        </w:rPr>
        <w:t>פשט</w:t>
      </w:r>
      <w:r w:rsidRPr="00C97346">
        <w:rPr>
          <w:spacing w:val="-22"/>
          <w:rtl/>
        </w:rPr>
        <w:t xml:space="preserve"> </w:t>
      </w:r>
      <w:r>
        <w:rPr>
          <w:rtl/>
        </w:rPr>
        <w:t>ידו</w:t>
      </w:r>
      <w:r w:rsidRPr="00C97346">
        <w:rPr>
          <w:spacing w:val="-22"/>
          <w:rtl/>
        </w:rPr>
        <w:t xml:space="preserve"> </w:t>
      </w:r>
      <w:r>
        <w:rPr>
          <w:rtl/>
        </w:rPr>
        <w:t>ליטול</w:t>
      </w:r>
      <w:r>
        <w:rPr>
          <w:rFonts w:hint="cs"/>
          <w:rtl/>
        </w:rPr>
        <w:t>,</w:t>
      </w:r>
      <w:r w:rsidRPr="00C97346">
        <w:rPr>
          <w:spacing w:val="-22"/>
          <w:rtl/>
        </w:rPr>
        <w:t xml:space="preserve"> </w:t>
      </w:r>
      <w:r>
        <w:rPr>
          <w:rtl/>
        </w:rPr>
        <w:t>אומרים</w:t>
      </w:r>
      <w:r w:rsidRPr="00C97346">
        <w:rPr>
          <w:spacing w:val="-22"/>
          <w:rtl/>
        </w:rPr>
        <w:t xml:space="preserve"> </w:t>
      </w:r>
      <w:r>
        <w:rPr>
          <w:rtl/>
        </w:rPr>
        <w:t>לו</w:t>
      </w:r>
      <w:r w:rsidRPr="00C97346">
        <w:rPr>
          <w:spacing w:val="-22"/>
          <w:rtl/>
        </w:rPr>
        <w:t xml:space="preserve"> </w:t>
      </w:r>
      <w:r>
        <w:rPr>
          <w:rtl/>
        </w:rPr>
        <w:t>של</w:t>
      </w:r>
      <w:r w:rsidRPr="00C97346">
        <w:rPr>
          <w:spacing w:val="-22"/>
          <w:rtl/>
        </w:rPr>
        <w:t xml:space="preserve"> </w:t>
      </w:r>
      <w:r>
        <w:rPr>
          <w:rtl/>
        </w:rPr>
        <w:t>ישראל</w:t>
      </w:r>
      <w:r w:rsidRPr="00C97346">
        <w:rPr>
          <w:spacing w:val="-22"/>
          <w:rtl/>
        </w:rPr>
        <w:t xml:space="preserve"> </w:t>
      </w:r>
      <w:r>
        <w:rPr>
          <w:rtl/>
        </w:rPr>
        <w:t>הם</w:t>
      </w:r>
      <w:r>
        <w:rPr>
          <w:rFonts w:hint="cs"/>
          <w:rtl/>
        </w:rPr>
        <w:t>!</w:t>
      </w:r>
      <w:r w:rsidRPr="00C97346">
        <w:rPr>
          <w:spacing w:val="-22"/>
          <w:rtl/>
        </w:rPr>
        <w:t xml:space="preserve"> </w:t>
      </w:r>
      <w:r>
        <w:rPr>
          <w:rtl/>
        </w:rPr>
        <w:t>הוא</w:t>
      </w:r>
      <w:r w:rsidRPr="00C97346">
        <w:rPr>
          <w:spacing w:val="-22"/>
          <w:rtl/>
        </w:rPr>
        <w:t xml:space="preserve"> </w:t>
      </w:r>
      <w:r>
        <w:rPr>
          <w:rtl/>
        </w:rPr>
        <w:t>מושך</w:t>
      </w:r>
      <w:r w:rsidRPr="00C97346">
        <w:rPr>
          <w:spacing w:val="-22"/>
          <w:rtl/>
        </w:rPr>
        <w:t xml:space="preserve"> </w:t>
      </w:r>
      <w:r>
        <w:rPr>
          <w:rtl/>
        </w:rPr>
        <w:t>ידו</w:t>
      </w:r>
      <w:r w:rsidRPr="00C97346">
        <w:rPr>
          <w:spacing w:val="-22"/>
          <w:rtl/>
        </w:rPr>
        <w:t xml:space="preserve"> </w:t>
      </w:r>
      <w:r>
        <w:rPr>
          <w:rtl/>
        </w:rPr>
        <w:t>מפני</w:t>
      </w:r>
      <w:r w:rsidRPr="00C97346">
        <w:rPr>
          <w:spacing w:val="-22"/>
          <w:rtl/>
        </w:rPr>
        <w:t xml:space="preserve"> </w:t>
      </w:r>
      <w:r>
        <w:rPr>
          <w:rtl/>
        </w:rPr>
        <w:t>הגזל</w:t>
      </w:r>
      <w:r>
        <w:rPr>
          <w:rFonts w:hint="cs"/>
          <w:rtl/>
        </w:rPr>
        <w:t>,</w:t>
      </w:r>
      <w:r w:rsidRPr="00C97346">
        <w:rPr>
          <w:spacing w:val="-22"/>
          <w:rtl/>
        </w:rPr>
        <w:t xml:space="preserve"> </w:t>
      </w:r>
      <w:r>
        <w:rPr>
          <w:rtl/>
        </w:rPr>
        <w:t>הרי</w:t>
      </w:r>
      <w:r w:rsidRPr="00C97346">
        <w:rPr>
          <w:spacing w:val="-22"/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>סוגה</w:t>
      </w:r>
      <w:r w:rsidRPr="00C97346">
        <w:rPr>
          <w:spacing w:val="-22"/>
          <w:rtl/>
        </w:rPr>
        <w:t xml:space="preserve"> </w:t>
      </w:r>
      <w:r>
        <w:rPr>
          <w:rtl/>
        </w:rPr>
        <w:t>בשושנים</w:t>
      </w:r>
      <w:r>
        <w:rPr>
          <w:rFonts w:hint="cs"/>
          <w:rtl/>
        </w:rPr>
        <w:t>'".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לפי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זה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יש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לומר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כי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בזמן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הנדה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חוזרת</w:t>
      </w:r>
      <w:r w:rsidRPr="00C97346">
        <w:rPr>
          <w:rFonts w:hint="cs"/>
          <w:spacing w:val="-22"/>
          <w:rtl/>
        </w:rPr>
        <w:t xml:space="preserve"> </w:t>
      </w:r>
      <w:proofErr w:type="spellStart"/>
      <w:r>
        <w:rPr>
          <w:rFonts w:hint="cs"/>
          <w:rtl/>
        </w:rPr>
        <w:t>האשה</w:t>
      </w:r>
      <w:proofErr w:type="spellEnd"/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להיות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אסורה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כבזמן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הקידושין,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קודם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ברכת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הנישואין</w:t>
      </w:r>
      <w:r w:rsidRPr="00C37DFC">
        <w:rPr>
          <w:rStyle w:val="a7"/>
          <w:rtl/>
        </w:rPr>
        <w:endnoteReference w:id="7"/>
      </w:r>
      <w:r>
        <w:rPr>
          <w:rFonts w:hint="cs"/>
          <w:rtl/>
        </w:rPr>
        <w:t>,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בו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היא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אסורה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בהנאה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כהקדש</w:t>
      </w:r>
      <w:r w:rsidRPr="00C37DFC">
        <w:rPr>
          <w:rStyle w:val="a7"/>
          <w:rtl/>
        </w:rPr>
        <w:endnoteReference w:id="8"/>
      </w:r>
      <w:r>
        <w:rPr>
          <w:rFonts w:hint="cs"/>
          <w:rtl/>
        </w:rPr>
        <w:t>.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בחזרה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למצב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הקידושין,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ולחבה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המיוחדת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הכרוכה</w:t>
      </w:r>
      <w:r w:rsidRPr="00C97346">
        <w:rPr>
          <w:rFonts w:hint="cs"/>
          <w:spacing w:val="-22"/>
          <w:rtl/>
        </w:rPr>
        <w:t xml:space="preserve"> </w:t>
      </w:r>
      <w:r>
        <w:rPr>
          <w:rFonts w:hint="cs"/>
          <w:rtl/>
        </w:rPr>
        <w:t>בו,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יש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ביטוי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לפעולה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הנמשכת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של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הקידושין</w:t>
      </w:r>
      <w:r w:rsidRPr="00C37DFC">
        <w:rPr>
          <w:rStyle w:val="a7"/>
          <w:rtl/>
        </w:rPr>
        <w:endnoteReference w:id="9"/>
      </w:r>
      <w:r w:rsidRPr="00B46B4B">
        <w:rPr>
          <w:rFonts w:hint="cs"/>
          <w:rtl/>
        </w:rPr>
        <w:t>,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"</w:t>
      </w:r>
      <w:proofErr w:type="spellStart"/>
      <w:r w:rsidRPr="00B46B4B">
        <w:rPr>
          <w:rFonts w:hint="cs"/>
          <w:rtl/>
        </w:rPr>
        <w:t>וארשתיך</w:t>
      </w:r>
      <w:proofErr w:type="spellEnd"/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לי</w:t>
      </w:r>
      <w:r w:rsidRPr="00C97346">
        <w:rPr>
          <w:rFonts w:hint="cs"/>
          <w:spacing w:val="-22"/>
          <w:rtl/>
        </w:rPr>
        <w:t xml:space="preserve"> </w:t>
      </w:r>
      <w:r w:rsidRPr="00B46B4B">
        <w:rPr>
          <w:rFonts w:hint="cs"/>
          <w:rtl/>
        </w:rPr>
        <w:t>לעולם"</w:t>
      </w:r>
      <w:r w:rsidRPr="00C37DFC">
        <w:rPr>
          <w:rStyle w:val="a7"/>
          <w:rtl/>
        </w:rPr>
        <w:endnoteReference w:id="10"/>
      </w:r>
      <w:r w:rsidRPr="00B46B4B">
        <w:rPr>
          <w:rFonts w:hint="cs"/>
          <w:rtl/>
        </w:rPr>
        <w:t>.</w:t>
      </w:r>
    </w:p>
    <w:p w:rsidR="006255A6" w:rsidRPr="00B46B4B" w:rsidRDefault="006255A6" w:rsidP="006255A6">
      <w:pPr>
        <w:rPr>
          <w:rFonts w:hint="cs"/>
          <w:rtl/>
        </w:rPr>
      </w:pPr>
      <w:r w:rsidRPr="00B46B4B">
        <w:rPr>
          <w:rFonts w:hint="cs"/>
          <w:rtl/>
        </w:rPr>
        <w:t>והנה,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הלשון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הציורית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בו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מתאר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המדרש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את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ראית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דם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נדה,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"כשושנה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אדומה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ראיתי",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רומזת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לכמה</w:t>
      </w:r>
      <w:r w:rsidRPr="00AA280B">
        <w:rPr>
          <w:rFonts w:hint="cs"/>
          <w:spacing w:val="-6"/>
          <w:rtl/>
        </w:rPr>
        <w:t xml:space="preserve"> </w:t>
      </w:r>
      <w:proofErr w:type="spellStart"/>
      <w:r w:rsidRPr="00B46B4B">
        <w:rPr>
          <w:rFonts w:hint="cs"/>
          <w:rtl/>
        </w:rPr>
        <w:t>מהענינים</w:t>
      </w:r>
      <w:proofErr w:type="spellEnd"/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השייכים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לזמן</w:t>
      </w:r>
      <w:r w:rsidRPr="00AA280B">
        <w:rPr>
          <w:rFonts w:hint="cs"/>
          <w:spacing w:val="-6"/>
          <w:rtl/>
        </w:rPr>
        <w:t xml:space="preserve"> </w:t>
      </w:r>
      <w:r w:rsidRPr="00B46B4B">
        <w:rPr>
          <w:rFonts w:hint="cs"/>
          <w:rtl/>
        </w:rPr>
        <w:t>הנדה:</w:t>
      </w:r>
    </w:p>
    <w:p w:rsidR="006255A6" w:rsidRDefault="006255A6" w:rsidP="006255A6">
      <w:pPr>
        <w:rPr>
          <w:rFonts w:hint="cs"/>
          <w:rtl/>
        </w:rPr>
      </w:pPr>
      <w:r w:rsidRPr="00B46B4B">
        <w:rPr>
          <w:rFonts w:hint="cs"/>
          <w:rtl/>
        </w:rPr>
        <w:t>ראשית, "</w:t>
      </w:r>
      <w:r w:rsidRPr="00B46B4B">
        <w:rPr>
          <w:rFonts w:hint="cs"/>
          <w:b/>
          <w:bCs/>
          <w:sz w:val="28"/>
          <w:szCs w:val="28"/>
          <w:rtl/>
        </w:rPr>
        <w:t>כשושנה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אדומה</w:t>
      </w:r>
      <w:r w:rsidRPr="00B46B4B">
        <w:rPr>
          <w:rFonts w:hint="cs"/>
          <w:rtl/>
        </w:rPr>
        <w:t xml:space="preserve">" עולה </w:t>
      </w:r>
      <w:r w:rsidRPr="00B46B4B">
        <w:rPr>
          <w:rFonts w:hint="cs"/>
          <w:b/>
          <w:bCs/>
          <w:sz w:val="28"/>
          <w:szCs w:val="28"/>
          <w:rtl/>
        </w:rPr>
        <w:t>שלהבת</w:t>
      </w:r>
      <w:r w:rsidRPr="00B46B4B">
        <w:rPr>
          <w:rFonts w:hint="cs"/>
          <w:rtl/>
        </w:rPr>
        <w:t>, רמז לכך שגם בזמן זה יש לשמור את אש האהבה, לפחות 'על אש קטנה'</w:t>
      </w:r>
      <w:r w:rsidRPr="00C37DFC">
        <w:rPr>
          <w:rStyle w:val="a7"/>
          <w:rtl/>
        </w:rPr>
        <w:endnoteReference w:id="11"/>
      </w:r>
      <w:r w:rsidRPr="00B46B4B">
        <w:rPr>
          <w:rFonts w:hint="cs"/>
          <w:rtl/>
        </w:rPr>
        <w:t xml:space="preserve">. </w:t>
      </w:r>
      <w:r w:rsidRPr="00B46B4B">
        <w:rPr>
          <w:rFonts w:hint="cs"/>
          <w:b/>
          <w:bCs/>
          <w:sz w:val="28"/>
          <w:szCs w:val="28"/>
          <w:rtl/>
        </w:rPr>
        <w:t>שלהבת</w:t>
      </w:r>
      <w:r w:rsidRPr="00B46B4B">
        <w:rPr>
          <w:rFonts w:hint="cs"/>
          <w:rtl/>
        </w:rPr>
        <w:t xml:space="preserve"> זו היא אהבה מסורה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"</w:t>
      </w:r>
      <w:r w:rsidRPr="00B46B4B">
        <w:rPr>
          <w:rFonts w:hint="cs"/>
          <w:b/>
          <w:bCs/>
          <w:sz w:val="28"/>
          <w:szCs w:val="28"/>
          <w:rtl/>
        </w:rPr>
        <w:t>בכל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לבבך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ובכל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נפשך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ובכל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מאדך</w:t>
      </w:r>
      <w:proofErr w:type="spellEnd"/>
      <w:r w:rsidRPr="00B46B4B">
        <w:rPr>
          <w:rFonts w:hint="cs"/>
          <w:rtl/>
        </w:rPr>
        <w:t>"</w:t>
      </w:r>
      <w:r w:rsidRPr="00C37DFC">
        <w:rPr>
          <w:rStyle w:val="a7"/>
          <w:rtl/>
        </w:rPr>
        <w:endnoteReference w:id="12"/>
      </w:r>
      <w:r w:rsidRPr="00B46B4B">
        <w:rPr>
          <w:rFonts w:hint="cs"/>
          <w:rtl/>
        </w:rPr>
        <w:t xml:space="preserve"> (וכן לשון הפסוק "[ואל </w:t>
      </w:r>
      <w:proofErr w:type="spellStart"/>
      <w:r w:rsidRPr="00B46B4B">
        <w:rPr>
          <w:rFonts w:hint="cs"/>
          <w:rtl/>
        </w:rPr>
        <w:t>אשה</w:t>
      </w:r>
      <w:proofErr w:type="spellEnd"/>
      <w:r w:rsidRPr="00B46B4B">
        <w:rPr>
          <w:rFonts w:hint="cs"/>
          <w:rtl/>
        </w:rPr>
        <w:t xml:space="preserve">]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בנדת</w:t>
      </w:r>
      <w:proofErr w:type="spellEnd"/>
      <w:r w:rsidRPr="00B46B4B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טמאתה</w:t>
      </w:r>
      <w:proofErr w:type="spellEnd"/>
      <w:r w:rsidRPr="00B46B4B">
        <w:rPr>
          <w:rFonts w:hint="cs"/>
          <w:b/>
          <w:bCs/>
          <w:sz w:val="28"/>
          <w:szCs w:val="28"/>
          <w:rtl/>
        </w:rPr>
        <w:t xml:space="preserve"> לא תקרב</w:t>
      </w:r>
      <w:r w:rsidRPr="00B46B4B">
        <w:rPr>
          <w:rFonts w:hint="cs"/>
          <w:rtl/>
        </w:rPr>
        <w:t>" עולה "</w:t>
      </w:r>
      <w:r w:rsidRPr="00B46B4B">
        <w:rPr>
          <w:rFonts w:hint="cs"/>
          <w:b/>
          <w:bCs/>
          <w:sz w:val="28"/>
          <w:szCs w:val="28"/>
          <w:rtl/>
        </w:rPr>
        <w:t>ואהבת את הוי</w:t>
      </w:r>
      <w:r w:rsidRPr="00B46B4B">
        <w:rPr>
          <w:rFonts w:hint="cs"/>
          <w:rtl/>
        </w:rPr>
        <w:t>'</w:t>
      </w:r>
      <w:r w:rsidRPr="00B46B4B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אלהיך</w:t>
      </w:r>
      <w:proofErr w:type="spellEnd"/>
      <w:r w:rsidRPr="00B46B4B">
        <w:rPr>
          <w:rFonts w:hint="cs"/>
          <w:b/>
          <w:bCs/>
          <w:sz w:val="28"/>
          <w:szCs w:val="28"/>
          <w:rtl/>
        </w:rPr>
        <w:t xml:space="preserve"> בכל לבבך ובכל נפשך ובכל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מאדך</w:t>
      </w:r>
      <w:proofErr w:type="spellEnd"/>
      <w:r w:rsidRPr="00B46B4B">
        <w:rPr>
          <w:rFonts w:hint="cs"/>
          <w:rtl/>
        </w:rPr>
        <w:t>")</w:t>
      </w:r>
      <w:r w:rsidRPr="00B46B4B">
        <w:rPr>
          <w:rFonts w:hint="cs"/>
          <w:b/>
          <w:bCs/>
          <w:sz w:val="28"/>
          <w:szCs w:val="28"/>
          <w:rtl/>
        </w:rPr>
        <w:t>.</w:t>
      </w:r>
      <w:r w:rsidRPr="00B46B4B">
        <w:rPr>
          <w:rFonts w:hint="cs"/>
          <w:rtl/>
        </w:rPr>
        <w:t xml:space="preserve"> </w:t>
      </w:r>
    </w:p>
    <w:p w:rsidR="006255A6" w:rsidRPr="00B46B4B" w:rsidRDefault="006255A6" w:rsidP="006255A6">
      <w:pPr>
        <w:rPr>
          <w:rFonts w:hint="cs"/>
          <w:rtl/>
        </w:rPr>
      </w:pPr>
      <w:r w:rsidRPr="00B46B4B">
        <w:rPr>
          <w:rFonts w:hint="cs"/>
          <w:rtl/>
        </w:rPr>
        <w:t xml:space="preserve">רבי אייזיק </w:t>
      </w:r>
      <w:proofErr w:type="spellStart"/>
      <w:r w:rsidRPr="00B46B4B">
        <w:rPr>
          <w:rFonts w:hint="cs"/>
          <w:rtl/>
        </w:rPr>
        <w:t>מהומיל</w:t>
      </w:r>
      <w:proofErr w:type="spellEnd"/>
      <w:r w:rsidRPr="00B46B4B">
        <w:rPr>
          <w:rFonts w:hint="cs"/>
          <w:rtl/>
        </w:rPr>
        <w:t xml:space="preserve"> זצ"ל מסביר</w:t>
      </w:r>
      <w:r w:rsidRPr="00C37DFC">
        <w:rPr>
          <w:rStyle w:val="a7"/>
          <w:rtl/>
        </w:rPr>
        <w:endnoteReference w:id="13"/>
      </w:r>
      <w:r w:rsidRPr="00B46B4B">
        <w:rPr>
          <w:rFonts w:hint="cs"/>
          <w:rtl/>
        </w:rPr>
        <w:t xml:space="preserve"> כי "ובכל </w:t>
      </w:r>
      <w:proofErr w:type="spellStart"/>
      <w:r w:rsidRPr="00B46B4B">
        <w:rPr>
          <w:rFonts w:hint="cs"/>
          <w:rtl/>
        </w:rPr>
        <w:t>מאדך</w:t>
      </w:r>
      <w:proofErr w:type="spellEnd"/>
      <w:r w:rsidRPr="00B46B4B">
        <w:rPr>
          <w:rFonts w:hint="cs"/>
          <w:rtl/>
        </w:rPr>
        <w:t xml:space="preserve">" הוא דימוי לשיא האהבה המתבטא בזיווג, אך כאן מתברר כי גם בתקופת </w:t>
      </w:r>
      <w:r>
        <w:rPr>
          <w:rFonts w:hint="cs"/>
          <w:rtl/>
        </w:rPr>
        <w:t xml:space="preserve">הנדה יכולה האהבה להגיע לשיא כזה. כך נדרש על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"בכל </w:t>
      </w:r>
      <w:proofErr w:type="spellStart"/>
      <w:r>
        <w:rPr>
          <w:rFonts w:hint="cs"/>
          <w:rtl/>
        </w:rPr>
        <w:t>מאדך</w:t>
      </w:r>
      <w:proofErr w:type="spellEnd"/>
      <w:r>
        <w:rPr>
          <w:rFonts w:hint="cs"/>
          <w:rtl/>
        </w:rPr>
        <w:t>": "ב</w:t>
      </w:r>
      <w:r w:rsidRPr="00B46B4B">
        <w:rPr>
          <w:rFonts w:hint="cs"/>
          <w:rtl/>
        </w:rPr>
        <w:t>כל מדה ומדה שהוא מודד לך [זמן טהרה או זמן טומאה] הוי מודה לו"</w:t>
      </w:r>
      <w:r w:rsidRPr="00C37DFC">
        <w:rPr>
          <w:rStyle w:val="a7"/>
          <w:rtl/>
        </w:rPr>
        <w:endnoteReference w:id="14"/>
      </w:r>
      <w:r w:rsidRPr="00B46B4B">
        <w:rPr>
          <w:rFonts w:hint="cs"/>
          <w:rtl/>
        </w:rPr>
        <w:t xml:space="preserve">. ועוד, "בכל </w:t>
      </w:r>
      <w:proofErr w:type="spellStart"/>
      <w:r w:rsidRPr="00B46B4B">
        <w:rPr>
          <w:rFonts w:hint="cs"/>
          <w:rtl/>
        </w:rPr>
        <w:t>מאדך</w:t>
      </w:r>
      <w:proofErr w:type="spellEnd"/>
      <w:r w:rsidRPr="00B46B4B">
        <w:rPr>
          <w:rFonts w:hint="cs"/>
          <w:rtl/>
        </w:rPr>
        <w:t xml:space="preserve">" </w:t>
      </w:r>
      <w:r>
        <w:rPr>
          <w:rFonts w:hint="cs"/>
          <w:rtl/>
        </w:rPr>
        <w:t>מתפרש</w:t>
      </w:r>
      <w:r w:rsidRPr="00B46B4B">
        <w:rPr>
          <w:rFonts w:hint="cs"/>
          <w:rtl/>
        </w:rPr>
        <w:t xml:space="preserve"> גם על ממונו של האדם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בזמן שאין קרבה גופנית, האהבה יכולה לקבל ביטוי כספי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(בנתינת מתנות</w:t>
      </w:r>
      <w:r w:rsidRPr="00C37DFC">
        <w:rPr>
          <w:rStyle w:val="a7"/>
          <w:rtl/>
        </w:rPr>
        <w:endnoteReference w:id="15"/>
      </w:r>
      <w:r>
        <w:rPr>
          <w:rFonts w:hint="cs"/>
          <w:rtl/>
        </w:rPr>
        <w:t xml:space="preserve"> וכיו"ב, וכן זהו זמן בו תכשיטי </w:t>
      </w:r>
      <w:proofErr w:type="spellStart"/>
      <w:r>
        <w:rPr>
          <w:rFonts w:hint="cs"/>
          <w:rtl/>
        </w:rPr>
        <w:t>האשה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ולבושיה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בהם עיטר אותה בעלה </w:t>
      </w:r>
      <w:r>
        <w:rPr>
          <w:rtl/>
        </w:rPr>
        <w:t>–</w:t>
      </w:r>
      <w:r>
        <w:rPr>
          <w:rFonts w:hint="cs"/>
          <w:rtl/>
        </w:rPr>
        <w:t xml:space="preserve"> הם הכלי העיקרי לשמירת יפיה בעיני בעלה)</w:t>
      </w:r>
      <w:r w:rsidRPr="00C37DFC">
        <w:rPr>
          <w:rStyle w:val="a7"/>
          <w:rtl/>
        </w:rPr>
        <w:endnoteReference w:id="16"/>
      </w:r>
      <w:r>
        <w:rPr>
          <w:rFonts w:hint="cs"/>
          <w:rtl/>
        </w:rPr>
        <w:t>.</w:t>
      </w:r>
    </w:p>
    <w:p w:rsidR="006255A6" w:rsidRPr="00B46B4B" w:rsidRDefault="006255A6" w:rsidP="006255A6">
      <w:pPr>
        <w:rPr>
          <w:rFonts w:hint="cs"/>
          <w:rtl/>
        </w:rPr>
      </w:pPr>
      <w:r w:rsidRPr="00B46B4B">
        <w:rPr>
          <w:rFonts w:hint="cs"/>
          <w:rtl/>
        </w:rPr>
        <w:t>הביטוי המלא, "</w:t>
      </w:r>
      <w:r w:rsidRPr="00B46B4B">
        <w:rPr>
          <w:rFonts w:hint="cs"/>
          <w:b/>
          <w:bCs/>
          <w:sz w:val="28"/>
          <w:szCs w:val="28"/>
          <w:rtl/>
        </w:rPr>
        <w:t>כשושנה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אדומה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ראיתי</w:t>
      </w:r>
      <w:r w:rsidRPr="00B46B4B">
        <w:rPr>
          <w:rFonts w:hint="cs"/>
          <w:rtl/>
        </w:rPr>
        <w:t>", עולה "</w:t>
      </w:r>
      <w:r w:rsidRPr="00B46B4B">
        <w:rPr>
          <w:rFonts w:hint="cs"/>
          <w:b/>
          <w:bCs/>
          <w:sz w:val="28"/>
          <w:szCs w:val="28"/>
          <w:rtl/>
        </w:rPr>
        <w:t>ברוך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שם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כבוד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מלכותו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לעולם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ועד</w:t>
      </w:r>
      <w:r w:rsidRPr="00B46B4B">
        <w:rPr>
          <w:rFonts w:hint="cs"/>
          <w:rtl/>
        </w:rPr>
        <w:t>"</w:t>
      </w:r>
      <w:r w:rsidRPr="00C37DFC">
        <w:rPr>
          <w:rStyle w:val="a7"/>
          <w:rtl/>
        </w:rPr>
        <w:endnoteReference w:id="17"/>
      </w:r>
      <w:r w:rsidRPr="00B46B4B">
        <w:rPr>
          <w:rFonts w:hint="cs"/>
          <w:rtl/>
        </w:rPr>
        <w:t xml:space="preserve">, רמז לכך שבעוד שבזמן הטהרה </w:t>
      </w:r>
      <w:proofErr w:type="spellStart"/>
      <w:r w:rsidRPr="00B46B4B">
        <w:rPr>
          <w:rFonts w:hint="cs"/>
          <w:rtl/>
        </w:rPr>
        <w:t>היחוד</w:t>
      </w:r>
      <w:proofErr w:type="spellEnd"/>
      <w:r w:rsidRPr="00B46B4B">
        <w:rPr>
          <w:rFonts w:hint="cs"/>
          <w:rtl/>
        </w:rPr>
        <w:t xml:space="preserve"> בין האיש </w:t>
      </w:r>
      <w:proofErr w:type="spellStart"/>
      <w:r w:rsidRPr="00B46B4B">
        <w:rPr>
          <w:rFonts w:hint="cs"/>
          <w:rtl/>
        </w:rPr>
        <w:t>והאשה</w:t>
      </w:r>
      <w:proofErr w:type="spellEnd"/>
      <w:r w:rsidRPr="00B46B4B">
        <w:rPr>
          <w:rFonts w:hint="cs"/>
          <w:rtl/>
        </w:rPr>
        <w:t xml:space="preserve"> הוא בגדר </w:t>
      </w:r>
      <w:proofErr w:type="spellStart"/>
      <w:r w:rsidRPr="00B46B4B">
        <w:rPr>
          <w:rFonts w:hint="cs"/>
          <w:rtl/>
        </w:rPr>
        <w:t>יחודא-עילאה</w:t>
      </w:r>
      <w:proofErr w:type="spellEnd"/>
      <w:r w:rsidRPr="00B46B4B">
        <w:rPr>
          <w:rFonts w:hint="cs"/>
          <w:rtl/>
        </w:rPr>
        <w:t xml:space="preserve"> (שבפסוק "שמע ישראל הוי' </w:t>
      </w:r>
      <w:proofErr w:type="spellStart"/>
      <w:r w:rsidRPr="00B46B4B">
        <w:rPr>
          <w:rFonts w:hint="cs"/>
          <w:rtl/>
        </w:rPr>
        <w:t>אלהינו</w:t>
      </w:r>
      <w:proofErr w:type="spellEnd"/>
      <w:r w:rsidRPr="00B46B4B">
        <w:rPr>
          <w:rFonts w:hint="cs"/>
          <w:rtl/>
        </w:rPr>
        <w:t xml:space="preserve"> הוי' אחד"</w:t>
      </w:r>
      <w:r w:rsidRPr="00C37DFC">
        <w:rPr>
          <w:rStyle w:val="a7"/>
          <w:rtl/>
        </w:rPr>
        <w:endnoteReference w:id="18"/>
      </w:r>
      <w:r w:rsidRPr="00B46B4B">
        <w:rPr>
          <w:rFonts w:hint="cs"/>
          <w:rtl/>
        </w:rPr>
        <w:t xml:space="preserve">), הרי שבזמן הטומאה </w:t>
      </w:r>
      <w:proofErr w:type="spellStart"/>
      <w:r w:rsidRPr="00B46B4B">
        <w:rPr>
          <w:rFonts w:hint="cs"/>
          <w:rtl/>
        </w:rPr>
        <w:t>היחוד</w:t>
      </w:r>
      <w:proofErr w:type="spellEnd"/>
      <w:r w:rsidRPr="00B46B4B">
        <w:rPr>
          <w:rFonts w:hint="cs"/>
          <w:rtl/>
        </w:rPr>
        <w:t xml:space="preserve"> ביניהם הוא בגדר </w:t>
      </w:r>
      <w:proofErr w:type="spellStart"/>
      <w:r w:rsidRPr="00B46B4B">
        <w:rPr>
          <w:rFonts w:hint="cs"/>
          <w:rtl/>
        </w:rPr>
        <w:t>יחודא-תתאה</w:t>
      </w:r>
      <w:proofErr w:type="spellEnd"/>
      <w:r w:rsidRPr="00B46B4B">
        <w:rPr>
          <w:rFonts w:hint="cs"/>
          <w:rtl/>
        </w:rPr>
        <w:t xml:space="preserve"> (אליו מכוונים ב"ברוך שם כבוד מלכותו לעולם ועד"</w:t>
      </w:r>
      <w:r w:rsidRPr="00C37DFC">
        <w:rPr>
          <w:rStyle w:val="a7"/>
          <w:rtl/>
        </w:rPr>
        <w:endnoteReference w:id="19"/>
      </w:r>
      <w:r w:rsidRPr="00B46B4B">
        <w:rPr>
          <w:rFonts w:hint="cs"/>
          <w:rtl/>
        </w:rPr>
        <w:t xml:space="preserve">). לכאורה, דווקא בזמן הטהרה אפשרי גם יחוד גופני-תחתון, בעוד שבזמן הטומאה נדמה כי </w:t>
      </w:r>
      <w:proofErr w:type="spellStart"/>
      <w:r w:rsidRPr="00B46B4B">
        <w:rPr>
          <w:rFonts w:hint="cs"/>
          <w:rtl/>
        </w:rPr>
        <w:t>היחוד</w:t>
      </w:r>
      <w:proofErr w:type="spellEnd"/>
      <w:r w:rsidRPr="00B46B4B">
        <w:rPr>
          <w:rFonts w:hint="cs"/>
          <w:rtl/>
        </w:rPr>
        <w:t xml:space="preserve"> הוא רק רוחני-עליון</w:t>
      </w:r>
      <w:bookmarkStart w:id="2" w:name="_Ref188212556"/>
      <w:r w:rsidRPr="00C37DFC">
        <w:rPr>
          <w:rStyle w:val="a7"/>
          <w:rtl/>
        </w:rPr>
        <w:endnoteReference w:id="20"/>
      </w:r>
      <w:bookmarkEnd w:id="2"/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אך אליבא דאמת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יחודא-עילאה</w:t>
      </w:r>
      <w:proofErr w:type="spellEnd"/>
      <w:r w:rsidRPr="00B46B4B">
        <w:rPr>
          <w:rFonts w:hint="cs"/>
          <w:rtl/>
        </w:rPr>
        <w:t xml:space="preserve"> היינ</w:t>
      </w:r>
      <w:r>
        <w:rPr>
          <w:rFonts w:hint="cs"/>
          <w:rtl/>
        </w:rPr>
        <w:t xml:space="preserve">ו יחוד גלוי, ברוחניות ובגשמיות, </w:t>
      </w:r>
      <w:r w:rsidRPr="00B46B4B">
        <w:rPr>
          <w:rFonts w:hint="cs"/>
          <w:rtl/>
        </w:rPr>
        <w:t xml:space="preserve">כנודע </w:t>
      </w:r>
      <w:proofErr w:type="spellStart"/>
      <w:r w:rsidRPr="00B46B4B">
        <w:rPr>
          <w:rFonts w:hint="cs"/>
          <w:rtl/>
        </w:rPr>
        <w:t>שב"שמע</w:t>
      </w:r>
      <w:proofErr w:type="spellEnd"/>
      <w:r w:rsidRPr="00B46B4B">
        <w:rPr>
          <w:rFonts w:hint="cs"/>
          <w:rtl/>
        </w:rPr>
        <w:t xml:space="preserve"> ישראל" יש גם יחוד </w:t>
      </w:r>
      <w:r w:rsidRPr="00B46B4B">
        <w:rPr>
          <w:rFonts w:hint="cs"/>
          <w:b/>
          <w:bCs/>
          <w:sz w:val="28"/>
          <w:szCs w:val="28"/>
          <w:rtl/>
        </w:rPr>
        <w:t>יה</w:t>
      </w:r>
      <w:r w:rsidRPr="00B46B4B">
        <w:rPr>
          <w:rFonts w:hint="cs"/>
          <w:rtl/>
        </w:rPr>
        <w:t xml:space="preserve">, "הוי' </w:t>
      </w:r>
      <w:proofErr w:type="spellStart"/>
      <w:r w:rsidRPr="00B46B4B">
        <w:rPr>
          <w:rFonts w:hint="cs"/>
          <w:rtl/>
        </w:rPr>
        <w:t>אלהינו</w:t>
      </w:r>
      <w:proofErr w:type="spellEnd"/>
      <w:r w:rsidRPr="00B46B4B">
        <w:rPr>
          <w:rFonts w:hint="cs"/>
          <w:rtl/>
        </w:rPr>
        <w:t xml:space="preserve">", וגם יחוד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>
        <w:rPr>
          <w:rFonts w:hint="cs"/>
          <w:rtl/>
        </w:rPr>
        <w:t xml:space="preserve">, "הוי' אחד". לעומתו, </w:t>
      </w:r>
      <w:proofErr w:type="spellStart"/>
      <w:r w:rsidRPr="00B46B4B">
        <w:rPr>
          <w:rFonts w:hint="cs"/>
          <w:rtl/>
        </w:rPr>
        <w:t>יחודא-תתאה</w:t>
      </w:r>
      <w:proofErr w:type="spellEnd"/>
      <w:r w:rsidRPr="00B46B4B">
        <w:rPr>
          <w:rFonts w:hint="cs"/>
          <w:rtl/>
        </w:rPr>
        <w:t xml:space="preserve"> היינו יחוד נסתר בת</w:t>
      </w:r>
      <w:r>
        <w:rPr>
          <w:rFonts w:hint="cs"/>
          <w:rtl/>
        </w:rPr>
        <w:t xml:space="preserve">וך מציאות שבגלוי שולט בה הפירוד. זהו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הנסתר, גם אם הרוחני והנעלה, שבזמן נדה </w:t>
      </w:r>
      <w:r>
        <w:rPr>
          <w:rtl/>
        </w:rPr>
        <w:t>–</w:t>
      </w:r>
      <w:r>
        <w:rPr>
          <w:rFonts w:hint="cs"/>
          <w:rtl/>
        </w:rPr>
        <w:t xml:space="preserve"> יחוד</w:t>
      </w:r>
      <w:r w:rsidRPr="00B46B4B">
        <w:rPr>
          <w:rFonts w:hint="cs"/>
          <w:rtl/>
        </w:rPr>
        <w:t xml:space="preserve"> שאינו יכול לבוא לידי ביטוי גלוי במציאות התחתונה והנפרדת</w:t>
      </w:r>
      <w:r w:rsidRPr="00CD65A8">
        <w:rPr>
          <w:rStyle w:val="a7"/>
          <w:rtl/>
        </w:rPr>
        <w:fldChar w:fldCharType="begin"/>
      </w:r>
      <w:r w:rsidRPr="00CD65A8">
        <w:rPr>
          <w:rStyle w:val="a7"/>
          <w:rtl/>
        </w:rPr>
        <w:instrText xml:space="preserve"> </w:instrText>
      </w:r>
      <w:r w:rsidRPr="00CD65A8">
        <w:rPr>
          <w:rStyle w:val="a7"/>
          <w:rFonts w:hint="cs"/>
        </w:rPr>
        <w:instrText>NOTEREF</w:instrText>
      </w:r>
      <w:r w:rsidRPr="00CD65A8">
        <w:rPr>
          <w:rStyle w:val="a7"/>
          <w:rFonts w:hint="cs"/>
          <w:rtl/>
        </w:rPr>
        <w:instrText xml:space="preserve"> _</w:instrText>
      </w:r>
      <w:r w:rsidRPr="00CD65A8">
        <w:rPr>
          <w:rStyle w:val="a7"/>
          <w:rFonts w:hint="cs"/>
        </w:rPr>
        <w:instrText>Ref188212556 \h</w:instrText>
      </w:r>
      <w:r w:rsidRPr="00CD65A8">
        <w:rPr>
          <w:rStyle w:val="a7"/>
          <w:rtl/>
        </w:rPr>
        <w:instrText xml:space="preserve"> </w:instrText>
      </w:r>
      <w:r w:rsidRPr="00CD65A8">
        <w:rPr>
          <w:rStyle w:val="a7"/>
        </w:rPr>
      </w:r>
      <w:r>
        <w:rPr>
          <w:rStyle w:val="a7"/>
        </w:rPr>
        <w:instrText xml:space="preserve"> \* MERGEFORMAT </w:instrText>
      </w:r>
      <w:r w:rsidRPr="00CD65A8">
        <w:rPr>
          <w:rStyle w:val="a7"/>
          <w:rtl/>
        </w:rPr>
        <w:fldChar w:fldCharType="separate"/>
      </w:r>
      <w:r>
        <w:rPr>
          <w:rStyle w:val="a7"/>
          <w:rtl/>
        </w:rPr>
        <w:t>כ</w:t>
      </w:r>
      <w:r w:rsidRPr="00CD65A8">
        <w:rPr>
          <w:rStyle w:val="a7"/>
          <w:rtl/>
        </w:rPr>
        <w:fldChar w:fldCharType="end"/>
      </w:r>
      <w:r w:rsidRPr="00B46B4B">
        <w:rPr>
          <w:rFonts w:hint="cs"/>
          <w:rtl/>
        </w:rPr>
        <w:t>.</w:t>
      </w:r>
    </w:p>
    <w:p w:rsidR="006255A6" w:rsidRPr="00B46B4B" w:rsidRDefault="006255A6" w:rsidP="006255A6">
      <w:pPr>
        <w:rPr>
          <w:rFonts w:hint="cs"/>
          <w:rtl/>
        </w:rPr>
      </w:pPr>
      <w:r w:rsidRPr="00B46B4B">
        <w:rPr>
          <w:rFonts w:hint="cs"/>
          <w:rtl/>
        </w:rPr>
        <w:t>ראשי התיבות של "</w:t>
      </w:r>
      <w:r w:rsidRPr="00B46B4B">
        <w:rPr>
          <w:rFonts w:hint="cs"/>
          <w:b/>
          <w:bCs/>
          <w:sz w:val="28"/>
          <w:szCs w:val="28"/>
          <w:rtl/>
        </w:rPr>
        <w:t>כ</w:t>
      </w:r>
      <w:r w:rsidRPr="00B46B4B">
        <w:rPr>
          <w:rFonts w:hint="cs"/>
          <w:rtl/>
        </w:rPr>
        <w:t xml:space="preserve">שושנה </w:t>
      </w:r>
      <w:r w:rsidRPr="00B46B4B">
        <w:rPr>
          <w:rFonts w:hint="cs"/>
          <w:b/>
          <w:bCs/>
          <w:sz w:val="28"/>
          <w:szCs w:val="28"/>
          <w:rtl/>
        </w:rPr>
        <w:t>א</w:t>
      </w:r>
      <w:r w:rsidRPr="00B46B4B">
        <w:rPr>
          <w:rFonts w:hint="cs"/>
          <w:rtl/>
        </w:rPr>
        <w:t xml:space="preserve">דומה </w:t>
      </w:r>
      <w:r w:rsidRPr="00B46B4B">
        <w:rPr>
          <w:rFonts w:hint="cs"/>
          <w:b/>
          <w:bCs/>
          <w:sz w:val="28"/>
          <w:szCs w:val="28"/>
          <w:rtl/>
        </w:rPr>
        <w:t>ר</w:t>
      </w:r>
      <w:r w:rsidRPr="00B46B4B">
        <w:rPr>
          <w:rFonts w:hint="cs"/>
          <w:rtl/>
        </w:rPr>
        <w:t xml:space="preserve">איתי" הם </w:t>
      </w:r>
      <w:r w:rsidRPr="00B46B4B">
        <w:rPr>
          <w:rFonts w:hint="cs"/>
          <w:b/>
          <w:bCs/>
          <w:sz w:val="28"/>
          <w:szCs w:val="28"/>
          <w:rtl/>
        </w:rPr>
        <w:t>ארך</w:t>
      </w:r>
      <w:r w:rsidRPr="00B46B4B">
        <w:rPr>
          <w:rFonts w:hint="cs"/>
          <w:rtl/>
        </w:rPr>
        <w:t xml:space="preserve">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רמז למדת "</w:t>
      </w:r>
      <w:r w:rsidRPr="00B46B4B">
        <w:rPr>
          <w:rFonts w:hint="cs"/>
          <w:b/>
          <w:bCs/>
          <w:sz w:val="28"/>
          <w:szCs w:val="28"/>
          <w:rtl/>
        </w:rPr>
        <w:t>ארך</w:t>
      </w:r>
      <w:r w:rsidRPr="00B46B4B">
        <w:rPr>
          <w:rFonts w:hint="cs"/>
          <w:rtl/>
        </w:rPr>
        <w:t xml:space="preserve"> אפים" שצריכה לשרור בין בני זוג</w:t>
      </w:r>
      <w:r w:rsidRPr="00C37DFC">
        <w:rPr>
          <w:rStyle w:val="a7"/>
          <w:rtl/>
        </w:rPr>
        <w:endnoteReference w:id="21"/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ימי הנדה, ובעיקר שלבי </w:t>
      </w:r>
      <w:proofErr w:type="spellStart"/>
      <w:r w:rsidRPr="00B46B4B">
        <w:rPr>
          <w:rFonts w:hint="cs"/>
          <w:rtl/>
        </w:rPr>
        <w:t>ההטהרות</w:t>
      </w:r>
      <w:proofErr w:type="spellEnd"/>
      <w:r w:rsidRPr="00B46B4B">
        <w:rPr>
          <w:rFonts w:hint="cs"/>
          <w:rtl/>
        </w:rPr>
        <w:t>, מכוונים להתנקות מכל הכעסים בין בני הזוג והמתקתם-הפיכתם לרחמים גמורים</w:t>
      </w:r>
      <w:r w:rsidRPr="00C37DFC">
        <w:rPr>
          <w:rStyle w:val="a7"/>
          <w:rtl/>
        </w:rPr>
        <w:endnoteReference w:id="22"/>
      </w:r>
      <w:r>
        <w:rPr>
          <w:rFonts w:hint="cs"/>
          <w:rtl/>
        </w:rPr>
        <w:t xml:space="preserve"> (ורמז: "[ואשה כי יזוב זוב דמה] </w:t>
      </w:r>
      <w:r w:rsidRPr="000B4197">
        <w:rPr>
          <w:rFonts w:hint="cs"/>
          <w:b/>
          <w:bCs/>
          <w:sz w:val="28"/>
          <w:szCs w:val="28"/>
          <w:rtl/>
        </w:rPr>
        <w:t>ימים</w:t>
      </w:r>
      <w:r>
        <w:rPr>
          <w:rFonts w:hint="cs"/>
          <w:rtl/>
        </w:rPr>
        <w:t xml:space="preserve"> </w:t>
      </w:r>
      <w:r w:rsidRPr="000B4197">
        <w:rPr>
          <w:rFonts w:hint="cs"/>
          <w:b/>
          <w:bCs/>
          <w:sz w:val="28"/>
          <w:szCs w:val="28"/>
          <w:rtl/>
        </w:rPr>
        <w:t>רבים</w:t>
      </w:r>
      <w:r>
        <w:rPr>
          <w:rFonts w:hint="cs"/>
          <w:rtl/>
        </w:rPr>
        <w:t>"</w:t>
      </w:r>
      <w:r w:rsidRPr="00C37DFC">
        <w:rPr>
          <w:rStyle w:val="a7"/>
          <w:rtl/>
        </w:rPr>
        <w:endnoteReference w:id="23"/>
      </w:r>
      <w:r>
        <w:rPr>
          <w:rFonts w:hint="cs"/>
          <w:rtl/>
        </w:rPr>
        <w:t xml:space="preserve"> עולה </w:t>
      </w:r>
      <w:r w:rsidRPr="000B4197">
        <w:rPr>
          <w:rFonts w:hint="cs"/>
          <w:b/>
          <w:bCs/>
          <w:sz w:val="28"/>
          <w:szCs w:val="28"/>
          <w:rtl/>
        </w:rPr>
        <w:t>ארך</w:t>
      </w:r>
      <w:r>
        <w:rPr>
          <w:rFonts w:hint="cs"/>
          <w:rtl/>
        </w:rPr>
        <w:t xml:space="preserve"> </w:t>
      </w:r>
      <w:r w:rsidRPr="000B4197">
        <w:rPr>
          <w:rFonts w:hint="cs"/>
          <w:b/>
          <w:bCs/>
          <w:sz w:val="28"/>
          <w:szCs w:val="28"/>
          <w:rtl/>
        </w:rPr>
        <w:t>אפים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כיום נוהגים שכל ראית דם היא כ"ימים רבים", עליהם יש לשבת שבעה נקיים, </w:t>
      </w:r>
      <w:proofErr w:type="spellStart"/>
      <w:r>
        <w:rPr>
          <w:rFonts w:hint="cs"/>
          <w:rtl/>
        </w:rPr>
        <w:t>להטהר</w:t>
      </w:r>
      <w:proofErr w:type="spellEnd"/>
      <w:r>
        <w:rPr>
          <w:rFonts w:hint="cs"/>
          <w:rtl/>
        </w:rPr>
        <w:t xml:space="preserve"> מכל כעס ולהפוך אותו לאריכות אפים)</w:t>
      </w:r>
      <w:r w:rsidRPr="00B46B4B">
        <w:rPr>
          <w:rFonts w:hint="cs"/>
          <w:rtl/>
        </w:rPr>
        <w:t>.</w:t>
      </w:r>
    </w:p>
    <w:p w:rsidR="005F4A47" w:rsidRDefault="001554CD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4CD" w:rsidRDefault="001554CD" w:rsidP="006255A6">
      <w:pPr>
        <w:spacing w:after="0" w:line="240" w:lineRule="auto"/>
      </w:pPr>
      <w:r>
        <w:separator/>
      </w:r>
    </w:p>
  </w:endnote>
  <w:endnote w:type="continuationSeparator" w:id="0">
    <w:p w:rsidR="001554CD" w:rsidRDefault="001554CD" w:rsidP="006255A6">
      <w:pPr>
        <w:spacing w:after="0" w:line="240" w:lineRule="auto"/>
      </w:pPr>
      <w:r>
        <w:continuationSeparator/>
      </w:r>
    </w:p>
  </w:endnote>
  <w:endnote w:id="1">
    <w:p w:rsidR="006255A6" w:rsidRDefault="006255A6" w:rsidP="006255A6">
      <w:pPr>
        <w:pStyle w:val="a5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ז, ג.</w:t>
      </w:r>
    </w:p>
  </w:endnote>
  <w:endnote w:id="2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כי </w:t>
      </w:r>
      <w:proofErr w:type="spellStart"/>
      <w:r>
        <w:rPr>
          <w:rFonts w:hint="cs"/>
          <w:rtl/>
        </w:rPr>
        <w:t>תשא</w:t>
      </w:r>
      <w:proofErr w:type="spellEnd"/>
      <w:r>
        <w:rPr>
          <w:rFonts w:hint="cs"/>
          <w:rtl/>
        </w:rPr>
        <w:t xml:space="preserve"> ב (וראה גם סנהדרין </w:t>
      </w:r>
      <w:proofErr w:type="spellStart"/>
      <w:r>
        <w:rPr>
          <w:rFonts w:hint="cs"/>
          <w:rtl/>
        </w:rPr>
        <w:t>לז</w:t>
      </w:r>
      <w:proofErr w:type="spellEnd"/>
      <w:r>
        <w:rPr>
          <w:rFonts w:hint="cs"/>
          <w:rtl/>
        </w:rPr>
        <w:t>, א).</w:t>
      </w:r>
    </w:p>
  </w:endnote>
  <w:endnote w:id="3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שיר השירים רבה ז, ז.</w:t>
      </w:r>
    </w:p>
  </w:endnote>
  <w:endnote w:id="4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ויקרא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.</w:t>
      </w:r>
    </w:p>
  </w:endnote>
  <w:endnote w:id="5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מתוך זמר לליל שבת </w:t>
      </w:r>
      <w:r>
        <w:rPr>
          <w:rtl/>
        </w:rPr>
        <w:t>–</w:t>
      </w:r>
      <w:r>
        <w:rPr>
          <w:rFonts w:hint="cs"/>
          <w:rtl/>
        </w:rPr>
        <w:t xml:space="preserve"> "מה ידידות מנוחתך".</w:t>
      </w:r>
    </w:p>
  </w:endnote>
  <w:endnote w:id="6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כתובות סב, ב (וראה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ג בתורה "נותן עיניו בה").</w:t>
      </w:r>
    </w:p>
  </w:endnote>
  <w:endnote w:id="7">
    <w:p w:rsidR="006255A6" w:rsidRDefault="006255A6" w:rsidP="006255A6">
      <w:pPr>
        <w:pStyle w:val="a5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ריש מסכת כלה.</w:t>
      </w:r>
    </w:p>
  </w:endnote>
  <w:endnote w:id="8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ברכות לה, א (</w:t>
      </w:r>
      <w:proofErr w:type="spellStart"/>
      <w:r>
        <w:rPr>
          <w:rFonts w:hint="cs"/>
          <w:rtl/>
        </w:rPr>
        <w:t>והשוה</w:t>
      </w:r>
      <w:proofErr w:type="spellEnd"/>
      <w:r>
        <w:rPr>
          <w:rFonts w:hint="cs"/>
          <w:rtl/>
        </w:rPr>
        <w:t xml:space="preserve"> לריש מסכת כלה).</w:t>
      </w:r>
    </w:p>
  </w:endnote>
  <w:endnote w:id="9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מפענח צפונות פ"ה (ושם פ"י ס"ג). ראה גם יין משמח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בתורות "מקידושין לנישואין" ו"קידושין במחשבה דבור ומעשה".</w:t>
      </w:r>
    </w:p>
  </w:endnote>
  <w:endnote w:id="10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הושע ב, </w:t>
      </w:r>
      <w:proofErr w:type="spellStart"/>
      <w:r>
        <w:rPr>
          <w:rFonts w:hint="cs"/>
          <w:rtl/>
        </w:rPr>
        <w:t>כא</w:t>
      </w:r>
      <w:proofErr w:type="spellEnd"/>
      <w:r>
        <w:rPr>
          <w:rFonts w:hint="cs"/>
          <w:rtl/>
        </w:rPr>
        <w:t xml:space="preserve"> (וראה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רביעי בתורה "</w:t>
      </w:r>
      <w:proofErr w:type="spellStart"/>
      <w:r>
        <w:rPr>
          <w:rFonts w:hint="cs"/>
          <w:rtl/>
        </w:rPr>
        <w:t>וארשתיך</w:t>
      </w:r>
      <w:proofErr w:type="spellEnd"/>
      <w:r>
        <w:rPr>
          <w:rFonts w:hint="cs"/>
          <w:rtl/>
        </w:rPr>
        <w:t xml:space="preserve"> לי לעולם").</w:t>
      </w:r>
    </w:p>
  </w:endnote>
  <w:endnote w:id="11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בתורה "אש תמיד".</w:t>
      </w:r>
    </w:p>
  </w:endnote>
  <w:endnote w:id="12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ו, ה.</w:t>
      </w:r>
    </w:p>
  </w:endnote>
  <w:endnote w:id="13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מאמר שני המאורות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סימן ל (בהוצאת </w:t>
      </w:r>
      <w:proofErr w:type="spellStart"/>
      <w:r>
        <w:rPr>
          <w:rFonts w:hint="cs"/>
          <w:rtl/>
        </w:rPr>
        <w:t>קה"ת</w:t>
      </w:r>
      <w:proofErr w:type="spellEnd"/>
      <w:r>
        <w:rPr>
          <w:rFonts w:hint="cs"/>
          <w:rtl/>
        </w:rPr>
        <w:t xml:space="preserve">: לד, ב). ראה גם יין משמח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שער ה בתורה "תמחה את זכר עמלק".</w:t>
      </w:r>
    </w:p>
  </w:endnote>
  <w:endnote w:id="14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נד, א.</w:t>
      </w:r>
    </w:p>
  </w:endnote>
  <w:endnote w:id="15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כרתי </w:t>
      </w:r>
      <w:proofErr w:type="spellStart"/>
      <w:r>
        <w:rPr>
          <w:rFonts w:hint="cs"/>
          <w:rtl/>
        </w:rPr>
        <w:t>ופלתי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תחלת</w:t>
      </w:r>
      <w:proofErr w:type="spellEnd"/>
      <w:r>
        <w:rPr>
          <w:rFonts w:hint="cs"/>
          <w:rtl/>
        </w:rPr>
        <w:t xml:space="preserve"> סימן קצה.</w:t>
      </w:r>
    </w:p>
  </w:endnote>
  <w:endnote w:id="16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בכל זה בתורה "ובלבד שתעטרונו בזהובים".</w:t>
      </w:r>
    </w:p>
  </w:endnote>
  <w:endnote w:id="17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פסחים נו, א (ובכ"ד).</w:t>
      </w:r>
    </w:p>
  </w:endnote>
  <w:endnote w:id="18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דברים ו, ד. וראה תניא, שער </w:t>
      </w:r>
      <w:proofErr w:type="spellStart"/>
      <w:r>
        <w:rPr>
          <w:rFonts w:hint="cs"/>
          <w:rtl/>
        </w:rPr>
        <w:t>היחוד</w:t>
      </w:r>
      <w:proofErr w:type="spellEnd"/>
      <w:r>
        <w:rPr>
          <w:rFonts w:hint="cs"/>
          <w:rtl/>
        </w:rPr>
        <w:t xml:space="preserve"> והאמונה.</w:t>
      </w:r>
    </w:p>
  </w:endnote>
  <w:endnote w:id="19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תניא שם.</w:t>
      </w:r>
    </w:p>
  </w:endnote>
  <w:endnote w:id="20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לעיל שער ה בתורה "עליה אין סופית".</w:t>
      </w:r>
    </w:p>
  </w:endnote>
  <w:endnote w:id="21">
    <w:p w:rsidR="006255A6" w:rsidRDefault="006255A6" w:rsidP="006255A6">
      <w:pPr>
        <w:pStyle w:val="a5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שכינה ביניהם פ"ה ושערי אהבה ורצון מאמר "ארך אפים".</w:t>
      </w:r>
    </w:p>
  </w:endnote>
  <w:endnote w:id="22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כמבואר לקמן בתורה "אש ממים".</w:t>
      </w:r>
    </w:p>
  </w:endnote>
  <w:endnote w:id="23">
    <w:p w:rsidR="006255A6" w:rsidRDefault="006255A6" w:rsidP="006255A6">
      <w:pPr>
        <w:pStyle w:val="a5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ויקרא טו, כה (וראה </w:t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מצורע ו).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4CD" w:rsidRDefault="001554CD" w:rsidP="006255A6">
      <w:pPr>
        <w:spacing w:after="0" w:line="240" w:lineRule="auto"/>
      </w:pPr>
      <w:r>
        <w:separator/>
      </w:r>
    </w:p>
  </w:footnote>
  <w:footnote w:type="continuationSeparator" w:id="0">
    <w:p w:rsidR="001554CD" w:rsidRDefault="001554CD" w:rsidP="006255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6E"/>
    <w:rsid w:val="00061E65"/>
    <w:rsid w:val="001554CD"/>
    <w:rsid w:val="006255A6"/>
    <w:rsid w:val="00AC2310"/>
    <w:rsid w:val="00E0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255A6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255A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255A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Quote"/>
    <w:basedOn w:val="a"/>
    <w:link w:val="a4"/>
    <w:qFormat/>
    <w:rsid w:val="006255A6"/>
    <w:pPr>
      <w:spacing w:line="340" w:lineRule="exact"/>
      <w:ind w:left="907"/>
      <w:contextualSpacing/>
    </w:pPr>
    <w:rPr>
      <w:rFonts w:cs="Guttman Soncino"/>
      <w:noProof/>
      <w:snapToGrid w:val="0"/>
      <w:sz w:val="23"/>
      <w:szCs w:val="22"/>
      <w:lang w:eastAsia="en-US"/>
    </w:rPr>
  </w:style>
  <w:style w:type="character" w:customStyle="1" w:styleId="a4">
    <w:name w:val="ציטוט תו"/>
    <w:basedOn w:val="a0"/>
    <w:link w:val="a3"/>
    <w:rsid w:val="006255A6"/>
    <w:rPr>
      <w:rFonts w:ascii="Times New Roman" w:eastAsia="Times New Roman" w:hAnsi="Times New Roman" w:cs="Guttman Soncino"/>
      <w:noProof/>
      <w:snapToGrid w:val="0"/>
      <w:sz w:val="23"/>
    </w:rPr>
  </w:style>
  <w:style w:type="paragraph" w:styleId="a5">
    <w:name w:val="endnote text"/>
    <w:aliases w:val="Endnote Text"/>
    <w:basedOn w:val="a"/>
    <w:link w:val="a6"/>
    <w:semiHidden/>
    <w:rsid w:val="006255A6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6255A6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7">
    <w:name w:val="endnote reference"/>
    <w:aliases w:val="Endnote Reference"/>
    <w:basedOn w:val="a8"/>
    <w:semiHidden/>
    <w:rsid w:val="006255A6"/>
    <w:rPr>
      <w:noProof/>
      <w:position w:val="-4"/>
      <w:szCs w:val="27"/>
      <w:vertAlign w:val="superscript"/>
    </w:rPr>
  </w:style>
  <w:style w:type="paragraph" w:customStyle="1" w:styleId="a9">
    <w:name w:val="פתיח תו"/>
    <w:basedOn w:val="a"/>
    <w:link w:val="aa"/>
    <w:rsid w:val="006255A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a">
    <w:name w:val="פתיח תו תו"/>
    <w:basedOn w:val="a0"/>
    <w:link w:val="a9"/>
    <w:rsid w:val="006255A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8">
    <w:name w:val="footnote reference"/>
    <w:basedOn w:val="a0"/>
    <w:uiPriority w:val="99"/>
    <w:semiHidden/>
    <w:unhideWhenUsed/>
    <w:rsid w:val="006255A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255A6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255A6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255A6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Quote"/>
    <w:basedOn w:val="a"/>
    <w:link w:val="a4"/>
    <w:qFormat/>
    <w:rsid w:val="006255A6"/>
    <w:pPr>
      <w:spacing w:line="340" w:lineRule="exact"/>
      <w:ind w:left="907"/>
      <w:contextualSpacing/>
    </w:pPr>
    <w:rPr>
      <w:rFonts w:cs="Guttman Soncino"/>
      <w:noProof/>
      <w:snapToGrid w:val="0"/>
      <w:sz w:val="23"/>
      <w:szCs w:val="22"/>
      <w:lang w:eastAsia="en-US"/>
    </w:rPr>
  </w:style>
  <w:style w:type="character" w:customStyle="1" w:styleId="a4">
    <w:name w:val="ציטוט תו"/>
    <w:basedOn w:val="a0"/>
    <w:link w:val="a3"/>
    <w:rsid w:val="006255A6"/>
    <w:rPr>
      <w:rFonts w:ascii="Times New Roman" w:eastAsia="Times New Roman" w:hAnsi="Times New Roman" w:cs="Guttman Soncino"/>
      <w:noProof/>
      <w:snapToGrid w:val="0"/>
      <w:sz w:val="23"/>
    </w:rPr>
  </w:style>
  <w:style w:type="paragraph" w:styleId="a5">
    <w:name w:val="endnote text"/>
    <w:aliases w:val="Endnote Text"/>
    <w:basedOn w:val="a"/>
    <w:link w:val="a6"/>
    <w:semiHidden/>
    <w:rsid w:val="006255A6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6255A6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7">
    <w:name w:val="endnote reference"/>
    <w:aliases w:val="Endnote Reference"/>
    <w:basedOn w:val="a8"/>
    <w:semiHidden/>
    <w:rsid w:val="006255A6"/>
    <w:rPr>
      <w:noProof/>
      <w:position w:val="-4"/>
      <w:szCs w:val="27"/>
      <w:vertAlign w:val="superscript"/>
    </w:rPr>
  </w:style>
  <w:style w:type="paragraph" w:customStyle="1" w:styleId="a9">
    <w:name w:val="פתיח תו"/>
    <w:basedOn w:val="a"/>
    <w:link w:val="aa"/>
    <w:rsid w:val="006255A6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a">
    <w:name w:val="פתיח תו תו"/>
    <w:basedOn w:val="a0"/>
    <w:link w:val="a9"/>
    <w:rsid w:val="006255A6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8">
    <w:name w:val="footnote reference"/>
    <w:basedOn w:val="a0"/>
    <w:uiPriority w:val="99"/>
    <w:semiHidden/>
    <w:unhideWhenUsed/>
    <w:rsid w:val="006255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2017-08-15T16:45:00Z</dcterms:created>
  <dcterms:modified xsi:type="dcterms:W3CDTF">2017-08-15T16:45:00Z</dcterms:modified>
</cp:coreProperties>
</file>