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909" w:rsidRPr="00B46B4B" w:rsidRDefault="00250909" w:rsidP="00250909">
      <w:pPr>
        <w:pStyle w:val="2"/>
        <w:rPr>
          <w:rFonts w:hint="cs"/>
          <w:rtl/>
        </w:rPr>
      </w:pPr>
      <w:bookmarkStart w:id="0" w:name="_Toc188281757"/>
      <w:bookmarkStart w:id="1" w:name="_Ref188282192"/>
      <w:r w:rsidRPr="00B46B4B">
        <w:rPr>
          <w:rFonts w:hint="cs"/>
          <w:rtl/>
        </w:rPr>
        <w:t>אש תמיד</w:t>
      </w:r>
      <w:bookmarkEnd w:id="0"/>
      <w:bookmarkEnd w:id="1"/>
    </w:p>
    <w:p w:rsidR="00250909" w:rsidRPr="00EC3D1D" w:rsidRDefault="00250909" w:rsidP="00250909">
      <w:pPr>
        <w:keepNext/>
        <w:framePr w:dropCap="drop" w:lines="2" w:hSpace="57" w:wrap="around" w:vAnchor="text" w:hAnchor="text" w:xAlign="right"/>
        <w:spacing w:after="0" w:line="760" w:lineRule="exact"/>
        <w:textAlignment w:val="baseline"/>
        <w:rPr>
          <w:rStyle w:val="aa"/>
          <w:rtl/>
        </w:rPr>
      </w:pPr>
      <w:r w:rsidRPr="00EC3D1D">
        <w:rPr>
          <w:rStyle w:val="aa"/>
          <w:rFonts w:hint="cs"/>
          <w:rtl/>
        </w:rPr>
        <w:t>ב</w:t>
      </w:r>
    </w:p>
    <w:p w:rsidR="00250909" w:rsidRDefault="00250909" w:rsidP="00250909">
      <w:pPr>
        <w:rPr>
          <w:rFonts w:hint="cs"/>
          <w:rtl/>
        </w:rPr>
      </w:pPr>
      <w:r w:rsidRPr="00B46B4B">
        <w:rPr>
          <w:rFonts w:hint="cs"/>
          <w:rtl/>
        </w:rPr>
        <w:t xml:space="preserve">פרשת </w:t>
      </w:r>
      <w:r w:rsidRPr="00B04702">
        <w:rPr>
          <w:rStyle w:val="a3"/>
          <w:rFonts w:hint="cs"/>
          <w:rtl/>
        </w:rPr>
        <w:t>צו</w:t>
      </w:r>
      <w:r w:rsidRPr="00B46B4B">
        <w:rPr>
          <w:rFonts w:hint="cs"/>
          <w:rtl/>
        </w:rPr>
        <w:t xml:space="preserve"> (</w:t>
      </w:r>
      <w:proofErr w:type="spellStart"/>
      <w:r w:rsidRPr="00B46B4B">
        <w:rPr>
          <w:rFonts w:hint="cs"/>
          <w:rtl/>
        </w:rPr>
        <w:t>שענינה</w:t>
      </w:r>
      <w:proofErr w:type="spellEnd"/>
      <w:r w:rsidRPr="00B46B4B">
        <w:rPr>
          <w:rFonts w:hint="cs"/>
          <w:rtl/>
        </w:rPr>
        <w:t xml:space="preserve"> הפנימי </w:t>
      </w:r>
      <w:proofErr w:type="spellStart"/>
      <w:r w:rsidRPr="00B04702">
        <w:rPr>
          <w:rStyle w:val="a3"/>
          <w:rFonts w:hint="cs"/>
          <w:rtl/>
        </w:rPr>
        <w:t>צותא</w:t>
      </w:r>
      <w:proofErr w:type="spellEnd"/>
      <w:r w:rsidRPr="00B46B4B">
        <w:rPr>
          <w:rFonts w:hint="cs"/>
          <w:rtl/>
        </w:rPr>
        <w:t xml:space="preserve"> וחיבור, יחוד בין בני זוג) נאמר "אש תמיד </w:t>
      </w:r>
      <w:proofErr w:type="spellStart"/>
      <w:r w:rsidRPr="00B46B4B">
        <w:rPr>
          <w:rFonts w:hint="cs"/>
          <w:rtl/>
        </w:rPr>
        <w:t>תוקד</w:t>
      </w:r>
      <w:proofErr w:type="spellEnd"/>
      <w:r w:rsidRPr="00B46B4B">
        <w:rPr>
          <w:rFonts w:hint="cs"/>
          <w:rtl/>
        </w:rPr>
        <w:t xml:space="preserve"> על המזבח לא תכבה"</w:t>
      </w:r>
      <w:r w:rsidRPr="00C37DFC">
        <w:rPr>
          <w:rStyle w:val="a7"/>
          <w:rtl/>
        </w:rPr>
        <w:endnoteReference w:id="1"/>
      </w:r>
      <w:r w:rsidRPr="00B46B4B">
        <w:rPr>
          <w:rFonts w:hint="cs"/>
          <w:rtl/>
        </w:rPr>
        <w:t>. הבעל שם טוב מביא</w:t>
      </w:r>
      <w:r w:rsidRPr="00C37DFC">
        <w:rPr>
          <w:rStyle w:val="a7"/>
          <w:rtl/>
        </w:rPr>
        <w:endnoteReference w:id="2"/>
      </w:r>
      <w:r w:rsidRPr="00B46B4B">
        <w:rPr>
          <w:rFonts w:hint="cs"/>
          <w:rtl/>
        </w:rPr>
        <w:t xml:space="preserve"> בשם </w:t>
      </w:r>
      <w:proofErr w:type="spellStart"/>
      <w:r w:rsidRPr="00B46B4B">
        <w:rPr>
          <w:rFonts w:hint="cs"/>
          <w:rtl/>
        </w:rPr>
        <w:t>הרמ"ק</w:t>
      </w:r>
      <w:proofErr w:type="spellEnd"/>
      <w:r w:rsidRPr="00B46B4B">
        <w:rPr>
          <w:rFonts w:hint="cs"/>
          <w:rtl/>
        </w:rPr>
        <w:t xml:space="preserve"> כי זהו פסוק</w:t>
      </w:r>
      <w:r>
        <w:rPr>
          <w:rFonts w:hint="cs"/>
          <w:rtl/>
        </w:rPr>
        <w:t xml:space="preserve"> יסודי שסגולה לחזור עליו תמיד. </w:t>
      </w:r>
      <w:r w:rsidRPr="00B46B4B">
        <w:rPr>
          <w:rFonts w:hint="cs"/>
          <w:rtl/>
        </w:rPr>
        <w:t xml:space="preserve">הוא מסביר בתוכן הפסוק כי כאשר אש הדבקות הפנימית </w:t>
      </w:r>
      <w:r>
        <w:rPr>
          <w:rFonts w:hint="cs"/>
          <w:rtl/>
        </w:rPr>
        <w:t>נכבית</w:t>
      </w:r>
      <w:r w:rsidRPr="00B46B4B">
        <w:rPr>
          <w:rFonts w:hint="cs"/>
          <w:rtl/>
        </w:rPr>
        <w:t xml:space="preserve"> קשה מאד להדליקה מחדש, ועל כן יש לשמר תמיד ניצוץ קטן של דבקות (</w:t>
      </w:r>
      <w:r>
        <w:rPr>
          <w:rFonts w:hint="cs"/>
          <w:rtl/>
        </w:rPr>
        <w:t xml:space="preserve">ובלשונו: </w:t>
      </w:r>
      <w:r w:rsidRPr="00B46B4B">
        <w:rPr>
          <w:rFonts w:hint="cs"/>
          <w:rtl/>
        </w:rPr>
        <w:t>"יהיה דבוק במחשבה קטנה")</w:t>
      </w:r>
      <w:r>
        <w:rPr>
          <w:rFonts w:hint="cs"/>
          <w:rtl/>
        </w:rPr>
        <w:t xml:space="preserve">. כל עוד קיים ניצוץ כזה, ולוּ קטן, </w:t>
      </w:r>
      <w:r w:rsidRPr="00B46B4B">
        <w:rPr>
          <w:rFonts w:hint="cs"/>
          <w:rtl/>
        </w:rPr>
        <w:t>אפשר לנפוח</w:t>
      </w:r>
      <w:r>
        <w:rPr>
          <w:rFonts w:hint="cs"/>
          <w:rtl/>
        </w:rPr>
        <w:t xml:space="preserve"> בו</w:t>
      </w:r>
      <w:r w:rsidRPr="00B46B4B">
        <w:rPr>
          <w:rFonts w:hint="cs"/>
          <w:rtl/>
        </w:rPr>
        <w:t xml:space="preserve"> ולהבעירו בקלות לאש גדולה. </w:t>
      </w:r>
    </w:p>
    <w:p w:rsidR="00250909" w:rsidRPr="00B46B4B" w:rsidRDefault="00250909" w:rsidP="00250909">
      <w:pPr>
        <w:rPr>
          <w:rFonts w:hint="cs"/>
          <w:rtl/>
        </w:rPr>
      </w:pPr>
      <w:r w:rsidRPr="00B46B4B">
        <w:rPr>
          <w:rFonts w:hint="cs"/>
          <w:rtl/>
        </w:rPr>
        <w:t xml:space="preserve">גם בחיי הנישואין, יש לשמר תמיד את אש האהבה, גם אם רק בניצוץ קטן ועמום, כדי שבכל עת </w:t>
      </w:r>
      <w:proofErr w:type="spellStart"/>
      <w:r w:rsidRPr="00B46B4B">
        <w:rPr>
          <w:rFonts w:hint="cs"/>
          <w:rtl/>
        </w:rPr>
        <w:t>מצוא</w:t>
      </w:r>
      <w:proofErr w:type="spellEnd"/>
      <w:r w:rsidRPr="00B46B4B">
        <w:rPr>
          <w:rFonts w:hint="cs"/>
          <w:rtl/>
        </w:rPr>
        <w:t xml:space="preserve"> יוכלו להבעיר את האש מחדש. ההתחייבות לשמירת האש הזו היא ממהות ברית הנישואין, שהרי </w:t>
      </w:r>
      <w:r w:rsidRPr="00B46B4B">
        <w:rPr>
          <w:rFonts w:hint="cs"/>
          <w:b/>
          <w:bCs/>
          <w:sz w:val="28"/>
          <w:szCs w:val="28"/>
          <w:rtl/>
        </w:rPr>
        <w:t>כר</w:t>
      </w:r>
      <w:r w:rsidRPr="00B46B4B">
        <w:rPr>
          <w:rFonts w:hint="cs"/>
          <w:rtl/>
        </w:rPr>
        <w:t>י</w:t>
      </w:r>
      <w:r w:rsidRPr="00B46B4B">
        <w:rPr>
          <w:rFonts w:hint="cs"/>
          <w:b/>
          <w:bCs/>
          <w:sz w:val="28"/>
          <w:szCs w:val="28"/>
          <w:rtl/>
        </w:rPr>
        <w:t>ת</w:t>
      </w:r>
      <w:r w:rsidRPr="00B46B4B">
        <w:rPr>
          <w:rFonts w:hint="cs"/>
          <w:rtl/>
        </w:rPr>
        <w:t>ת ברית היא החלטה על-שכלית (</w:t>
      </w:r>
      <w:proofErr w:type="spellStart"/>
      <w:r w:rsidRPr="00B46B4B">
        <w:rPr>
          <w:rFonts w:hint="cs"/>
          <w:rtl/>
        </w:rPr>
        <w:t>ששרשה</w:t>
      </w:r>
      <w:proofErr w:type="spellEnd"/>
      <w:r w:rsidRPr="00B46B4B">
        <w:rPr>
          <w:rFonts w:hint="cs"/>
          <w:rtl/>
        </w:rPr>
        <w:t xml:space="preserve"> ב</w:t>
      </w:r>
      <w:r w:rsidRPr="00B46B4B">
        <w:rPr>
          <w:rFonts w:hint="cs"/>
          <w:b/>
          <w:bCs/>
          <w:sz w:val="28"/>
          <w:szCs w:val="28"/>
          <w:rtl/>
        </w:rPr>
        <w:t>כתר</w:t>
      </w:r>
      <w:r w:rsidRPr="00B46B4B">
        <w:rPr>
          <w:rFonts w:hint="cs"/>
          <w:rtl/>
        </w:rPr>
        <w:t xml:space="preserve">) </w:t>
      </w:r>
      <w:proofErr w:type="spellStart"/>
      <w:r w:rsidRPr="00B46B4B">
        <w:rPr>
          <w:rFonts w:hint="cs"/>
          <w:rtl/>
        </w:rPr>
        <w:t>להשאר</w:t>
      </w:r>
      <w:proofErr w:type="spellEnd"/>
      <w:r w:rsidRPr="00B46B4B">
        <w:rPr>
          <w:rFonts w:hint="cs"/>
          <w:rtl/>
        </w:rPr>
        <w:t xml:space="preserve"> אוהבים נאמנים גם בזמנים בהם השכל והרגש לא יעודדו את האהב</w:t>
      </w:r>
      <w:r>
        <w:rPr>
          <w:rFonts w:hint="cs"/>
          <w:rtl/>
        </w:rPr>
        <w:t>ה והקשר (ואולי אף להיפך, חלילה).</w:t>
      </w:r>
      <w:r w:rsidRPr="00B46B4B">
        <w:rPr>
          <w:rFonts w:hint="cs"/>
          <w:rtl/>
        </w:rPr>
        <w:t xml:space="preserve"> ה"</w:t>
      </w:r>
      <w:r w:rsidRPr="00B46B4B">
        <w:rPr>
          <w:rFonts w:hint="cs"/>
          <w:b/>
          <w:bCs/>
          <w:sz w:val="28"/>
          <w:szCs w:val="28"/>
          <w:rtl/>
        </w:rPr>
        <w:t>בראשית</w:t>
      </w:r>
      <w:r w:rsidRPr="00B46B4B">
        <w:rPr>
          <w:rFonts w:hint="cs"/>
          <w:rtl/>
        </w:rPr>
        <w:t xml:space="preserve">" של חיי הנישואין היא כריתת </w:t>
      </w:r>
      <w:r w:rsidRPr="00B46B4B">
        <w:rPr>
          <w:rFonts w:hint="cs"/>
          <w:b/>
          <w:bCs/>
          <w:sz w:val="28"/>
          <w:szCs w:val="28"/>
          <w:rtl/>
        </w:rPr>
        <w:t>ברית</w:t>
      </w:r>
      <w:r w:rsidRPr="00B46B4B">
        <w:rPr>
          <w:rFonts w:hint="cs"/>
          <w:rtl/>
        </w:rPr>
        <w:t xml:space="preserve"> </w:t>
      </w:r>
      <w:r w:rsidRPr="00B46B4B">
        <w:rPr>
          <w:rFonts w:hint="cs"/>
          <w:b/>
          <w:bCs/>
          <w:sz w:val="28"/>
          <w:szCs w:val="28"/>
          <w:rtl/>
        </w:rPr>
        <w:t>אש</w:t>
      </w:r>
      <w:r w:rsidRPr="00C37DFC">
        <w:rPr>
          <w:rStyle w:val="a7"/>
          <w:rtl/>
        </w:rPr>
        <w:endnoteReference w:id="3"/>
      </w:r>
      <w:r w:rsidRPr="00B46B4B">
        <w:rPr>
          <w:rFonts w:hint="cs"/>
          <w:rtl/>
        </w:rPr>
        <w:t xml:space="preserve"> תמידית של אהבה.</w:t>
      </w:r>
    </w:p>
    <w:p w:rsidR="00250909" w:rsidRPr="00B46B4B" w:rsidRDefault="00250909" w:rsidP="00250909">
      <w:pPr>
        <w:rPr>
          <w:rFonts w:hint="cs"/>
          <w:rtl/>
        </w:rPr>
      </w:pPr>
      <w:r w:rsidRPr="00B46B4B">
        <w:rPr>
          <w:rFonts w:hint="cs"/>
          <w:rtl/>
        </w:rPr>
        <w:t xml:space="preserve">חז"ל אמרו כי אם </w:t>
      </w:r>
      <w:r w:rsidRPr="00B46B4B">
        <w:rPr>
          <w:rFonts w:hint="cs"/>
          <w:b/>
          <w:bCs/>
          <w:sz w:val="28"/>
          <w:szCs w:val="28"/>
          <w:rtl/>
        </w:rPr>
        <w:t>א</w:t>
      </w:r>
      <w:r w:rsidRPr="00B46B4B">
        <w:rPr>
          <w:rFonts w:hint="cs"/>
          <w:rtl/>
        </w:rPr>
        <w:t>י</w:t>
      </w:r>
      <w:r w:rsidRPr="00B46B4B">
        <w:rPr>
          <w:rFonts w:hint="cs"/>
          <w:b/>
          <w:bCs/>
          <w:sz w:val="28"/>
          <w:szCs w:val="28"/>
          <w:rtl/>
        </w:rPr>
        <w:t>ש</w:t>
      </w:r>
      <w:r w:rsidRPr="00B46B4B">
        <w:rPr>
          <w:rFonts w:hint="cs"/>
          <w:rtl/>
        </w:rPr>
        <w:t xml:space="preserve"> ו</w:t>
      </w:r>
      <w:r w:rsidRPr="00B46B4B">
        <w:rPr>
          <w:rFonts w:hint="cs"/>
          <w:b/>
          <w:bCs/>
          <w:sz w:val="28"/>
          <w:szCs w:val="28"/>
          <w:rtl/>
        </w:rPr>
        <w:t>אש</w:t>
      </w:r>
      <w:r w:rsidRPr="00B46B4B">
        <w:rPr>
          <w:rFonts w:hint="cs"/>
          <w:rtl/>
        </w:rPr>
        <w:t xml:space="preserve">ה "לא זכו </w:t>
      </w:r>
      <w:r w:rsidRPr="00B46B4B">
        <w:rPr>
          <w:rtl/>
        </w:rPr>
        <w:t>–</w:t>
      </w:r>
      <w:r w:rsidRPr="00B46B4B">
        <w:rPr>
          <w:rFonts w:hint="cs"/>
          <w:rtl/>
        </w:rPr>
        <w:t xml:space="preserve"> </w:t>
      </w:r>
      <w:r w:rsidRPr="00B46B4B">
        <w:rPr>
          <w:rFonts w:hint="cs"/>
          <w:b/>
          <w:bCs/>
          <w:sz w:val="28"/>
          <w:szCs w:val="28"/>
          <w:rtl/>
        </w:rPr>
        <w:t>אש</w:t>
      </w:r>
      <w:r w:rsidRPr="00B46B4B">
        <w:rPr>
          <w:rFonts w:hint="cs"/>
          <w:rtl/>
        </w:rPr>
        <w:t xml:space="preserve"> </w:t>
      </w:r>
      <w:proofErr w:type="spellStart"/>
      <w:r w:rsidRPr="00B46B4B">
        <w:rPr>
          <w:rFonts w:hint="cs"/>
          <w:rtl/>
        </w:rPr>
        <w:t>אוכלתן</w:t>
      </w:r>
      <w:proofErr w:type="spellEnd"/>
      <w:r w:rsidRPr="00B46B4B">
        <w:rPr>
          <w:rFonts w:hint="cs"/>
          <w:rtl/>
        </w:rPr>
        <w:t>"</w:t>
      </w:r>
      <w:r w:rsidRPr="00C37DFC">
        <w:rPr>
          <w:rStyle w:val="a7"/>
          <w:rtl/>
        </w:rPr>
        <w:endnoteReference w:id="4"/>
      </w:r>
      <w:r>
        <w:rPr>
          <w:rFonts w:hint="cs"/>
          <w:rtl/>
        </w:rPr>
        <w:t>, ח"ו.</w:t>
      </w:r>
      <w:r w:rsidRPr="00B46B4B">
        <w:rPr>
          <w:rFonts w:hint="cs"/>
          <w:rtl/>
        </w:rPr>
        <w:t xml:space="preserve"> אך </w:t>
      </w:r>
      <w:r>
        <w:rPr>
          <w:rFonts w:hint="cs"/>
          <w:rtl/>
        </w:rPr>
        <w:t xml:space="preserve">אם </w:t>
      </w:r>
      <w:r w:rsidRPr="00B46B4B">
        <w:rPr>
          <w:rFonts w:hint="cs"/>
          <w:rtl/>
        </w:rPr>
        <w:t xml:space="preserve">"זכו </w:t>
      </w:r>
      <w:r w:rsidRPr="00B46B4B">
        <w:rPr>
          <w:rtl/>
        </w:rPr>
        <w:t>–</w:t>
      </w:r>
      <w:r w:rsidRPr="00B46B4B">
        <w:rPr>
          <w:rFonts w:hint="cs"/>
          <w:rtl/>
        </w:rPr>
        <w:t xml:space="preserve"> שכינה ביניהם"</w:t>
      </w:r>
      <w:r>
        <w:rPr>
          <w:rFonts w:hint="cs"/>
          <w:rtl/>
        </w:rPr>
        <w:t xml:space="preserve">, ושם </w:t>
      </w:r>
      <w:r w:rsidRPr="00B46B4B">
        <w:rPr>
          <w:rFonts w:hint="cs"/>
          <w:b/>
          <w:bCs/>
          <w:sz w:val="28"/>
          <w:szCs w:val="28"/>
          <w:rtl/>
        </w:rPr>
        <w:t>יה</w:t>
      </w:r>
      <w:r w:rsidRPr="00B46B4B">
        <w:rPr>
          <w:rFonts w:hint="cs"/>
          <w:rtl/>
        </w:rPr>
        <w:t xml:space="preserve"> </w:t>
      </w:r>
      <w:r>
        <w:rPr>
          <w:rFonts w:hint="cs"/>
          <w:rtl/>
        </w:rPr>
        <w:t xml:space="preserve">מתגלה </w:t>
      </w:r>
      <w:r w:rsidRPr="00B46B4B">
        <w:rPr>
          <w:rFonts w:hint="cs"/>
          <w:rtl/>
        </w:rPr>
        <w:t>בא</w:t>
      </w:r>
      <w:r w:rsidRPr="00B46B4B">
        <w:rPr>
          <w:rFonts w:hint="cs"/>
          <w:b/>
          <w:bCs/>
          <w:sz w:val="28"/>
          <w:szCs w:val="28"/>
          <w:rtl/>
        </w:rPr>
        <w:t>י</w:t>
      </w:r>
      <w:r w:rsidRPr="00B46B4B">
        <w:rPr>
          <w:rFonts w:hint="cs"/>
          <w:rtl/>
        </w:rPr>
        <w:t>ש ובאש</w:t>
      </w:r>
      <w:r w:rsidRPr="00B46B4B">
        <w:rPr>
          <w:rFonts w:hint="cs"/>
          <w:b/>
          <w:bCs/>
          <w:sz w:val="28"/>
          <w:szCs w:val="28"/>
          <w:rtl/>
        </w:rPr>
        <w:t>ה</w:t>
      </w:r>
      <w:r>
        <w:rPr>
          <w:rFonts w:hint="cs"/>
          <w:rtl/>
        </w:rPr>
        <w:t>. במצב זה, כשזוכים,</w:t>
      </w:r>
      <w:r w:rsidRPr="00B46B4B">
        <w:rPr>
          <w:rFonts w:hint="cs"/>
          <w:rtl/>
        </w:rPr>
        <w:t xml:space="preserve"> </w:t>
      </w:r>
      <w:r>
        <w:rPr>
          <w:rFonts w:hint="cs"/>
          <w:rtl/>
        </w:rPr>
        <w:t xml:space="preserve">גם </w:t>
      </w:r>
      <w:r w:rsidRPr="00B46B4B">
        <w:rPr>
          <w:rFonts w:hint="cs"/>
          <w:rtl/>
        </w:rPr>
        <w:t>ה</w:t>
      </w:r>
      <w:r w:rsidRPr="00B46B4B">
        <w:rPr>
          <w:rFonts w:hint="cs"/>
          <w:b/>
          <w:bCs/>
          <w:sz w:val="28"/>
          <w:szCs w:val="28"/>
          <w:rtl/>
        </w:rPr>
        <w:t>אש</w:t>
      </w:r>
      <w:r>
        <w:rPr>
          <w:rFonts w:hint="cs"/>
          <w:rtl/>
        </w:rPr>
        <w:t xml:space="preserve"> הופכת</w:t>
      </w:r>
      <w:r w:rsidRPr="00B46B4B">
        <w:rPr>
          <w:rFonts w:hint="cs"/>
          <w:rtl/>
        </w:rPr>
        <w:t xml:space="preserve"> </w:t>
      </w:r>
      <w:proofErr w:type="spellStart"/>
      <w:r w:rsidRPr="00B46B4B">
        <w:rPr>
          <w:rFonts w:hint="cs"/>
          <w:rtl/>
        </w:rPr>
        <w:t>ל"שלהיבו</w:t>
      </w:r>
      <w:proofErr w:type="spellEnd"/>
      <w:r w:rsidRPr="00B46B4B">
        <w:rPr>
          <w:rFonts w:hint="cs"/>
          <w:rtl/>
        </w:rPr>
        <w:t xml:space="preserve"> </w:t>
      </w:r>
      <w:proofErr w:type="spellStart"/>
      <w:r w:rsidRPr="00B46B4B">
        <w:rPr>
          <w:rFonts w:hint="cs"/>
          <w:rtl/>
        </w:rPr>
        <w:t>דקדושה</w:t>
      </w:r>
      <w:proofErr w:type="spellEnd"/>
      <w:r w:rsidRPr="00B46B4B">
        <w:rPr>
          <w:rFonts w:hint="cs"/>
          <w:rtl/>
        </w:rPr>
        <w:t xml:space="preserve">" בעת </w:t>
      </w:r>
      <w:proofErr w:type="spellStart"/>
      <w:r w:rsidRPr="00B46B4B">
        <w:rPr>
          <w:rFonts w:hint="cs"/>
          <w:rtl/>
        </w:rPr>
        <w:t>היחוד</w:t>
      </w:r>
      <w:proofErr w:type="spellEnd"/>
      <w:r w:rsidRPr="00B46B4B">
        <w:rPr>
          <w:rFonts w:hint="cs"/>
          <w:rtl/>
        </w:rPr>
        <w:t xml:space="preserve"> הקדוש</w:t>
      </w:r>
      <w:bookmarkStart w:id="2" w:name="_Ref188215366"/>
      <w:r w:rsidRPr="00C37DFC">
        <w:rPr>
          <w:rStyle w:val="a7"/>
          <w:rtl/>
        </w:rPr>
        <w:endnoteReference w:id="5"/>
      </w:r>
      <w:bookmarkEnd w:id="2"/>
      <w:r>
        <w:rPr>
          <w:rFonts w:hint="cs"/>
          <w:rtl/>
        </w:rPr>
        <w:t xml:space="preserve">, </w:t>
      </w:r>
      <w:proofErr w:type="spellStart"/>
      <w:r>
        <w:rPr>
          <w:rFonts w:hint="cs"/>
          <w:rtl/>
        </w:rPr>
        <w:t>ו</w:t>
      </w:r>
      <w:r w:rsidRPr="00B46B4B">
        <w:rPr>
          <w:rFonts w:hint="cs"/>
          <w:rtl/>
        </w:rPr>
        <w:t>ה"אש</w:t>
      </w:r>
      <w:proofErr w:type="spellEnd"/>
      <w:r>
        <w:rPr>
          <w:rFonts w:hint="cs"/>
          <w:rtl/>
        </w:rPr>
        <w:t>…</w:t>
      </w:r>
      <w:r w:rsidRPr="00B46B4B">
        <w:rPr>
          <w:rFonts w:hint="cs"/>
          <w:rtl/>
        </w:rPr>
        <w:t xml:space="preserve"> </w:t>
      </w:r>
      <w:proofErr w:type="spellStart"/>
      <w:r w:rsidRPr="00B46B4B">
        <w:rPr>
          <w:rFonts w:hint="cs"/>
          <w:rtl/>
        </w:rPr>
        <w:t>תוקד</w:t>
      </w:r>
      <w:proofErr w:type="spellEnd"/>
      <w:r w:rsidRPr="00B46B4B">
        <w:rPr>
          <w:rFonts w:hint="cs"/>
          <w:rtl/>
        </w:rPr>
        <w:t>" היינו י</w:t>
      </w:r>
      <w:r w:rsidRPr="00B46B4B">
        <w:rPr>
          <w:rFonts w:hint="cs"/>
          <w:b/>
          <w:bCs/>
          <w:sz w:val="28"/>
          <w:szCs w:val="28"/>
          <w:rtl/>
        </w:rPr>
        <w:t>קד</w:t>
      </w:r>
      <w:r w:rsidRPr="00B46B4B">
        <w:rPr>
          <w:rFonts w:hint="cs"/>
          <w:rtl/>
        </w:rPr>
        <w:t>-א</w:t>
      </w:r>
      <w:r w:rsidRPr="00B46B4B">
        <w:rPr>
          <w:rFonts w:hint="cs"/>
          <w:b/>
          <w:bCs/>
          <w:sz w:val="28"/>
          <w:szCs w:val="28"/>
          <w:rtl/>
        </w:rPr>
        <w:t>ש</w:t>
      </w:r>
      <w:r w:rsidRPr="00B46B4B">
        <w:rPr>
          <w:rFonts w:hint="cs"/>
          <w:rtl/>
        </w:rPr>
        <w:t xml:space="preserve"> של </w:t>
      </w:r>
      <w:r w:rsidRPr="00B46B4B">
        <w:rPr>
          <w:rFonts w:hint="cs"/>
          <w:b/>
          <w:bCs/>
          <w:sz w:val="28"/>
          <w:szCs w:val="28"/>
          <w:rtl/>
        </w:rPr>
        <w:t>קדש</w:t>
      </w:r>
      <w:r w:rsidRPr="00C37DFC">
        <w:rPr>
          <w:rStyle w:val="a7"/>
          <w:rtl/>
        </w:rPr>
        <w:endnoteReference w:id="6"/>
      </w:r>
      <w:r>
        <w:rPr>
          <w:rFonts w:hint="cs"/>
          <w:rtl/>
        </w:rPr>
        <w:t xml:space="preserve">. אז רומזת </w:t>
      </w:r>
      <w:r w:rsidRPr="00B46B4B">
        <w:rPr>
          <w:rFonts w:hint="cs"/>
          <w:rtl/>
        </w:rPr>
        <w:t>"</w:t>
      </w:r>
      <w:r w:rsidRPr="00B46B4B">
        <w:rPr>
          <w:rFonts w:hint="cs"/>
          <w:b/>
          <w:bCs/>
          <w:sz w:val="28"/>
          <w:szCs w:val="28"/>
          <w:rtl/>
        </w:rPr>
        <w:t>אש</w:t>
      </w:r>
      <w:r w:rsidRPr="00B46B4B">
        <w:rPr>
          <w:rFonts w:hint="cs"/>
          <w:rtl/>
        </w:rPr>
        <w:t xml:space="preserve"> </w:t>
      </w:r>
      <w:r w:rsidRPr="00B46B4B">
        <w:rPr>
          <w:rFonts w:hint="cs"/>
          <w:b/>
          <w:bCs/>
          <w:sz w:val="28"/>
          <w:szCs w:val="28"/>
          <w:rtl/>
        </w:rPr>
        <w:t>תמיד</w:t>
      </w:r>
      <w:r w:rsidRPr="00B46B4B">
        <w:rPr>
          <w:rFonts w:hint="cs"/>
          <w:rtl/>
        </w:rPr>
        <w:t>" ל</w:t>
      </w:r>
      <w:r w:rsidRPr="00B46B4B">
        <w:rPr>
          <w:rFonts w:hint="cs"/>
          <w:b/>
          <w:bCs/>
          <w:sz w:val="28"/>
          <w:szCs w:val="28"/>
          <w:rtl/>
        </w:rPr>
        <w:t>שדי</w:t>
      </w:r>
      <w:r w:rsidRPr="00B46B4B">
        <w:rPr>
          <w:rFonts w:hint="cs"/>
          <w:rtl/>
        </w:rPr>
        <w:t xml:space="preserve"> </w:t>
      </w:r>
      <w:r w:rsidRPr="00B46B4B">
        <w:rPr>
          <w:rFonts w:hint="cs"/>
          <w:b/>
          <w:bCs/>
          <w:sz w:val="28"/>
          <w:szCs w:val="28"/>
          <w:rtl/>
        </w:rPr>
        <w:t>אמת</w:t>
      </w:r>
      <w:r w:rsidRPr="00B46B4B">
        <w:rPr>
          <w:rFonts w:hint="cs"/>
          <w:rtl/>
        </w:rPr>
        <w:t xml:space="preserve"> </w:t>
      </w:r>
      <w:r w:rsidRPr="00B46B4B">
        <w:rPr>
          <w:rtl/>
        </w:rPr>
        <w:t>–</w:t>
      </w:r>
      <w:r w:rsidRPr="00B46B4B">
        <w:rPr>
          <w:rFonts w:hint="cs"/>
          <w:rtl/>
        </w:rPr>
        <w:t xml:space="preserve"> קדושת הברית ו"זרע אמת"</w:t>
      </w:r>
      <w:r w:rsidRPr="00C37DFC">
        <w:rPr>
          <w:rStyle w:val="a7"/>
          <w:rtl/>
        </w:rPr>
        <w:endnoteReference w:id="7"/>
      </w:r>
      <w:r w:rsidRPr="00B46B4B">
        <w:rPr>
          <w:rFonts w:hint="cs"/>
          <w:rtl/>
        </w:rPr>
        <w:t xml:space="preserve"> היורה כחץ</w:t>
      </w:r>
      <w:r w:rsidRPr="00C37DFC">
        <w:rPr>
          <w:rStyle w:val="a7"/>
          <w:rtl/>
        </w:rPr>
        <w:endnoteReference w:id="8"/>
      </w:r>
      <w:r w:rsidRPr="00B46B4B">
        <w:rPr>
          <w:rFonts w:hint="cs"/>
          <w:rtl/>
        </w:rPr>
        <w:t>, סוד ספירת היסוד בה מאיר שם ש-די</w:t>
      </w:r>
      <w:r w:rsidRPr="00C37DFC">
        <w:rPr>
          <w:rStyle w:val="a7"/>
          <w:rtl/>
        </w:rPr>
        <w:endnoteReference w:id="9"/>
      </w:r>
      <w:r w:rsidRPr="00B46B4B">
        <w:rPr>
          <w:rFonts w:hint="cs"/>
          <w:rtl/>
        </w:rPr>
        <w:t xml:space="preserve"> ופנימיותה מדת האמת</w:t>
      </w:r>
      <w:r w:rsidRPr="00C37DFC">
        <w:rPr>
          <w:rStyle w:val="a7"/>
          <w:rtl/>
        </w:rPr>
        <w:endnoteReference w:id="10"/>
      </w:r>
      <w:r w:rsidRPr="00B46B4B">
        <w:rPr>
          <w:rFonts w:hint="cs"/>
          <w:rtl/>
        </w:rPr>
        <w:t xml:space="preserve">. אם </w:t>
      </w:r>
      <w:r>
        <w:rPr>
          <w:rFonts w:hint="cs"/>
          <w:rtl/>
        </w:rPr>
        <w:t xml:space="preserve">מדובר באש </w:t>
      </w:r>
      <w:r w:rsidRPr="00B46B4B">
        <w:rPr>
          <w:rFonts w:hint="cs"/>
          <w:rtl/>
        </w:rPr>
        <w:t xml:space="preserve">אהבה </w:t>
      </w:r>
      <w:r>
        <w:rPr>
          <w:rFonts w:hint="cs"/>
          <w:rtl/>
        </w:rPr>
        <w:t xml:space="preserve">כזו, הרי בזמן הנדה </w:t>
      </w:r>
      <w:r w:rsidRPr="00B46B4B">
        <w:rPr>
          <w:rFonts w:hint="cs"/>
          <w:rtl/>
        </w:rPr>
        <w:t>לא נ</w:t>
      </w:r>
      <w:r>
        <w:rPr>
          <w:rFonts w:hint="cs"/>
          <w:rtl/>
        </w:rPr>
        <w:t xml:space="preserve">יתן כלל ללבות ולגלות את אש הקדש. לכן, </w:t>
      </w:r>
      <w:r w:rsidRPr="00B46B4B">
        <w:rPr>
          <w:rFonts w:hint="cs"/>
          <w:rtl/>
        </w:rPr>
        <w:t>במיוחד ב</w:t>
      </w:r>
      <w:r>
        <w:rPr>
          <w:rFonts w:hint="cs"/>
          <w:rtl/>
        </w:rPr>
        <w:t xml:space="preserve">תקופת הריחוק </w:t>
      </w:r>
      <w:r w:rsidRPr="00B46B4B">
        <w:rPr>
          <w:rFonts w:hint="cs"/>
          <w:rtl/>
        </w:rPr>
        <w:t>נדרשת ההורא</w:t>
      </w:r>
      <w:r>
        <w:rPr>
          <w:rFonts w:hint="cs"/>
          <w:rtl/>
        </w:rPr>
        <w:t>ה לשמור את האהבה 'על אש קטנה', כדי שתוכל לה</w:t>
      </w:r>
      <w:r w:rsidRPr="00B46B4B">
        <w:rPr>
          <w:rFonts w:hint="cs"/>
          <w:rtl/>
        </w:rPr>
        <w:t>תלקח שוב אחרי הטבילה</w:t>
      </w:r>
      <w:r w:rsidRPr="00C37DFC">
        <w:rPr>
          <w:rStyle w:val="a7"/>
          <w:rtl/>
        </w:rPr>
        <w:endnoteReference w:id="11"/>
      </w:r>
      <w:r>
        <w:rPr>
          <w:rFonts w:hint="cs"/>
          <w:rtl/>
        </w:rPr>
        <w:t>, בתקופ</w:t>
      </w:r>
      <w:r w:rsidRPr="00B46B4B">
        <w:rPr>
          <w:rFonts w:hint="cs"/>
          <w:rtl/>
        </w:rPr>
        <w:t>ת הטהרה.</w:t>
      </w:r>
    </w:p>
    <w:p w:rsidR="00250909" w:rsidRPr="00B46B4B" w:rsidRDefault="00250909" w:rsidP="00250909">
      <w:pPr>
        <w:rPr>
          <w:rFonts w:hint="cs"/>
          <w:rtl/>
        </w:rPr>
      </w:pPr>
      <w:r w:rsidRPr="00B46B4B">
        <w:rPr>
          <w:rFonts w:hint="cs"/>
          <w:rtl/>
        </w:rPr>
        <w:t xml:space="preserve">במסורת </w:t>
      </w:r>
      <w:proofErr w:type="spellStart"/>
      <w:r w:rsidRPr="00B46B4B">
        <w:rPr>
          <w:rFonts w:hint="cs"/>
          <w:rtl/>
        </w:rPr>
        <w:t>החב"דית</w:t>
      </w:r>
      <w:proofErr w:type="spellEnd"/>
      <w:r w:rsidRPr="00B46B4B">
        <w:rPr>
          <w:rFonts w:hint="cs"/>
          <w:rtl/>
        </w:rPr>
        <w:t xml:space="preserve"> מסופר</w:t>
      </w:r>
      <w:r w:rsidRPr="00C37DFC">
        <w:rPr>
          <w:rStyle w:val="a7"/>
          <w:rtl/>
        </w:rPr>
        <w:endnoteReference w:id="12"/>
      </w:r>
      <w:r w:rsidRPr="00B46B4B">
        <w:rPr>
          <w:rFonts w:hint="cs"/>
          <w:rtl/>
        </w:rPr>
        <w:t xml:space="preserve"> כי המגיד </w:t>
      </w:r>
      <w:proofErr w:type="spellStart"/>
      <w:r w:rsidRPr="00B46B4B">
        <w:rPr>
          <w:rFonts w:hint="cs"/>
          <w:rtl/>
        </w:rPr>
        <w:t>ממעזריטש</w:t>
      </w:r>
      <w:proofErr w:type="spellEnd"/>
      <w:r w:rsidRPr="00B46B4B">
        <w:rPr>
          <w:rFonts w:hint="cs"/>
          <w:rtl/>
        </w:rPr>
        <w:t xml:space="preserve"> נ"ע פרש פסוק </w:t>
      </w:r>
      <w:r>
        <w:rPr>
          <w:rFonts w:hint="cs"/>
          <w:rtl/>
        </w:rPr>
        <w:t>זה באזני אדמו"ר הזקן באופן זה:</w:t>
      </w:r>
      <w:r w:rsidRPr="00B46B4B">
        <w:rPr>
          <w:rFonts w:hint="cs"/>
          <w:rtl/>
        </w:rPr>
        <w:t xml:space="preserve"> </w:t>
      </w:r>
      <w:proofErr w:type="spellStart"/>
      <w:r w:rsidRPr="00B46B4B">
        <w:rPr>
          <w:rFonts w:hint="cs"/>
          <w:rtl/>
        </w:rPr>
        <w:t>בכחה</w:t>
      </w:r>
      <w:proofErr w:type="spellEnd"/>
      <w:r w:rsidRPr="00B46B4B">
        <w:rPr>
          <w:rFonts w:hint="cs"/>
          <w:rtl/>
        </w:rPr>
        <w:t xml:space="preserve"> של "אש תמיד </w:t>
      </w:r>
      <w:proofErr w:type="spellStart"/>
      <w:r w:rsidRPr="00B46B4B">
        <w:rPr>
          <w:rFonts w:hint="cs"/>
          <w:rtl/>
        </w:rPr>
        <w:t>תוקד</w:t>
      </w:r>
      <w:proofErr w:type="spellEnd"/>
      <w:r w:rsidRPr="00B46B4B">
        <w:rPr>
          <w:rFonts w:hint="cs"/>
          <w:rtl/>
        </w:rPr>
        <w:t xml:space="preserve"> על המזבח" לפעול "לא ת</w:t>
      </w:r>
      <w:r>
        <w:rPr>
          <w:rFonts w:hint="cs"/>
          <w:rtl/>
        </w:rPr>
        <w:t xml:space="preserve">כבה", לכבות את ה"לא" וההתנגדות. </w:t>
      </w:r>
      <w:r w:rsidRPr="00B46B4B">
        <w:rPr>
          <w:rFonts w:hint="cs"/>
          <w:rtl/>
        </w:rPr>
        <w:t xml:space="preserve">אדמו"ר הזקן, כשחזר על התורה הזאת, סיים: "את התורה הזאת אמר מורי לפני עשר פעמים </w:t>
      </w:r>
      <w:r w:rsidRPr="00B46B4B">
        <w:rPr>
          <w:rtl/>
        </w:rPr>
        <w:t>–</w:t>
      </w:r>
      <w:r w:rsidRPr="00B46B4B">
        <w:rPr>
          <w:rFonts w:hint="cs"/>
          <w:rtl/>
        </w:rPr>
        <w:t xml:space="preserve"> כדי לחקקה בעשר כחות נפשי </w:t>
      </w:r>
      <w:r w:rsidRPr="00B46B4B">
        <w:rPr>
          <w:rtl/>
        </w:rPr>
        <w:t>–</w:t>
      </w:r>
      <w:r w:rsidRPr="00B46B4B">
        <w:rPr>
          <w:rFonts w:hint="cs"/>
          <w:rtl/>
        </w:rPr>
        <w:t xml:space="preserve"> ויאמר לי, אתה תלמידי הנך נצרך </w:t>
      </w:r>
      <w:proofErr w:type="spellStart"/>
      <w:r w:rsidRPr="00B46B4B">
        <w:rPr>
          <w:rFonts w:hint="cs"/>
          <w:rtl/>
        </w:rPr>
        <w:t>להאש</w:t>
      </w:r>
      <w:proofErr w:type="spellEnd"/>
      <w:r w:rsidRPr="00B46B4B">
        <w:rPr>
          <w:rFonts w:hint="cs"/>
          <w:rtl/>
        </w:rPr>
        <w:t xml:space="preserve"> תמיד, לפי שעליך הוטל לכבות 'לא' (של </w:t>
      </w:r>
      <w:proofErr w:type="spellStart"/>
      <w:r w:rsidRPr="00B46B4B">
        <w:rPr>
          <w:rFonts w:hint="cs"/>
          <w:rtl/>
        </w:rPr>
        <w:t>המנגדים</w:t>
      </w:r>
      <w:proofErr w:type="spellEnd"/>
      <w:r w:rsidRPr="00B46B4B">
        <w:rPr>
          <w:rFonts w:hint="cs"/>
          <w:rtl/>
        </w:rPr>
        <w:t xml:space="preserve">) גדול. אתה תכבה את ה'לא' </w:t>
      </w:r>
      <w:proofErr w:type="spellStart"/>
      <w:r w:rsidRPr="00B46B4B">
        <w:rPr>
          <w:rFonts w:hint="cs"/>
          <w:rtl/>
        </w:rPr>
        <w:t>והשי"ת</w:t>
      </w:r>
      <w:proofErr w:type="spellEnd"/>
      <w:r w:rsidRPr="00B46B4B">
        <w:rPr>
          <w:rFonts w:hint="cs"/>
          <w:rtl/>
        </w:rPr>
        <w:t xml:space="preserve"> יהפוך את ה'לא' ל'הן'".</w:t>
      </w:r>
    </w:p>
    <w:p w:rsidR="00250909" w:rsidRPr="00B46B4B" w:rsidRDefault="00250909" w:rsidP="00250909">
      <w:pPr>
        <w:rPr>
          <w:rFonts w:hint="cs"/>
          <w:rtl/>
        </w:rPr>
      </w:pPr>
      <w:r w:rsidRPr="00B46B4B">
        <w:rPr>
          <w:rFonts w:hint="cs"/>
          <w:rtl/>
        </w:rPr>
        <w:t>כיצד מתקשר פירוש המגיד לדברי מורו הבעל שם טוב? הבעל שם טוב הזהיר לשמור על אש קטנה גם בזמנים של ריחוק וחסרון בדבקות, וזמנים אלו הם המועדים להתעוררות ה"לא" וההתנגדות בנפש. יהודי כשר, אך בעל אופי 'מתנגדי', יודע שהוא חייב באהבת ישראל בכלל, וב</w:t>
      </w:r>
      <w:r>
        <w:rPr>
          <w:rFonts w:hint="cs"/>
          <w:rtl/>
        </w:rPr>
        <w:t>חיי הנישואין בפרט, ומקפיד על כך.</w:t>
      </w:r>
      <w:r w:rsidRPr="00B46B4B">
        <w:rPr>
          <w:rFonts w:hint="cs"/>
          <w:rtl/>
        </w:rPr>
        <w:t xml:space="preserve"> אך ה"לא" מתעורר </w:t>
      </w:r>
      <w:r>
        <w:rPr>
          <w:rFonts w:hint="cs"/>
          <w:rtl/>
        </w:rPr>
        <w:t xml:space="preserve">אצלו </w:t>
      </w:r>
      <w:r w:rsidRPr="00B46B4B">
        <w:rPr>
          <w:rFonts w:hint="cs"/>
          <w:rtl/>
        </w:rPr>
        <w:t>כאשר יש הזדמנות ע</w:t>
      </w:r>
      <w:r>
        <w:rPr>
          <w:rFonts w:hint="cs"/>
          <w:rtl/>
        </w:rPr>
        <w:t xml:space="preserve">ל פי תורה לבטא שלילה והתנגדות. </w:t>
      </w:r>
      <w:r w:rsidRPr="00B46B4B">
        <w:rPr>
          <w:rFonts w:hint="cs"/>
          <w:rtl/>
        </w:rPr>
        <w:t xml:space="preserve">בחיי הנישואין, כשיש זמנים של ריחוק על פי תורה עלול ה"לא" להתעורר בנפש ולגרום, ח"ו, לריחוק וחוסר התחשבות כלפי בן הזוג. בשביל </w:t>
      </w:r>
      <w:proofErr w:type="spellStart"/>
      <w:r w:rsidRPr="00B46B4B">
        <w:rPr>
          <w:rFonts w:hint="cs"/>
          <w:rtl/>
        </w:rPr>
        <w:t>להנצל</w:t>
      </w:r>
      <w:proofErr w:type="spellEnd"/>
      <w:r w:rsidRPr="00B46B4B">
        <w:rPr>
          <w:rFonts w:hint="cs"/>
          <w:rtl/>
        </w:rPr>
        <w:t xml:space="preserve"> </w:t>
      </w:r>
      <w:proofErr w:type="spellStart"/>
      <w:r w:rsidRPr="00B46B4B">
        <w:rPr>
          <w:rFonts w:hint="cs"/>
          <w:rtl/>
        </w:rPr>
        <w:t>מנטיה</w:t>
      </w:r>
      <w:proofErr w:type="spellEnd"/>
      <w:r w:rsidRPr="00B46B4B">
        <w:rPr>
          <w:rFonts w:hint="cs"/>
          <w:rtl/>
        </w:rPr>
        <w:t xml:space="preserve"> נפשית זו יש לחזור שוב ושוב על הפסוק "</w:t>
      </w:r>
      <w:r>
        <w:rPr>
          <w:rFonts w:hint="cs"/>
          <w:rtl/>
        </w:rPr>
        <w:t xml:space="preserve">אש תמיד </w:t>
      </w:r>
      <w:proofErr w:type="spellStart"/>
      <w:r>
        <w:rPr>
          <w:rFonts w:hint="cs"/>
          <w:rtl/>
        </w:rPr>
        <w:t>תוקד</w:t>
      </w:r>
      <w:proofErr w:type="spellEnd"/>
      <w:r>
        <w:rPr>
          <w:rFonts w:hint="cs"/>
          <w:rtl/>
        </w:rPr>
        <w:t xml:space="preserve"> על המזבח לא תכבה", כעצת הבעל שם טוב בשם </w:t>
      </w:r>
      <w:proofErr w:type="spellStart"/>
      <w:r>
        <w:rPr>
          <w:rFonts w:hint="cs"/>
          <w:rtl/>
        </w:rPr>
        <w:t>הרמ"ק</w:t>
      </w:r>
      <w:proofErr w:type="spellEnd"/>
      <w:r>
        <w:rPr>
          <w:rFonts w:hint="cs"/>
          <w:rtl/>
        </w:rPr>
        <w:t>,</w:t>
      </w:r>
      <w:r w:rsidRPr="00B46B4B">
        <w:rPr>
          <w:rFonts w:hint="cs"/>
          <w:rtl/>
        </w:rPr>
        <w:t xml:space="preserve"> </w:t>
      </w:r>
      <w:r>
        <w:rPr>
          <w:rFonts w:hint="cs"/>
          <w:rtl/>
        </w:rPr>
        <w:t xml:space="preserve">תוך </w:t>
      </w:r>
      <w:r>
        <w:rPr>
          <w:rFonts w:hint="cs"/>
          <w:rtl/>
        </w:rPr>
        <w:lastRenderedPageBreak/>
        <w:t xml:space="preserve">התבוננות בפירושו של המגיד. </w:t>
      </w:r>
      <w:r w:rsidRPr="00B46B4B">
        <w:rPr>
          <w:rFonts w:hint="cs"/>
          <w:rtl/>
        </w:rPr>
        <w:t>אם אדמו"ר הזקן הוצרך לשמוע זאת עשר פעמים, כדי לחקוק את הדברים בכל כחות נפשו הטהורה, על אחת כמה וכמה שעלינו לשנן לעצמנו את הדברים שוב ושוב, ללא קץ, כדי שהדבר</w:t>
      </w:r>
      <w:r>
        <w:rPr>
          <w:rFonts w:hint="cs"/>
          <w:rtl/>
        </w:rPr>
        <w:t>ים יחקקו גם בנפשותינו הנמוכות</w:t>
      </w:r>
      <w:r w:rsidRPr="00B46B4B">
        <w:rPr>
          <w:rFonts w:hint="cs"/>
          <w:rtl/>
        </w:rPr>
        <w:t>.</w:t>
      </w:r>
    </w:p>
    <w:p w:rsidR="00250909" w:rsidRPr="00B46B4B" w:rsidRDefault="00250909" w:rsidP="00250909">
      <w:pPr>
        <w:rPr>
          <w:rFonts w:hint="cs"/>
          <w:rtl/>
        </w:rPr>
      </w:pPr>
      <w:r w:rsidRPr="00B46B4B">
        <w:rPr>
          <w:rFonts w:hint="cs"/>
          <w:rtl/>
        </w:rPr>
        <w:t xml:space="preserve">עבודת ה"אש תמיד </w:t>
      </w:r>
      <w:proofErr w:type="spellStart"/>
      <w:r w:rsidRPr="00B46B4B">
        <w:rPr>
          <w:rFonts w:hint="cs"/>
          <w:rtl/>
        </w:rPr>
        <w:t>תוקד</w:t>
      </w:r>
      <w:proofErr w:type="spellEnd"/>
      <w:r w:rsidRPr="00B46B4B">
        <w:rPr>
          <w:rFonts w:hint="cs"/>
          <w:rtl/>
        </w:rPr>
        <w:t xml:space="preserve"> על המזבח לא תכבה" עסוקה בכיבוי ה"לא" הזה, מתוך מודעות לפרטי ההלכות הדואגים לכך </w:t>
      </w:r>
      <w:proofErr w:type="spellStart"/>
      <w:r w:rsidRPr="00B46B4B">
        <w:rPr>
          <w:rFonts w:hint="cs"/>
          <w:rtl/>
        </w:rPr>
        <w:t>שהאשה</w:t>
      </w:r>
      <w:proofErr w:type="spellEnd"/>
      <w:r w:rsidRPr="00B46B4B">
        <w:rPr>
          <w:rFonts w:hint="cs"/>
          <w:rtl/>
        </w:rPr>
        <w:t xml:space="preserve"> לא תתגנה על בעלה גם בזמנים אלו</w:t>
      </w:r>
      <w:r w:rsidRPr="00C37DFC">
        <w:rPr>
          <w:rStyle w:val="a7"/>
          <w:rtl/>
        </w:rPr>
        <w:endnoteReference w:id="13"/>
      </w:r>
      <w:r w:rsidRPr="00B46B4B">
        <w:rPr>
          <w:rFonts w:hint="cs"/>
          <w:rtl/>
        </w:rPr>
        <w:t xml:space="preserve">, </w:t>
      </w:r>
      <w:r>
        <w:rPr>
          <w:rFonts w:hint="cs"/>
          <w:rtl/>
        </w:rPr>
        <w:t>ו</w:t>
      </w:r>
      <w:r w:rsidRPr="00B46B4B">
        <w:rPr>
          <w:rFonts w:hint="cs"/>
          <w:rtl/>
        </w:rPr>
        <w:t>תוך כדי הפיכת ה"לא" ל"הן" ושמירה על הלהבה הקטנה באופן המותר. [כאשר מי שה' ה</w:t>
      </w:r>
      <w:r>
        <w:rPr>
          <w:rFonts w:hint="cs"/>
          <w:rtl/>
        </w:rPr>
        <w:t>ופך אצלו את ה"לא" ל"הן" לחלוטין,</w:t>
      </w:r>
      <w:r w:rsidRPr="00B46B4B">
        <w:rPr>
          <w:rFonts w:hint="cs"/>
          <w:rtl/>
        </w:rPr>
        <w:t xml:space="preserve"> בבחינת "עב</w:t>
      </w:r>
      <w:r w:rsidRPr="009E0F14">
        <w:rPr>
          <w:rFonts w:hint="cs"/>
          <w:spacing w:val="-14"/>
          <w:rtl/>
        </w:rPr>
        <w:t>ֹ</w:t>
      </w:r>
      <w:r w:rsidRPr="00B46B4B">
        <w:rPr>
          <w:rFonts w:hint="cs"/>
          <w:rtl/>
        </w:rPr>
        <w:t>דת מתנה"</w:t>
      </w:r>
      <w:r w:rsidRPr="00C37DFC">
        <w:rPr>
          <w:rStyle w:val="a7"/>
          <w:rtl/>
        </w:rPr>
        <w:endnoteReference w:id="14"/>
      </w:r>
      <w:r w:rsidRPr="00B46B4B">
        <w:rPr>
          <w:rFonts w:hint="cs"/>
          <w:rtl/>
        </w:rPr>
        <w:t xml:space="preserve"> לה זוכים צדיקים</w:t>
      </w:r>
      <w:r w:rsidRPr="00C37DFC">
        <w:rPr>
          <w:rStyle w:val="a7"/>
          <w:rtl/>
        </w:rPr>
        <w:endnoteReference w:id="15"/>
      </w:r>
      <w:r>
        <w:rPr>
          <w:rFonts w:hint="cs"/>
          <w:rtl/>
        </w:rPr>
        <w:t>,</w:t>
      </w:r>
      <w:r w:rsidRPr="00B46B4B">
        <w:rPr>
          <w:rFonts w:hint="cs"/>
          <w:rtl/>
        </w:rPr>
        <w:t xml:space="preserve"> מגיע למדרגת השמחה </w:t>
      </w:r>
      <w:proofErr w:type="spellStart"/>
      <w:r w:rsidRPr="00B46B4B">
        <w:rPr>
          <w:rFonts w:hint="cs"/>
          <w:rtl/>
        </w:rPr>
        <w:t>השוה</w:t>
      </w:r>
      <w:proofErr w:type="spellEnd"/>
      <w:r w:rsidRPr="00B46B4B">
        <w:rPr>
          <w:rFonts w:hint="cs"/>
          <w:rtl/>
        </w:rPr>
        <w:t xml:space="preserve"> בזמני איסור כזמני היתר</w:t>
      </w:r>
      <w:r>
        <w:rPr>
          <w:rFonts w:hint="cs"/>
          <w:rtl/>
        </w:rPr>
        <w:t>, מדרגת</w:t>
      </w:r>
      <w:r w:rsidRPr="00B46B4B">
        <w:rPr>
          <w:rFonts w:hint="cs"/>
          <w:rtl/>
        </w:rPr>
        <w:t xml:space="preserve"> אלו שענו בהר סיני "על הן </w:t>
      </w:r>
      <w:proofErr w:type="spellStart"/>
      <w:r w:rsidRPr="00B46B4B">
        <w:rPr>
          <w:rFonts w:hint="cs"/>
          <w:rtl/>
        </w:rPr>
        <w:t>הן</w:t>
      </w:r>
      <w:proofErr w:type="spellEnd"/>
      <w:r w:rsidRPr="00B46B4B">
        <w:rPr>
          <w:rFonts w:hint="cs"/>
          <w:rtl/>
        </w:rPr>
        <w:t xml:space="preserve"> ועל לאו הן"</w:t>
      </w:r>
      <w:r w:rsidRPr="00C37DFC">
        <w:rPr>
          <w:rStyle w:val="a7"/>
          <w:rtl/>
        </w:rPr>
        <w:endnoteReference w:id="16"/>
      </w:r>
      <w:r w:rsidRPr="00B46B4B">
        <w:rPr>
          <w:rFonts w:hint="cs"/>
          <w:rtl/>
        </w:rPr>
        <w:t xml:space="preserve">. אצלו ניכר כי דווקא בזמן בו האש קטנה ונעלמת מתגלה עצם ה"שכינה ביניהם" </w:t>
      </w:r>
      <w:r w:rsidRPr="00B46B4B">
        <w:rPr>
          <w:rtl/>
        </w:rPr>
        <w:t>–</w:t>
      </w:r>
      <w:r w:rsidRPr="00B46B4B">
        <w:rPr>
          <w:rFonts w:hint="cs"/>
          <w:rtl/>
        </w:rPr>
        <w:t xml:space="preserve"> שם </w:t>
      </w:r>
      <w:r w:rsidRPr="00B46B4B">
        <w:rPr>
          <w:rFonts w:hint="cs"/>
          <w:b/>
          <w:bCs/>
          <w:sz w:val="28"/>
          <w:szCs w:val="28"/>
          <w:rtl/>
        </w:rPr>
        <w:t>יה</w:t>
      </w:r>
      <w:r>
        <w:rPr>
          <w:rFonts w:hint="cs"/>
          <w:rtl/>
        </w:rPr>
        <w:t>,</w:t>
      </w:r>
      <w:r w:rsidRPr="00B46B4B">
        <w:rPr>
          <w:rFonts w:hint="cs"/>
          <w:rtl/>
        </w:rPr>
        <w:t xml:space="preserve"> </w:t>
      </w:r>
      <w:r>
        <w:rPr>
          <w:rFonts w:hint="cs"/>
          <w:rtl/>
        </w:rPr>
        <w:t xml:space="preserve">שבזמני הטהרה </w:t>
      </w:r>
      <w:r w:rsidRPr="00B46B4B">
        <w:rPr>
          <w:rFonts w:hint="cs"/>
          <w:rtl/>
        </w:rPr>
        <w:t xml:space="preserve">טמון </w:t>
      </w:r>
      <w:r>
        <w:rPr>
          <w:rFonts w:hint="cs"/>
          <w:rtl/>
        </w:rPr>
        <w:t>ומכוסה</w:t>
      </w:r>
      <w:r w:rsidRPr="00B46B4B">
        <w:rPr>
          <w:rFonts w:hint="cs"/>
          <w:rtl/>
        </w:rPr>
        <w:t xml:space="preserve"> ב</w:t>
      </w:r>
      <w:r w:rsidRPr="00B46B4B">
        <w:rPr>
          <w:rFonts w:hint="cs"/>
          <w:b/>
          <w:bCs/>
          <w:sz w:val="28"/>
          <w:szCs w:val="28"/>
          <w:rtl/>
        </w:rPr>
        <w:t>אש</w:t>
      </w:r>
      <w:r w:rsidRPr="00B46B4B">
        <w:rPr>
          <w:rFonts w:hint="cs"/>
          <w:rtl/>
        </w:rPr>
        <w:t xml:space="preserve"> של ה</w:t>
      </w:r>
      <w:r w:rsidRPr="00B46B4B">
        <w:rPr>
          <w:rFonts w:hint="cs"/>
          <w:b/>
          <w:bCs/>
          <w:sz w:val="28"/>
          <w:szCs w:val="28"/>
          <w:rtl/>
        </w:rPr>
        <w:t>איש</w:t>
      </w:r>
      <w:r w:rsidRPr="00B46B4B">
        <w:rPr>
          <w:rFonts w:hint="cs"/>
          <w:rtl/>
        </w:rPr>
        <w:t xml:space="preserve"> </w:t>
      </w:r>
      <w:proofErr w:type="spellStart"/>
      <w:r w:rsidRPr="00B46B4B">
        <w:rPr>
          <w:rFonts w:hint="cs"/>
          <w:rtl/>
        </w:rPr>
        <w:t>וה</w:t>
      </w:r>
      <w:r w:rsidRPr="00B46B4B">
        <w:rPr>
          <w:rFonts w:hint="cs"/>
          <w:b/>
          <w:bCs/>
          <w:sz w:val="28"/>
          <w:szCs w:val="28"/>
          <w:rtl/>
        </w:rPr>
        <w:t>אשה</w:t>
      </w:r>
      <w:proofErr w:type="spellEnd"/>
      <w:r w:rsidRPr="00C37DFC">
        <w:rPr>
          <w:rStyle w:val="a7"/>
          <w:rtl/>
        </w:rPr>
        <w:endnoteReference w:id="17"/>
      </w:r>
      <w:r w:rsidRPr="00B46B4B">
        <w:rPr>
          <w:rFonts w:hint="cs"/>
          <w:rtl/>
        </w:rPr>
        <w:t>].</w:t>
      </w:r>
    </w:p>
    <w:p w:rsidR="00250909" w:rsidRPr="00B46B4B" w:rsidRDefault="00250909" w:rsidP="00250909">
      <w:pPr>
        <w:rPr>
          <w:rFonts w:hint="cs"/>
          <w:rtl/>
        </w:rPr>
      </w:pPr>
      <w:r w:rsidRPr="00B46B4B">
        <w:rPr>
          <w:rFonts w:hint="cs"/>
          <w:rtl/>
        </w:rPr>
        <w:t xml:space="preserve">מי שזכה לאור זה יודע כי אף שהקרבה הגופנית וגלויי החבה </w:t>
      </w:r>
      <w:proofErr w:type="spellStart"/>
      <w:r w:rsidRPr="00B46B4B">
        <w:rPr>
          <w:rFonts w:hint="cs"/>
          <w:rtl/>
        </w:rPr>
        <w:t>הנלוים</w:t>
      </w:r>
      <w:proofErr w:type="spellEnd"/>
      <w:r w:rsidRPr="00B46B4B">
        <w:rPr>
          <w:rFonts w:hint="cs"/>
          <w:rtl/>
        </w:rPr>
        <w:t xml:space="preserve"> אליה אסורים בזמן זה, הרי זהו רק הממד התחתון של הקשר, וישנם ממדים אחרים, נעלים יותר, המותרים גם בזמן זה. בלשון הקבלה, בכל פרצוף ישנם שלושה יסודות</w:t>
      </w:r>
      <w:r w:rsidRPr="00C37DFC">
        <w:rPr>
          <w:rStyle w:val="a7"/>
          <w:rtl/>
        </w:rPr>
        <w:endnoteReference w:id="18"/>
      </w:r>
      <w:r w:rsidRPr="00B46B4B">
        <w:rPr>
          <w:rFonts w:hint="cs"/>
          <w:rtl/>
        </w:rPr>
        <w:t xml:space="preserve"> </w:t>
      </w:r>
      <w:r w:rsidRPr="00B46B4B">
        <w:rPr>
          <w:rtl/>
        </w:rPr>
        <w:t>–</w:t>
      </w:r>
      <w:r w:rsidRPr="00B46B4B">
        <w:rPr>
          <w:rFonts w:hint="cs"/>
          <w:rtl/>
        </w:rPr>
        <w:t xml:space="preserve"> שלוש נקודות של חיבור וזיווג </w:t>
      </w:r>
      <w:r w:rsidRPr="00B46B4B">
        <w:rPr>
          <w:rtl/>
        </w:rPr>
        <w:t>–</w:t>
      </w:r>
      <w:r w:rsidRPr="00B46B4B">
        <w:rPr>
          <w:rFonts w:hint="cs"/>
          <w:rtl/>
        </w:rPr>
        <w:t xml:space="preserve"> היסודות התחתונים (יסוד </w:t>
      </w:r>
      <w:proofErr w:type="spellStart"/>
      <w:r w:rsidRPr="00B46B4B">
        <w:rPr>
          <w:rFonts w:hint="cs"/>
          <w:rtl/>
        </w:rPr>
        <w:t>הדכורא</w:t>
      </w:r>
      <w:proofErr w:type="spellEnd"/>
      <w:r w:rsidRPr="00B46B4B">
        <w:rPr>
          <w:rFonts w:hint="cs"/>
          <w:rtl/>
        </w:rPr>
        <w:t xml:space="preserve"> ויסוד </w:t>
      </w:r>
      <w:proofErr w:type="spellStart"/>
      <w:r w:rsidRPr="00B46B4B">
        <w:rPr>
          <w:rFonts w:hint="cs"/>
          <w:rtl/>
        </w:rPr>
        <w:t>הנוקבא</w:t>
      </w:r>
      <w:proofErr w:type="spellEnd"/>
      <w:r w:rsidRPr="00B46B4B">
        <w:rPr>
          <w:rFonts w:hint="cs"/>
          <w:rtl/>
        </w:rPr>
        <w:t xml:space="preserve"> ממש, אברי </w:t>
      </w:r>
      <w:proofErr w:type="spellStart"/>
      <w:r w:rsidRPr="00B46B4B">
        <w:rPr>
          <w:rFonts w:hint="cs"/>
          <w:rtl/>
        </w:rPr>
        <w:t>הרביה</w:t>
      </w:r>
      <w:proofErr w:type="spellEnd"/>
      <w:r w:rsidRPr="00B46B4B">
        <w:rPr>
          <w:rFonts w:hint="cs"/>
          <w:rtl/>
        </w:rPr>
        <w:t>), היסודות שבלב והיסודות שבפה. בזמן הנדה אסור</w:t>
      </w:r>
      <w:r>
        <w:rPr>
          <w:rFonts w:hint="cs"/>
          <w:rtl/>
        </w:rPr>
        <w:t xml:space="preserve"> </w:t>
      </w:r>
      <w:r w:rsidRPr="00B46B4B">
        <w:rPr>
          <w:rFonts w:hint="cs"/>
          <w:rtl/>
        </w:rPr>
        <w:t>זיווג היסודות התחתונים, כמו גם הזיווג הגשמי של היסודות העליונים (המתבטא בזמן טהרה בחיבוק ונישוק</w:t>
      </w:r>
      <w:r w:rsidRPr="00C37DFC">
        <w:rPr>
          <w:rStyle w:val="a7"/>
          <w:rtl/>
        </w:rPr>
        <w:endnoteReference w:id="19"/>
      </w:r>
      <w:r>
        <w:rPr>
          <w:rFonts w:hint="cs"/>
          <w:rtl/>
        </w:rPr>
        <w:t>), כמובן.</w:t>
      </w:r>
      <w:r w:rsidRPr="00B46B4B">
        <w:rPr>
          <w:rFonts w:hint="cs"/>
          <w:rtl/>
        </w:rPr>
        <w:t xml:space="preserve"> אך זהו הזמן המיועד לבנות ולטפח את הקשרים הפנימיים יותר</w:t>
      </w:r>
      <w:r>
        <w:rPr>
          <w:rFonts w:hint="cs"/>
          <w:rtl/>
        </w:rPr>
        <w:t xml:space="preserve">, </w:t>
      </w:r>
      <w:r w:rsidRPr="00B46B4B">
        <w:rPr>
          <w:rFonts w:hint="cs"/>
          <w:rtl/>
        </w:rPr>
        <w:t>קשרי הרגש (הפנימי) והדבור</w:t>
      </w:r>
      <w:bookmarkStart w:id="3" w:name="_Ref188255415"/>
      <w:r w:rsidRPr="00C37DFC">
        <w:rPr>
          <w:rStyle w:val="a7"/>
          <w:rtl/>
        </w:rPr>
        <w:endnoteReference w:id="20"/>
      </w:r>
      <w:bookmarkEnd w:id="3"/>
      <w:r w:rsidRPr="00B46B4B">
        <w:rPr>
          <w:rFonts w:hint="cs"/>
          <w:rtl/>
        </w:rPr>
        <w:t xml:space="preserve"> </w:t>
      </w:r>
      <w:r>
        <w:rPr>
          <w:rFonts w:hint="cs"/>
          <w:rtl/>
        </w:rPr>
        <w:t xml:space="preserve">שבלב ובפה </w:t>
      </w:r>
      <w:r>
        <w:rPr>
          <w:rtl/>
        </w:rPr>
        <w:t>–</w:t>
      </w:r>
      <w:r>
        <w:rPr>
          <w:rFonts w:hint="cs"/>
          <w:rtl/>
        </w:rPr>
        <w:t xml:space="preserve"> </w:t>
      </w:r>
      <w:r w:rsidRPr="00B46B4B">
        <w:rPr>
          <w:rFonts w:hint="cs"/>
          <w:rtl/>
        </w:rPr>
        <w:t>הזמן לקיים את מאמר החכם "</w:t>
      </w:r>
      <w:proofErr w:type="spellStart"/>
      <w:r w:rsidRPr="00B46B4B">
        <w:rPr>
          <w:rFonts w:hint="cs"/>
          <w:rtl/>
        </w:rPr>
        <w:t>האשה</w:t>
      </w:r>
      <w:proofErr w:type="spellEnd"/>
      <w:r w:rsidRPr="00B46B4B">
        <w:rPr>
          <w:rFonts w:hint="cs"/>
          <w:rtl/>
        </w:rPr>
        <w:t xml:space="preserve"> הטובה היא החבר הטוב"</w:t>
      </w:r>
      <w:r w:rsidRPr="00C37DFC">
        <w:rPr>
          <w:rStyle w:val="a7"/>
          <w:rtl/>
        </w:rPr>
        <w:endnoteReference w:id="21"/>
      </w:r>
      <w:r w:rsidRPr="00B46B4B">
        <w:rPr>
          <w:rFonts w:hint="cs"/>
          <w:rtl/>
        </w:rPr>
        <w:t xml:space="preserve"> (ורמז: </w:t>
      </w:r>
      <w:r w:rsidRPr="00B46B4B">
        <w:rPr>
          <w:rFonts w:hint="cs"/>
          <w:b/>
          <w:bCs/>
          <w:sz w:val="28"/>
          <w:szCs w:val="28"/>
          <w:rtl/>
        </w:rPr>
        <w:t>פה</w:t>
      </w:r>
      <w:r w:rsidRPr="00B46B4B">
        <w:rPr>
          <w:rFonts w:hint="cs"/>
          <w:rtl/>
        </w:rPr>
        <w:t xml:space="preserve"> </w:t>
      </w:r>
      <w:r w:rsidRPr="00B46B4B">
        <w:rPr>
          <w:rFonts w:hint="cs"/>
          <w:b/>
          <w:bCs/>
          <w:sz w:val="28"/>
          <w:szCs w:val="28"/>
          <w:rtl/>
        </w:rPr>
        <w:t>לב</w:t>
      </w:r>
      <w:r w:rsidRPr="00B46B4B">
        <w:rPr>
          <w:rFonts w:hint="cs"/>
          <w:rtl/>
        </w:rPr>
        <w:t xml:space="preserve"> עולה </w:t>
      </w:r>
      <w:r w:rsidRPr="0022312D">
        <w:rPr>
          <w:rFonts w:hint="cs"/>
          <w:b/>
          <w:bCs/>
          <w:szCs w:val="28"/>
          <w:rtl/>
        </w:rPr>
        <w:t>ט</w:t>
      </w:r>
      <w:r w:rsidRPr="00B46B4B">
        <w:rPr>
          <w:rFonts w:hint="cs"/>
          <w:rtl/>
        </w:rPr>
        <w:t xml:space="preserve"> פעמים </w:t>
      </w:r>
      <w:r w:rsidRPr="00B46B4B">
        <w:rPr>
          <w:rFonts w:hint="cs"/>
          <w:b/>
          <w:bCs/>
          <w:sz w:val="28"/>
          <w:szCs w:val="28"/>
          <w:rtl/>
        </w:rPr>
        <w:t>אהבה</w:t>
      </w:r>
      <w:r w:rsidRPr="00B46B4B">
        <w:rPr>
          <w:rFonts w:hint="cs"/>
          <w:rtl/>
        </w:rPr>
        <w:t xml:space="preserve">, </w:t>
      </w:r>
      <w:proofErr w:type="spellStart"/>
      <w:r w:rsidRPr="00B46B4B">
        <w:rPr>
          <w:rFonts w:hint="cs"/>
          <w:rtl/>
        </w:rPr>
        <w:t>כמנין</w:t>
      </w:r>
      <w:proofErr w:type="spellEnd"/>
      <w:r w:rsidRPr="00B46B4B">
        <w:rPr>
          <w:rFonts w:hint="cs"/>
          <w:rtl/>
        </w:rPr>
        <w:t xml:space="preserve"> פסוקי שיר השירים – זמן הנדה נועד להתעצם עם הנמשל העליון של שיר השירים</w:t>
      </w:r>
      <w:r w:rsidRPr="00C37DFC">
        <w:rPr>
          <w:rStyle w:val="a7"/>
          <w:rtl/>
        </w:rPr>
        <w:endnoteReference w:id="22"/>
      </w:r>
      <w:r w:rsidRPr="00B46B4B">
        <w:rPr>
          <w:rFonts w:hint="cs"/>
          <w:rtl/>
        </w:rPr>
        <w:t>, וההתעצמות עם הנמשל מלהיבה ומשמשת כהשראה לזמן הטהרה, בו עוסקים בהתדמות לנמשל הזה ובהמשכת הארה ממנו לתוך המשל הגשמי).</w:t>
      </w:r>
    </w:p>
    <w:p w:rsidR="00250909" w:rsidRDefault="00250909" w:rsidP="00250909">
      <w:pPr>
        <w:rPr>
          <w:rFonts w:hint="cs"/>
          <w:rtl/>
        </w:rPr>
      </w:pPr>
      <w:r w:rsidRPr="00B46B4B">
        <w:rPr>
          <w:rFonts w:hint="cs"/>
          <w:rtl/>
        </w:rPr>
        <w:t xml:space="preserve">ענין זה מעניק ממד פנימי להיתר </w:t>
      </w:r>
      <w:proofErr w:type="spellStart"/>
      <w:r w:rsidRPr="00B46B4B">
        <w:rPr>
          <w:rFonts w:hint="cs"/>
          <w:rtl/>
        </w:rPr>
        <w:t>היחוד</w:t>
      </w:r>
      <w:proofErr w:type="spellEnd"/>
      <w:r w:rsidRPr="00B46B4B">
        <w:rPr>
          <w:rFonts w:hint="cs"/>
          <w:rtl/>
        </w:rPr>
        <w:t xml:space="preserve"> </w:t>
      </w:r>
      <w:r>
        <w:rPr>
          <w:rFonts w:hint="cs"/>
          <w:rtl/>
        </w:rPr>
        <w:t xml:space="preserve">(באותו בית) </w:t>
      </w:r>
      <w:r w:rsidRPr="00B46B4B">
        <w:rPr>
          <w:rFonts w:hint="cs"/>
          <w:rtl/>
        </w:rPr>
        <w:t>של בני הזוג בזמן האיסור. על פי נגלה נראה</w:t>
      </w:r>
      <w:r w:rsidRPr="00C37DFC">
        <w:rPr>
          <w:rStyle w:val="a7"/>
          <w:rtl/>
        </w:rPr>
        <w:endnoteReference w:id="23"/>
      </w:r>
      <w:r w:rsidRPr="00B46B4B">
        <w:rPr>
          <w:rFonts w:hint="cs"/>
          <w:rtl/>
        </w:rPr>
        <w:t xml:space="preserve"> כי אין איסור יחוד משום </w:t>
      </w:r>
      <w:r>
        <w:rPr>
          <w:rFonts w:hint="cs"/>
          <w:rtl/>
        </w:rPr>
        <w:t xml:space="preserve">שבני הזוג עתידים לחזור </w:t>
      </w:r>
      <w:proofErr w:type="spellStart"/>
      <w:r>
        <w:rPr>
          <w:rFonts w:hint="cs"/>
          <w:rtl/>
        </w:rPr>
        <w:t>ולהטהר</w:t>
      </w:r>
      <w:proofErr w:type="spellEnd"/>
      <w:r>
        <w:rPr>
          <w:rFonts w:hint="cs"/>
          <w:rtl/>
        </w:rPr>
        <w:t xml:space="preserve">, והעתיד שומר על </w:t>
      </w:r>
      <w:proofErr w:type="spellStart"/>
      <w:r>
        <w:rPr>
          <w:rFonts w:hint="cs"/>
          <w:rtl/>
        </w:rPr>
        <w:t>ההוה</w:t>
      </w:r>
      <w:proofErr w:type="spellEnd"/>
      <w:r>
        <w:rPr>
          <w:rFonts w:hint="cs"/>
          <w:rtl/>
        </w:rPr>
        <w:t>,</w:t>
      </w:r>
      <w:r w:rsidRPr="00B46B4B">
        <w:rPr>
          <w:rFonts w:hint="cs"/>
          <w:rtl/>
        </w:rPr>
        <w:t xml:space="preserve"> אך על </w:t>
      </w:r>
      <w:r>
        <w:rPr>
          <w:rFonts w:hint="cs"/>
          <w:rtl/>
        </w:rPr>
        <w:t xml:space="preserve">פי נסתר יש למצוא טעם להיתר גם </w:t>
      </w:r>
      <w:proofErr w:type="spellStart"/>
      <w:r>
        <w:rPr>
          <w:rFonts w:hint="cs"/>
          <w:rtl/>
        </w:rPr>
        <w:t>בהוה</w:t>
      </w:r>
      <w:proofErr w:type="spellEnd"/>
      <w:r>
        <w:rPr>
          <w:rFonts w:hint="cs"/>
          <w:rtl/>
        </w:rPr>
        <w:t xml:space="preserve"> עצמו</w:t>
      </w:r>
      <w:r w:rsidRPr="00C37DFC">
        <w:rPr>
          <w:rStyle w:val="a7"/>
          <w:rtl/>
        </w:rPr>
        <w:endnoteReference w:id="24"/>
      </w:r>
      <w:r>
        <w:rPr>
          <w:rFonts w:hint="cs"/>
          <w:rtl/>
        </w:rPr>
        <w:t>. אכן, בפנימיות, גם בתקופת</w:t>
      </w:r>
      <w:r w:rsidRPr="00B46B4B">
        <w:rPr>
          <w:rFonts w:hint="cs"/>
          <w:rtl/>
        </w:rPr>
        <w:t xml:space="preserve"> </w:t>
      </w:r>
      <w:r>
        <w:rPr>
          <w:rFonts w:hint="cs"/>
          <w:rtl/>
        </w:rPr>
        <w:t xml:space="preserve">הריחוק </w:t>
      </w:r>
      <w:r w:rsidRPr="00B46B4B">
        <w:rPr>
          <w:rFonts w:hint="cs"/>
          <w:rtl/>
        </w:rPr>
        <w:t xml:space="preserve">יש יחוד </w:t>
      </w:r>
      <w:proofErr w:type="spellStart"/>
      <w:r w:rsidRPr="00B46B4B">
        <w:rPr>
          <w:rFonts w:hint="cs"/>
          <w:rtl/>
        </w:rPr>
        <w:t>אמיתי</w:t>
      </w:r>
      <w:proofErr w:type="spellEnd"/>
      <w:r w:rsidRPr="00B46B4B">
        <w:rPr>
          <w:rFonts w:hint="cs"/>
          <w:rtl/>
        </w:rPr>
        <w:t>, נעלה ופנימי, בין בני הזו</w:t>
      </w:r>
      <w:r>
        <w:rPr>
          <w:rFonts w:hint="cs"/>
          <w:rtl/>
        </w:rPr>
        <w:t>ג (זאת בניגוד לזמן האירוסין, בו "אסר לנו [לגמרי] את הארוסות"</w:t>
      </w:r>
      <w:r w:rsidRPr="00C37DFC">
        <w:rPr>
          <w:rStyle w:val="a7"/>
          <w:rtl/>
        </w:rPr>
        <w:endnoteReference w:id="25"/>
      </w:r>
      <w:r>
        <w:rPr>
          <w:rFonts w:hint="cs"/>
          <w:rtl/>
        </w:rPr>
        <w:t xml:space="preserve">, ואזי גם </w:t>
      </w:r>
      <w:proofErr w:type="spellStart"/>
      <w:r>
        <w:rPr>
          <w:rFonts w:hint="cs"/>
          <w:rtl/>
        </w:rPr>
        <w:t>היחוד</w:t>
      </w:r>
      <w:proofErr w:type="spellEnd"/>
      <w:r>
        <w:rPr>
          <w:rFonts w:hint="cs"/>
          <w:rtl/>
        </w:rPr>
        <w:t xml:space="preserve"> אסור). יחוד נעלה </w:t>
      </w:r>
      <w:r w:rsidRPr="00B46B4B">
        <w:rPr>
          <w:rFonts w:hint="cs"/>
          <w:rtl/>
        </w:rPr>
        <w:t>זה הוא עצמו השומר מפני יחוד תחתון ואסור, כמח השליט על הלב</w:t>
      </w:r>
      <w:r w:rsidRPr="00C37DFC">
        <w:rPr>
          <w:rStyle w:val="a7"/>
          <w:rtl/>
        </w:rPr>
        <w:endnoteReference w:id="26"/>
      </w:r>
      <w:r>
        <w:rPr>
          <w:rFonts w:hint="cs"/>
          <w:rtl/>
        </w:rPr>
        <w:t>.</w:t>
      </w:r>
    </w:p>
    <w:p w:rsidR="00250909" w:rsidRPr="00B46B4B" w:rsidRDefault="00250909" w:rsidP="00250909">
      <w:pPr>
        <w:rPr>
          <w:rFonts w:hint="cs"/>
          <w:rtl/>
        </w:rPr>
      </w:pPr>
      <w:r w:rsidRPr="00B46B4B">
        <w:rPr>
          <w:rFonts w:hint="cs"/>
          <w:rtl/>
        </w:rPr>
        <w:t xml:space="preserve">ליתר דיוק, לפי המבואר לעיל, השמירה התמידית על האש באה </w:t>
      </w:r>
      <w:proofErr w:type="spellStart"/>
      <w:r w:rsidRPr="00B46B4B">
        <w:rPr>
          <w:rFonts w:hint="cs"/>
          <w:rtl/>
        </w:rPr>
        <w:t>מכ</w:t>
      </w:r>
      <w:r>
        <w:rPr>
          <w:rFonts w:hint="cs"/>
          <w:rtl/>
        </w:rPr>
        <w:t>ח</w:t>
      </w:r>
      <w:proofErr w:type="spellEnd"/>
      <w:r>
        <w:rPr>
          <w:rFonts w:hint="cs"/>
          <w:rtl/>
        </w:rPr>
        <w:t xml:space="preserve"> כריתת ברית הנישואין העל-שכלית.</w:t>
      </w:r>
      <w:r w:rsidRPr="00B46B4B">
        <w:rPr>
          <w:rFonts w:hint="cs"/>
          <w:rtl/>
        </w:rPr>
        <w:t xml:space="preserve"> אם כן</w:t>
      </w:r>
      <w:r>
        <w:rPr>
          <w:rFonts w:hint="cs"/>
          <w:rtl/>
        </w:rPr>
        <w:t>,</w:t>
      </w:r>
      <w:r w:rsidRPr="00B46B4B">
        <w:rPr>
          <w:rFonts w:hint="cs"/>
          <w:rtl/>
        </w:rPr>
        <w:t xml:space="preserve"> הסדר הוא שהכתר שליט על המח, לקיים בו יחוד תמידי, ויחוד זה של המח הוא השליט על הלב לבל יס</w:t>
      </w:r>
      <w:r>
        <w:rPr>
          <w:rFonts w:hint="cs"/>
          <w:rtl/>
        </w:rPr>
        <w:t>טה מדרך מתוקנת ומבוררת של האהבה</w:t>
      </w:r>
      <w:r w:rsidRPr="00B46B4B">
        <w:rPr>
          <w:rFonts w:hint="cs"/>
          <w:rtl/>
        </w:rPr>
        <w:t>.</w:t>
      </w:r>
    </w:p>
    <w:p w:rsidR="005F4A47" w:rsidRDefault="00B525F8">
      <w:bookmarkStart w:id="4" w:name="_GoBack"/>
      <w:bookmarkEnd w:id="4"/>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5F8" w:rsidRDefault="00B525F8" w:rsidP="00250909">
      <w:pPr>
        <w:spacing w:after="0" w:line="240" w:lineRule="auto"/>
      </w:pPr>
      <w:r>
        <w:separator/>
      </w:r>
    </w:p>
  </w:endnote>
  <w:endnote w:type="continuationSeparator" w:id="0">
    <w:p w:rsidR="00B525F8" w:rsidRDefault="00B525F8" w:rsidP="00250909">
      <w:pPr>
        <w:spacing w:after="0" w:line="240" w:lineRule="auto"/>
      </w:pPr>
      <w:r>
        <w:continuationSeparator/>
      </w:r>
    </w:p>
  </w:endnote>
  <w:endnote w:id="1">
    <w:p w:rsidR="00250909" w:rsidRDefault="00250909" w:rsidP="00250909">
      <w:pPr>
        <w:pStyle w:val="a5"/>
        <w:rPr>
          <w:rFonts w:hint="cs"/>
          <w:rtl/>
        </w:rPr>
      </w:pPr>
      <w:r>
        <w:rPr>
          <w:rtl/>
        </w:rPr>
        <w:tab/>
      </w:r>
      <w:r w:rsidRPr="004377AB">
        <w:rPr>
          <w:rtl/>
        </w:rPr>
        <w:endnoteRef/>
      </w:r>
      <w:r>
        <w:rPr>
          <w:rtl/>
        </w:rPr>
        <w:t>.</w:t>
      </w:r>
      <w:r>
        <w:rPr>
          <w:rtl/>
        </w:rPr>
        <w:tab/>
      </w:r>
      <w:r>
        <w:rPr>
          <w:rFonts w:hint="cs"/>
          <w:rtl/>
        </w:rPr>
        <w:t>ויקרא ו, ו.</w:t>
      </w:r>
    </w:p>
  </w:endnote>
  <w:endnote w:id="2">
    <w:p w:rsidR="00250909" w:rsidRDefault="00250909" w:rsidP="00250909">
      <w:pPr>
        <w:pStyle w:val="a5"/>
        <w:rPr>
          <w:rFonts w:hint="cs"/>
          <w:rtl/>
        </w:rPr>
      </w:pPr>
      <w:r>
        <w:rPr>
          <w:rtl/>
        </w:rPr>
        <w:tab/>
      </w:r>
      <w:r w:rsidRPr="004377AB">
        <w:rPr>
          <w:rtl/>
        </w:rPr>
        <w:endnoteRef/>
      </w:r>
      <w:r>
        <w:rPr>
          <w:rtl/>
        </w:rPr>
        <w:t>.</w:t>
      </w:r>
      <w:r>
        <w:rPr>
          <w:rtl/>
        </w:rPr>
        <w:tab/>
      </w:r>
      <w:r>
        <w:rPr>
          <w:rFonts w:hint="cs"/>
          <w:rtl/>
        </w:rPr>
        <w:t xml:space="preserve">כתר שם טוב (הוצאת </w:t>
      </w:r>
      <w:proofErr w:type="spellStart"/>
      <w:r>
        <w:rPr>
          <w:rFonts w:hint="cs"/>
          <w:rtl/>
        </w:rPr>
        <w:t>קה"ת</w:t>
      </w:r>
      <w:proofErr w:type="spellEnd"/>
      <w:r>
        <w:rPr>
          <w:rFonts w:hint="cs"/>
          <w:rtl/>
        </w:rPr>
        <w:t xml:space="preserve">) אות </w:t>
      </w:r>
      <w:proofErr w:type="spellStart"/>
      <w:r>
        <w:rPr>
          <w:rFonts w:hint="cs"/>
          <w:rtl/>
        </w:rPr>
        <w:t>ריז</w:t>
      </w:r>
      <w:proofErr w:type="spellEnd"/>
      <w:r>
        <w:rPr>
          <w:rFonts w:hint="cs"/>
          <w:rtl/>
        </w:rPr>
        <w:t>. הובא ונתבאר גם בספר הטבע היהודי עמ' קי-קיא.</w:t>
      </w:r>
    </w:p>
  </w:endnote>
  <w:endnote w:id="3">
    <w:p w:rsidR="00250909" w:rsidRDefault="00250909" w:rsidP="00250909">
      <w:pPr>
        <w:pStyle w:val="a5"/>
        <w:rPr>
          <w:rFonts w:hint="cs"/>
          <w:rtl/>
        </w:rPr>
      </w:pPr>
      <w:r>
        <w:rPr>
          <w:rtl/>
        </w:rPr>
        <w:tab/>
      </w:r>
      <w:r w:rsidRPr="004377AB">
        <w:rPr>
          <w:rtl/>
        </w:rPr>
        <w:endnoteRef/>
      </w:r>
      <w:r>
        <w:rPr>
          <w:rtl/>
        </w:rPr>
        <w:t>.</w:t>
      </w:r>
      <w:r>
        <w:rPr>
          <w:rtl/>
        </w:rPr>
        <w:tab/>
      </w:r>
      <w:r>
        <w:rPr>
          <w:rFonts w:hint="cs"/>
          <w:rtl/>
        </w:rPr>
        <w:t xml:space="preserve">הקדמת </w:t>
      </w:r>
      <w:proofErr w:type="spellStart"/>
      <w:r>
        <w:rPr>
          <w:rFonts w:hint="cs"/>
          <w:rtl/>
        </w:rPr>
        <w:t>תקוני</w:t>
      </w:r>
      <w:proofErr w:type="spellEnd"/>
      <w:r>
        <w:rPr>
          <w:rFonts w:hint="cs"/>
          <w:rtl/>
        </w:rPr>
        <w:t xml:space="preserve"> זהר.</w:t>
      </w:r>
    </w:p>
  </w:endnote>
  <w:endnote w:id="4">
    <w:p w:rsidR="00250909" w:rsidRDefault="00250909" w:rsidP="00250909">
      <w:pPr>
        <w:pStyle w:val="a5"/>
        <w:rPr>
          <w:rFonts w:hint="cs"/>
          <w:rtl/>
        </w:rPr>
      </w:pPr>
      <w:r>
        <w:rPr>
          <w:rtl/>
        </w:rPr>
        <w:tab/>
      </w:r>
      <w:r w:rsidRPr="004377AB">
        <w:rPr>
          <w:rtl/>
        </w:rPr>
        <w:endnoteRef/>
      </w:r>
      <w:r>
        <w:rPr>
          <w:rtl/>
        </w:rPr>
        <w:t>.</w:t>
      </w:r>
      <w:r>
        <w:rPr>
          <w:rtl/>
        </w:rPr>
        <w:tab/>
      </w:r>
      <w:r>
        <w:rPr>
          <w:rFonts w:hint="cs"/>
          <w:rtl/>
        </w:rPr>
        <w:t xml:space="preserve">סוטה </w:t>
      </w:r>
      <w:proofErr w:type="spellStart"/>
      <w:r>
        <w:rPr>
          <w:rFonts w:hint="cs"/>
          <w:rtl/>
        </w:rPr>
        <w:t>יז</w:t>
      </w:r>
      <w:proofErr w:type="spellEnd"/>
      <w:r>
        <w:rPr>
          <w:rFonts w:hint="cs"/>
          <w:rtl/>
        </w:rPr>
        <w:t>, א (וראה שכינה ביניהם פ"א).</w:t>
      </w:r>
    </w:p>
  </w:endnote>
  <w:endnote w:id="5">
    <w:p w:rsidR="00250909" w:rsidRDefault="00250909" w:rsidP="00250909">
      <w:pPr>
        <w:pStyle w:val="a5"/>
        <w:rPr>
          <w:rFonts w:hint="cs"/>
        </w:rPr>
      </w:pPr>
      <w:r>
        <w:rPr>
          <w:rtl/>
        </w:rPr>
        <w:tab/>
      </w:r>
      <w:r w:rsidRPr="004377AB">
        <w:rPr>
          <w:rtl/>
        </w:rPr>
        <w:endnoteRef/>
      </w:r>
      <w:r>
        <w:rPr>
          <w:rtl/>
        </w:rPr>
        <w:t>.</w:t>
      </w:r>
      <w:r>
        <w:rPr>
          <w:rtl/>
        </w:rPr>
        <w:tab/>
      </w:r>
      <w:r>
        <w:rPr>
          <w:rFonts w:hint="cs"/>
          <w:rtl/>
        </w:rPr>
        <w:t xml:space="preserve">ראה </w:t>
      </w:r>
      <w:proofErr w:type="spellStart"/>
      <w:r>
        <w:rPr>
          <w:rFonts w:hint="cs"/>
          <w:rtl/>
        </w:rPr>
        <w:t>תקוני</w:t>
      </w:r>
      <w:proofErr w:type="spellEnd"/>
      <w:r>
        <w:rPr>
          <w:rFonts w:hint="cs"/>
          <w:rtl/>
        </w:rPr>
        <w:t xml:space="preserve"> זהר </w:t>
      </w:r>
      <w:proofErr w:type="spellStart"/>
      <w:r>
        <w:rPr>
          <w:rFonts w:hint="cs"/>
          <w:rtl/>
        </w:rPr>
        <w:t>תקון</w:t>
      </w:r>
      <w:proofErr w:type="spellEnd"/>
      <w:r>
        <w:rPr>
          <w:rFonts w:hint="cs"/>
          <w:rtl/>
        </w:rPr>
        <w:t xml:space="preserve"> </w:t>
      </w:r>
      <w:proofErr w:type="spellStart"/>
      <w:r>
        <w:rPr>
          <w:rFonts w:hint="cs"/>
          <w:rtl/>
        </w:rPr>
        <w:t>טז</w:t>
      </w:r>
      <w:proofErr w:type="spellEnd"/>
      <w:r>
        <w:rPr>
          <w:rFonts w:hint="cs"/>
          <w:rtl/>
        </w:rPr>
        <w:t xml:space="preserve">, ראשית חכמה שער הקדושה פרקים </w:t>
      </w:r>
      <w:proofErr w:type="spellStart"/>
      <w:r>
        <w:rPr>
          <w:rFonts w:hint="cs"/>
          <w:rtl/>
        </w:rPr>
        <w:t>טז-יז</w:t>
      </w:r>
      <w:proofErr w:type="spellEnd"/>
      <w:r>
        <w:rPr>
          <w:rFonts w:hint="cs"/>
          <w:rtl/>
        </w:rPr>
        <w:t xml:space="preserve"> (הפרקים שנוהגים חתנים ללמוד קודם לנישואין) ובהקדמת שכינה ביניהם.</w:t>
      </w:r>
    </w:p>
  </w:endnote>
  <w:endnote w:id="6">
    <w:p w:rsidR="00250909" w:rsidRDefault="00250909" w:rsidP="00250909">
      <w:pPr>
        <w:pStyle w:val="a5"/>
        <w:rPr>
          <w:rFonts w:hint="cs"/>
          <w:rtl/>
        </w:rPr>
      </w:pPr>
      <w:r>
        <w:rPr>
          <w:rtl/>
        </w:rPr>
        <w:tab/>
      </w:r>
      <w:r w:rsidRPr="004377AB">
        <w:rPr>
          <w:rtl/>
        </w:rPr>
        <w:endnoteRef/>
      </w:r>
      <w:r>
        <w:rPr>
          <w:rtl/>
        </w:rPr>
        <w:t>.</w:t>
      </w:r>
      <w:r>
        <w:rPr>
          <w:rtl/>
        </w:rPr>
        <w:tab/>
      </w:r>
      <w:r>
        <w:rPr>
          <w:rFonts w:hint="cs"/>
          <w:rtl/>
        </w:rPr>
        <w:t xml:space="preserve">על פי קידושין נו, ב: "פן תקדש </w:t>
      </w:r>
      <w:r>
        <w:rPr>
          <w:rtl/>
        </w:rPr>
        <w:t>–</w:t>
      </w:r>
      <w:r>
        <w:rPr>
          <w:rFonts w:hint="cs"/>
          <w:rtl/>
        </w:rPr>
        <w:t xml:space="preserve"> פן </w:t>
      </w:r>
      <w:proofErr w:type="spellStart"/>
      <w:r>
        <w:rPr>
          <w:rFonts w:hint="cs"/>
          <w:rtl/>
        </w:rPr>
        <w:t>תוקד</w:t>
      </w:r>
      <w:proofErr w:type="spellEnd"/>
      <w:r>
        <w:rPr>
          <w:rFonts w:hint="cs"/>
          <w:rtl/>
        </w:rPr>
        <w:t xml:space="preserve"> אש".</w:t>
      </w:r>
    </w:p>
  </w:endnote>
  <w:endnote w:id="7">
    <w:p w:rsidR="00250909" w:rsidRDefault="00250909" w:rsidP="00250909">
      <w:pPr>
        <w:pStyle w:val="a5"/>
        <w:rPr>
          <w:rFonts w:hint="cs"/>
          <w:rtl/>
        </w:rPr>
      </w:pPr>
      <w:r>
        <w:rPr>
          <w:rtl/>
        </w:rPr>
        <w:tab/>
      </w:r>
      <w:r w:rsidRPr="004377AB">
        <w:rPr>
          <w:rtl/>
        </w:rPr>
        <w:endnoteRef/>
      </w:r>
      <w:r>
        <w:rPr>
          <w:rtl/>
        </w:rPr>
        <w:t>.</w:t>
      </w:r>
      <w:r>
        <w:rPr>
          <w:rtl/>
        </w:rPr>
        <w:tab/>
      </w:r>
      <w:r>
        <w:rPr>
          <w:rFonts w:hint="cs"/>
          <w:rtl/>
        </w:rPr>
        <w:t xml:space="preserve">ירמיה ב, </w:t>
      </w:r>
      <w:proofErr w:type="spellStart"/>
      <w:r>
        <w:rPr>
          <w:rFonts w:hint="cs"/>
          <w:rtl/>
        </w:rPr>
        <w:t>כא</w:t>
      </w:r>
      <w:proofErr w:type="spellEnd"/>
      <w:r>
        <w:rPr>
          <w:rFonts w:hint="cs"/>
          <w:rtl/>
        </w:rPr>
        <w:t>.</w:t>
      </w:r>
    </w:p>
  </w:endnote>
  <w:endnote w:id="8">
    <w:p w:rsidR="00250909" w:rsidRDefault="00250909" w:rsidP="00250909">
      <w:pPr>
        <w:pStyle w:val="a5"/>
        <w:rPr>
          <w:rFonts w:hint="cs"/>
          <w:rtl/>
        </w:rPr>
      </w:pPr>
      <w:r>
        <w:rPr>
          <w:rtl/>
        </w:rPr>
        <w:tab/>
      </w:r>
      <w:r w:rsidRPr="004377AB">
        <w:rPr>
          <w:rtl/>
        </w:rPr>
        <w:endnoteRef/>
      </w:r>
      <w:r>
        <w:rPr>
          <w:rtl/>
        </w:rPr>
        <w:t>.</w:t>
      </w:r>
      <w:r>
        <w:rPr>
          <w:rtl/>
        </w:rPr>
        <w:tab/>
      </w:r>
      <w:r>
        <w:rPr>
          <w:rFonts w:hint="cs"/>
          <w:rtl/>
        </w:rPr>
        <w:t>ראה רש"י לבראשית מט, כה</w:t>
      </w:r>
    </w:p>
  </w:endnote>
  <w:endnote w:id="9">
    <w:p w:rsidR="00250909" w:rsidRDefault="00250909" w:rsidP="00250909">
      <w:pPr>
        <w:pStyle w:val="a5"/>
        <w:rPr>
          <w:rFonts w:hint="cs"/>
          <w:rtl/>
        </w:rPr>
      </w:pPr>
      <w:r>
        <w:rPr>
          <w:rtl/>
        </w:rPr>
        <w:tab/>
      </w:r>
      <w:r w:rsidRPr="004377AB">
        <w:rPr>
          <w:rtl/>
        </w:rPr>
        <w:endnoteRef/>
      </w:r>
      <w:r>
        <w:rPr>
          <w:rtl/>
        </w:rPr>
        <w:t>.</w:t>
      </w:r>
      <w:r>
        <w:rPr>
          <w:rtl/>
        </w:rPr>
        <w:tab/>
      </w:r>
      <w:r>
        <w:rPr>
          <w:rFonts w:hint="cs"/>
          <w:rtl/>
        </w:rPr>
        <w:t xml:space="preserve">ראה זהר </w:t>
      </w:r>
      <w:proofErr w:type="spellStart"/>
      <w:r>
        <w:rPr>
          <w:rFonts w:hint="cs"/>
          <w:rtl/>
        </w:rPr>
        <w:t>ח"ג</w:t>
      </w:r>
      <w:proofErr w:type="spellEnd"/>
      <w:r>
        <w:rPr>
          <w:rFonts w:hint="cs"/>
          <w:rtl/>
        </w:rPr>
        <w:t xml:space="preserve"> </w:t>
      </w:r>
      <w:proofErr w:type="spellStart"/>
      <w:r>
        <w:rPr>
          <w:rFonts w:hint="cs"/>
          <w:rtl/>
        </w:rPr>
        <w:t>רנז</w:t>
      </w:r>
      <w:proofErr w:type="spellEnd"/>
      <w:r>
        <w:rPr>
          <w:rFonts w:hint="cs"/>
          <w:rtl/>
        </w:rPr>
        <w:t xml:space="preserve">, א; </w:t>
      </w:r>
      <w:proofErr w:type="spellStart"/>
      <w:r>
        <w:rPr>
          <w:rFonts w:hint="cs"/>
          <w:rtl/>
        </w:rPr>
        <w:t>רפג</w:t>
      </w:r>
      <w:proofErr w:type="spellEnd"/>
      <w:r>
        <w:rPr>
          <w:rFonts w:hint="cs"/>
          <w:rtl/>
        </w:rPr>
        <w:t>, א ובכ"ד. ראה באריכות שכינה ביניהם פ"א.</w:t>
      </w:r>
    </w:p>
  </w:endnote>
  <w:endnote w:id="10">
    <w:p w:rsidR="00250909" w:rsidRDefault="00250909" w:rsidP="00250909">
      <w:pPr>
        <w:pStyle w:val="a5"/>
        <w:rPr>
          <w:rFonts w:hint="cs"/>
        </w:rPr>
      </w:pPr>
      <w:r>
        <w:rPr>
          <w:rtl/>
        </w:rPr>
        <w:tab/>
      </w:r>
      <w:r w:rsidRPr="004377AB">
        <w:rPr>
          <w:rtl/>
        </w:rPr>
        <w:endnoteRef/>
      </w:r>
      <w:r>
        <w:rPr>
          <w:rtl/>
        </w:rPr>
        <w:t>.</w:t>
      </w:r>
      <w:r>
        <w:rPr>
          <w:rtl/>
        </w:rPr>
        <w:tab/>
      </w:r>
      <w:r>
        <w:rPr>
          <w:rFonts w:hint="cs"/>
          <w:rtl/>
        </w:rPr>
        <w:t xml:space="preserve">ראה סוד הוי' </w:t>
      </w:r>
      <w:proofErr w:type="spellStart"/>
      <w:r>
        <w:rPr>
          <w:rFonts w:hint="cs"/>
          <w:rtl/>
        </w:rPr>
        <w:t>ליראיו</w:t>
      </w:r>
      <w:proofErr w:type="spellEnd"/>
      <w:r>
        <w:rPr>
          <w:rFonts w:hint="cs"/>
          <w:rtl/>
        </w:rPr>
        <w:t xml:space="preserve"> שער א ובספר הנפש </w:t>
      </w:r>
      <w:proofErr w:type="spellStart"/>
      <w:r>
        <w:rPr>
          <w:rFonts w:hint="cs"/>
          <w:rtl/>
        </w:rPr>
        <w:t>פי"ג</w:t>
      </w:r>
      <w:proofErr w:type="spellEnd"/>
      <w:r>
        <w:rPr>
          <w:rFonts w:hint="cs"/>
          <w:rtl/>
        </w:rPr>
        <w:t>.</w:t>
      </w:r>
    </w:p>
  </w:endnote>
  <w:endnote w:id="11">
    <w:p w:rsidR="00250909" w:rsidRDefault="00250909" w:rsidP="00250909">
      <w:pPr>
        <w:pStyle w:val="a5"/>
        <w:rPr>
          <w:rFonts w:hint="cs"/>
        </w:rPr>
      </w:pPr>
      <w:r>
        <w:rPr>
          <w:rtl/>
        </w:rPr>
        <w:tab/>
      </w:r>
      <w:r w:rsidRPr="004377AB">
        <w:rPr>
          <w:rtl/>
        </w:rPr>
        <w:endnoteRef/>
      </w:r>
      <w:r>
        <w:rPr>
          <w:rtl/>
        </w:rPr>
        <w:t>.</w:t>
      </w:r>
      <w:r>
        <w:rPr>
          <w:rtl/>
        </w:rPr>
        <w:tab/>
      </w:r>
      <w:r>
        <w:rPr>
          <w:rFonts w:hint="cs"/>
          <w:rtl/>
        </w:rPr>
        <w:t>וראה עוד בתורה "אש ממים".</w:t>
      </w:r>
    </w:p>
  </w:endnote>
  <w:endnote w:id="12">
    <w:p w:rsidR="00250909" w:rsidRDefault="00250909" w:rsidP="00250909">
      <w:pPr>
        <w:pStyle w:val="a5"/>
        <w:rPr>
          <w:rFonts w:hint="cs"/>
          <w:rtl/>
        </w:rPr>
      </w:pPr>
      <w:r>
        <w:rPr>
          <w:rtl/>
        </w:rPr>
        <w:tab/>
      </w:r>
      <w:r w:rsidRPr="004377AB">
        <w:rPr>
          <w:rtl/>
        </w:rPr>
        <w:endnoteRef/>
      </w:r>
      <w:r>
        <w:rPr>
          <w:rtl/>
        </w:rPr>
        <w:t>.</w:t>
      </w:r>
      <w:r>
        <w:rPr>
          <w:rtl/>
        </w:rPr>
        <w:tab/>
      </w:r>
      <w:r>
        <w:rPr>
          <w:rFonts w:hint="cs"/>
          <w:rtl/>
        </w:rPr>
        <w:t>לוח "היום יום" כ' אדר שני.</w:t>
      </w:r>
    </w:p>
  </w:endnote>
  <w:endnote w:id="13">
    <w:p w:rsidR="00250909" w:rsidRDefault="00250909" w:rsidP="00250909">
      <w:pPr>
        <w:pStyle w:val="a5"/>
        <w:rPr>
          <w:rFonts w:hint="cs"/>
          <w:rtl/>
        </w:rPr>
      </w:pPr>
      <w:r>
        <w:rPr>
          <w:rtl/>
        </w:rPr>
        <w:tab/>
      </w:r>
      <w:r w:rsidRPr="004377AB">
        <w:rPr>
          <w:rtl/>
        </w:rPr>
        <w:endnoteRef/>
      </w:r>
      <w:r>
        <w:rPr>
          <w:rtl/>
        </w:rPr>
        <w:t>.</w:t>
      </w:r>
      <w:r>
        <w:rPr>
          <w:rtl/>
        </w:rPr>
        <w:tab/>
      </w:r>
      <w:r>
        <w:rPr>
          <w:rFonts w:hint="cs"/>
          <w:rtl/>
        </w:rPr>
        <w:t xml:space="preserve">שבת סד, ב (וראה יין משמח </w:t>
      </w:r>
      <w:proofErr w:type="spellStart"/>
      <w:r>
        <w:rPr>
          <w:rFonts w:hint="cs"/>
          <w:rtl/>
        </w:rPr>
        <w:t>ח"ב</w:t>
      </w:r>
      <w:proofErr w:type="spellEnd"/>
      <w:r>
        <w:rPr>
          <w:rFonts w:hint="cs"/>
          <w:rtl/>
        </w:rPr>
        <w:t xml:space="preserve"> שער ג בתורה "נותן עיניו בה"). ראה גם לקמן בתורה "ובלבד שתעטרונו בזהובים".</w:t>
      </w:r>
    </w:p>
  </w:endnote>
  <w:endnote w:id="14">
    <w:p w:rsidR="00250909" w:rsidRDefault="00250909" w:rsidP="00250909">
      <w:pPr>
        <w:pStyle w:val="a5"/>
        <w:rPr>
          <w:rFonts w:hint="cs"/>
          <w:rtl/>
        </w:rPr>
      </w:pPr>
      <w:r>
        <w:rPr>
          <w:rtl/>
        </w:rPr>
        <w:tab/>
      </w:r>
      <w:r w:rsidRPr="004377AB">
        <w:rPr>
          <w:rtl/>
        </w:rPr>
        <w:endnoteRef/>
      </w:r>
      <w:r>
        <w:rPr>
          <w:rtl/>
        </w:rPr>
        <w:t>.</w:t>
      </w:r>
      <w:r>
        <w:rPr>
          <w:rtl/>
        </w:rPr>
        <w:tab/>
      </w:r>
      <w:r>
        <w:rPr>
          <w:rFonts w:hint="cs"/>
          <w:rtl/>
        </w:rPr>
        <w:t xml:space="preserve">במדבר </w:t>
      </w:r>
      <w:proofErr w:type="spellStart"/>
      <w:r>
        <w:rPr>
          <w:rFonts w:hint="cs"/>
          <w:rtl/>
        </w:rPr>
        <w:t>יח</w:t>
      </w:r>
      <w:proofErr w:type="spellEnd"/>
      <w:r>
        <w:rPr>
          <w:rFonts w:hint="cs"/>
          <w:rtl/>
        </w:rPr>
        <w:t>, ז.</w:t>
      </w:r>
    </w:p>
  </w:endnote>
  <w:endnote w:id="15">
    <w:p w:rsidR="00250909" w:rsidRDefault="00250909" w:rsidP="00250909">
      <w:pPr>
        <w:pStyle w:val="a5"/>
        <w:rPr>
          <w:rFonts w:hint="cs"/>
        </w:rPr>
      </w:pPr>
      <w:r>
        <w:rPr>
          <w:rtl/>
        </w:rPr>
        <w:tab/>
      </w:r>
      <w:r w:rsidRPr="004377AB">
        <w:rPr>
          <w:rtl/>
        </w:rPr>
        <w:endnoteRef/>
      </w:r>
      <w:r>
        <w:rPr>
          <w:rtl/>
        </w:rPr>
        <w:t>.</w:t>
      </w:r>
      <w:r>
        <w:rPr>
          <w:rtl/>
        </w:rPr>
        <w:tab/>
      </w:r>
      <w:r>
        <w:rPr>
          <w:rFonts w:hint="cs"/>
          <w:rtl/>
        </w:rPr>
        <w:t xml:space="preserve">ראה תניא </w:t>
      </w:r>
      <w:proofErr w:type="spellStart"/>
      <w:r>
        <w:rPr>
          <w:rFonts w:hint="cs"/>
          <w:rtl/>
        </w:rPr>
        <w:t>פי"ד</w:t>
      </w:r>
      <w:proofErr w:type="spellEnd"/>
      <w:r>
        <w:rPr>
          <w:rFonts w:hint="cs"/>
          <w:rtl/>
        </w:rPr>
        <w:t xml:space="preserve"> ובכ"ד.</w:t>
      </w:r>
    </w:p>
  </w:endnote>
  <w:endnote w:id="16">
    <w:p w:rsidR="00250909" w:rsidRDefault="00250909" w:rsidP="00250909">
      <w:pPr>
        <w:pStyle w:val="a5"/>
        <w:rPr>
          <w:rFonts w:hint="cs"/>
          <w:rtl/>
        </w:rPr>
      </w:pPr>
      <w:r>
        <w:rPr>
          <w:rtl/>
        </w:rPr>
        <w:tab/>
      </w:r>
      <w:r w:rsidRPr="004377AB">
        <w:rPr>
          <w:rtl/>
        </w:rPr>
        <w:endnoteRef/>
      </w:r>
      <w:r>
        <w:rPr>
          <w:rtl/>
        </w:rPr>
        <w:t>.</w:t>
      </w:r>
      <w:r>
        <w:rPr>
          <w:rtl/>
        </w:rPr>
        <w:tab/>
      </w:r>
      <w:r>
        <w:rPr>
          <w:rFonts w:hint="cs"/>
          <w:rtl/>
        </w:rPr>
        <w:t>מכילתא בחדש ד, וראה לעיל שער ה בתורה "משחקת לפניו בכל עת".</w:t>
      </w:r>
    </w:p>
  </w:endnote>
  <w:endnote w:id="17">
    <w:p w:rsidR="00250909" w:rsidRDefault="00250909" w:rsidP="00250909">
      <w:pPr>
        <w:pStyle w:val="a5"/>
        <w:rPr>
          <w:rFonts w:hint="cs"/>
          <w:rtl/>
        </w:rPr>
      </w:pPr>
      <w:r>
        <w:rPr>
          <w:rtl/>
        </w:rPr>
        <w:tab/>
      </w:r>
      <w:r w:rsidRPr="004377AB">
        <w:rPr>
          <w:rtl/>
        </w:rPr>
        <w:endnoteRef/>
      </w:r>
      <w:r>
        <w:rPr>
          <w:rtl/>
        </w:rPr>
        <w:t>.</w:t>
      </w:r>
      <w:r>
        <w:rPr>
          <w:rtl/>
        </w:rPr>
        <w:tab/>
      </w:r>
      <w:r>
        <w:rPr>
          <w:rFonts w:hint="cs"/>
          <w:rtl/>
        </w:rPr>
        <w:t xml:space="preserve">וראה על יחוד שבבחינת </w:t>
      </w:r>
      <w:r w:rsidRPr="007C3BD7">
        <w:rPr>
          <w:rFonts w:hint="cs"/>
          <w:b/>
          <w:bCs/>
          <w:sz w:val="24"/>
          <w:szCs w:val="24"/>
          <w:rtl/>
        </w:rPr>
        <w:t>יה</w:t>
      </w:r>
      <w:r>
        <w:rPr>
          <w:rFonts w:hint="cs"/>
          <w:rtl/>
        </w:rPr>
        <w:t xml:space="preserve"> בזמן הריחוק גם בתורה הקודמת ובשער ה בתורות "עליה אין סופית" ו"בדרך למודעות טבעית".</w:t>
      </w:r>
    </w:p>
  </w:endnote>
  <w:endnote w:id="18">
    <w:p w:rsidR="00250909" w:rsidRDefault="00250909" w:rsidP="00250909">
      <w:pPr>
        <w:pStyle w:val="a5"/>
        <w:rPr>
          <w:rFonts w:hint="cs"/>
          <w:rtl/>
        </w:rPr>
      </w:pPr>
      <w:r>
        <w:rPr>
          <w:rtl/>
        </w:rPr>
        <w:tab/>
      </w:r>
      <w:r w:rsidRPr="004377AB">
        <w:rPr>
          <w:rtl/>
        </w:rPr>
        <w:endnoteRef/>
      </w:r>
      <w:r>
        <w:rPr>
          <w:rtl/>
        </w:rPr>
        <w:t>.</w:t>
      </w:r>
      <w:r>
        <w:rPr>
          <w:rtl/>
        </w:rPr>
        <w:tab/>
      </w:r>
      <w:r>
        <w:rPr>
          <w:rFonts w:hint="cs"/>
          <w:rtl/>
        </w:rPr>
        <w:t>ראה גם בספר גוף נפש ונשמה ביאור י.</w:t>
      </w:r>
    </w:p>
  </w:endnote>
  <w:endnote w:id="19">
    <w:p w:rsidR="00250909" w:rsidRDefault="00250909" w:rsidP="00250909">
      <w:pPr>
        <w:pStyle w:val="a5"/>
        <w:rPr>
          <w:rFonts w:hint="cs"/>
          <w:rtl/>
        </w:rPr>
      </w:pPr>
      <w:r>
        <w:rPr>
          <w:rtl/>
        </w:rPr>
        <w:tab/>
      </w:r>
      <w:r w:rsidRPr="004377AB">
        <w:rPr>
          <w:rtl/>
        </w:rPr>
        <w:endnoteRef/>
      </w:r>
      <w:r>
        <w:rPr>
          <w:rtl/>
        </w:rPr>
        <w:t>.</w:t>
      </w:r>
      <w:r>
        <w:rPr>
          <w:rtl/>
        </w:rPr>
        <w:tab/>
      </w:r>
      <w:r>
        <w:rPr>
          <w:rFonts w:hint="cs"/>
          <w:rtl/>
        </w:rPr>
        <w:t xml:space="preserve">ראה </w:t>
      </w:r>
      <w:proofErr w:type="spellStart"/>
      <w:r>
        <w:rPr>
          <w:rFonts w:hint="cs"/>
          <w:rtl/>
        </w:rPr>
        <w:t>ראה</w:t>
      </w:r>
      <w:proofErr w:type="spellEnd"/>
      <w:r>
        <w:rPr>
          <w:rFonts w:hint="cs"/>
          <w:rtl/>
        </w:rPr>
        <w:t xml:space="preserve"> עץ חיים שער ל דרוש ב (מ"ב); שער לט דרוש ט, ובכ"ד (ראה גם לעיל שער ד בתורה "נוגע ואינו נוגע" </w:t>
      </w:r>
      <w:proofErr w:type="spellStart"/>
      <w:r>
        <w:rPr>
          <w:rFonts w:hint="cs"/>
          <w:rtl/>
        </w:rPr>
        <w:t>ובנסמן</w:t>
      </w:r>
      <w:proofErr w:type="spellEnd"/>
      <w:r>
        <w:rPr>
          <w:rFonts w:hint="cs"/>
          <w:rtl/>
        </w:rPr>
        <w:t xml:space="preserve"> שם בהערה </w:t>
      </w:r>
      <w:r>
        <w:rPr>
          <w:rtl/>
        </w:rPr>
        <w:fldChar w:fldCharType="begin"/>
      </w:r>
      <w:r>
        <w:rPr>
          <w:rtl/>
        </w:rPr>
        <w:instrText xml:space="preserve"> </w:instrText>
      </w:r>
      <w:r>
        <w:rPr>
          <w:rFonts w:hint="cs"/>
        </w:rPr>
        <w:instrText>NOTEREF</w:instrText>
      </w:r>
      <w:r>
        <w:rPr>
          <w:rFonts w:hint="cs"/>
          <w:rtl/>
        </w:rPr>
        <w:instrText xml:space="preserve"> _</w:instrText>
      </w:r>
      <w:r>
        <w:rPr>
          <w:rFonts w:hint="cs"/>
        </w:rPr>
        <w:instrText>Ref187586051 \h</w:instrText>
      </w:r>
      <w:r>
        <w:rPr>
          <w:rtl/>
        </w:rPr>
        <w:instrText xml:space="preserve"> </w:instrText>
      </w:r>
      <w:r>
        <w:rPr>
          <w:rtl/>
        </w:rPr>
        <w:fldChar w:fldCharType="separate"/>
      </w:r>
      <w:r>
        <w:rPr>
          <w:rtl/>
        </w:rPr>
        <w:t>כ</w:t>
      </w:r>
      <w:r>
        <w:rPr>
          <w:rtl/>
        </w:rPr>
        <w:fldChar w:fldCharType="end"/>
      </w:r>
      <w:r>
        <w:rPr>
          <w:rFonts w:hint="cs"/>
          <w:rtl/>
        </w:rPr>
        <w:t>).</w:t>
      </w:r>
    </w:p>
  </w:endnote>
  <w:endnote w:id="20">
    <w:p w:rsidR="00250909" w:rsidRDefault="00250909" w:rsidP="00250909">
      <w:pPr>
        <w:pStyle w:val="a5"/>
        <w:rPr>
          <w:rFonts w:hint="cs"/>
          <w:rtl/>
        </w:rPr>
      </w:pPr>
      <w:r>
        <w:rPr>
          <w:rtl/>
        </w:rPr>
        <w:tab/>
      </w:r>
      <w:r w:rsidRPr="004377AB">
        <w:rPr>
          <w:rtl/>
        </w:rPr>
        <w:endnoteRef/>
      </w:r>
      <w:r>
        <w:rPr>
          <w:rtl/>
        </w:rPr>
        <w:t>.</w:t>
      </w:r>
      <w:r>
        <w:rPr>
          <w:rtl/>
        </w:rPr>
        <w:tab/>
      </w:r>
      <w:r>
        <w:rPr>
          <w:rFonts w:hint="cs"/>
          <w:rtl/>
        </w:rPr>
        <w:t xml:space="preserve">כמובן, בזמן הנדה יש </w:t>
      </w:r>
      <w:proofErr w:type="spellStart"/>
      <w:r>
        <w:rPr>
          <w:rFonts w:hint="cs"/>
          <w:rtl/>
        </w:rPr>
        <w:t>להזהר</w:t>
      </w:r>
      <w:proofErr w:type="spellEnd"/>
      <w:r>
        <w:rPr>
          <w:rFonts w:hint="cs"/>
          <w:rtl/>
        </w:rPr>
        <w:t xml:space="preserve"> במיוחד מריבוי שיחה בטלה ולא-מתוקנת עם </w:t>
      </w:r>
      <w:proofErr w:type="spellStart"/>
      <w:r>
        <w:rPr>
          <w:rFonts w:hint="cs"/>
          <w:rtl/>
        </w:rPr>
        <w:t>האשה</w:t>
      </w:r>
      <w:proofErr w:type="spellEnd"/>
      <w:r>
        <w:rPr>
          <w:rFonts w:hint="cs"/>
          <w:rtl/>
        </w:rPr>
        <w:t xml:space="preserve">. בראשית חכמה (שער הקדושה </w:t>
      </w:r>
      <w:proofErr w:type="spellStart"/>
      <w:r>
        <w:rPr>
          <w:rFonts w:hint="cs"/>
          <w:rtl/>
        </w:rPr>
        <w:t>פי"ז</w:t>
      </w:r>
      <w:proofErr w:type="spellEnd"/>
      <w:r>
        <w:rPr>
          <w:rFonts w:hint="cs"/>
          <w:rtl/>
        </w:rPr>
        <w:t>) אף מובא כרמז לכך ש</w:t>
      </w:r>
      <w:r w:rsidRPr="00BF6432">
        <w:rPr>
          <w:rFonts w:hint="cs"/>
          <w:b/>
          <w:bCs/>
          <w:sz w:val="24"/>
          <w:szCs w:val="24"/>
          <w:rtl/>
        </w:rPr>
        <w:t>נדה</w:t>
      </w:r>
      <w:r>
        <w:rPr>
          <w:rFonts w:hint="cs"/>
          <w:rtl/>
        </w:rPr>
        <w:t xml:space="preserve"> הוא ר"ת "</w:t>
      </w:r>
      <w:r w:rsidRPr="00BF6432">
        <w:rPr>
          <w:rFonts w:hint="cs"/>
          <w:b/>
          <w:bCs/>
          <w:sz w:val="24"/>
          <w:szCs w:val="24"/>
          <w:rtl/>
        </w:rPr>
        <w:t>נ</w:t>
      </w:r>
      <w:r>
        <w:rPr>
          <w:rFonts w:hint="cs"/>
          <w:rtl/>
        </w:rPr>
        <w:t xml:space="preserve">אלמתי </w:t>
      </w:r>
      <w:r w:rsidRPr="00BF6432">
        <w:rPr>
          <w:rFonts w:hint="cs"/>
          <w:b/>
          <w:bCs/>
          <w:sz w:val="24"/>
          <w:szCs w:val="24"/>
          <w:rtl/>
        </w:rPr>
        <w:t>ד</w:t>
      </w:r>
      <w:r>
        <w:rPr>
          <w:rFonts w:hint="cs"/>
          <w:rtl/>
        </w:rPr>
        <w:t>ומיה [</w:t>
      </w:r>
      <w:r w:rsidRPr="00B04702">
        <w:rPr>
          <w:rStyle w:val="a4"/>
          <w:rFonts w:hint="cs"/>
          <w:rtl/>
        </w:rPr>
        <w:t>דומיה</w:t>
      </w:r>
      <w:r>
        <w:rPr>
          <w:rFonts w:hint="cs"/>
          <w:rtl/>
        </w:rPr>
        <w:t xml:space="preserve"> לשון </w:t>
      </w:r>
      <w:r w:rsidRPr="00B04702">
        <w:rPr>
          <w:rStyle w:val="a4"/>
          <w:rFonts w:hint="cs"/>
          <w:rtl/>
        </w:rPr>
        <w:t>דם</w:t>
      </w:r>
      <w:r>
        <w:rPr>
          <w:rFonts w:hint="cs"/>
          <w:rtl/>
        </w:rPr>
        <w:t xml:space="preserve">, רמז לדם נדה] </w:t>
      </w:r>
      <w:r w:rsidRPr="00BF6432">
        <w:rPr>
          <w:rFonts w:hint="cs"/>
          <w:b/>
          <w:bCs/>
          <w:sz w:val="24"/>
          <w:szCs w:val="24"/>
          <w:rtl/>
        </w:rPr>
        <w:t>ה</w:t>
      </w:r>
      <w:r>
        <w:rPr>
          <w:rFonts w:hint="cs"/>
          <w:rtl/>
        </w:rPr>
        <w:t xml:space="preserve">חשיתי" (תהלים לט, ג). אכן, דווקא אז זהו הזמן לתקן ולברר את הדבור, שיהיה לשון הקדש בתכלית, וכאשר הדבור בא מתוך שתיקה פנימית שקודמת לו הוא מבורר ומתוקן (ראה </w:t>
      </w:r>
      <w:proofErr w:type="spellStart"/>
      <w:r>
        <w:rPr>
          <w:rFonts w:hint="cs"/>
          <w:rtl/>
        </w:rPr>
        <w:t>כש"ט</w:t>
      </w:r>
      <w:proofErr w:type="spellEnd"/>
      <w:r>
        <w:rPr>
          <w:rFonts w:hint="cs"/>
          <w:rtl/>
        </w:rPr>
        <w:t xml:space="preserve"> אות </w:t>
      </w:r>
      <w:proofErr w:type="spellStart"/>
      <w:r>
        <w:rPr>
          <w:rFonts w:hint="cs"/>
          <w:rtl/>
        </w:rPr>
        <w:t>כח</w:t>
      </w:r>
      <w:proofErr w:type="spellEnd"/>
      <w:r>
        <w:rPr>
          <w:rFonts w:hint="cs"/>
          <w:rtl/>
        </w:rPr>
        <w:t xml:space="preserve"> בסוד </w:t>
      </w:r>
      <w:r w:rsidRPr="005C5EC1">
        <w:rPr>
          <w:rFonts w:hint="cs"/>
          <w:rtl/>
        </w:rPr>
        <w:t>חש</w:t>
      </w:r>
      <w:r>
        <w:rPr>
          <w:rFonts w:hint="cs"/>
          <w:rtl/>
        </w:rPr>
        <w:t>-מל, כי כאשר הרב מ</w:t>
      </w:r>
      <w:r w:rsidRPr="005C5EC1">
        <w:rPr>
          <w:rFonts w:hint="cs"/>
          <w:b/>
          <w:bCs/>
          <w:sz w:val="24"/>
          <w:szCs w:val="24"/>
          <w:rtl/>
        </w:rPr>
        <w:t>חש</w:t>
      </w:r>
      <w:r>
        <w:rPr>
          <w:rFonts w:hint="cs"/>
          <w:rtl/>
        </w:rPr>
        <w:t xml:space="preserve">ה </w:t>
      </w:r>
      <w:r w:rsidRPr="005C5EC1">
        <w:rPr>
          <w:rFonts w:hint="cs"/>
          <w:b/>
          <w:bCs/>
          <w:sz w:val="24"/>
          <w:szCs w:val="24"/>
          <w:rtl/>
        </w:rPr>
        <w:t>כאלם</w:t>
      </w:r>
      <w:r>
        <w:rPr>
          <w:rFonts w:hint="cs"/>
          <w:rtl/>
        </w:rPr>
        <w:t xml:space="preserve"> </w:t>
      </w:r>
      <w:r>
        <w:rPr>
          <w:rtl/>
        </w:rPr>
        <w:t>–</w:t>
      </w:r>
      <w:r>
        <w:rPr>
          <w:rFonts w:hint="cs"/>
          <w:rtl/>
        </w:rPr>
        <w:t xml:space="preserve"> סוד "נ</w:t>
      </w:r>
      <w:r w:rsidRPr="005C5EC1">
        <w:rPr>
          <w:rFonts w:hint="cs"/>
          <w:b/>
          <w:bCs/>
          <w:sz w:val="24"/>
          <w:szCs w:val="24"/>
          <w:rtl/>
        </w:rPr>
        <w:t>אלמ</w:t>
      </w:r>
      <w:r>
        <w:rPr>
          <w:rFonts w:hint="cs"/>
          <w:rtl/>
        </w:rPr>
        <w:t>תי… ה</w:t>
      </w:r>
      <w:r w:rsidRPr="005C5EC1">
        <w:rPr>
          <w:rFonts w:hint="cs"/>
          <w:b/>
          <w:bCs/>
          <w:sz w:val="24"/>
          <w:szCs w:val="24"/>
          <w:rtl/>
        </w:rPr>
        <w:t>חש</w:t>
      </w:r>
      <w:r>
        <w:rPr>
          <w:rFonts w:hint="cs"/>
          <w:rtl/>
        </w:rPr>
        <w:t xml:space="preserve">יתי" </w:t>
      </w:r>
      <w:r>
        <w:rPr>
          <w:rtl/>
        </w:rPr>
        <w:t>–</w:t>
      </w:r>
      <w:r>
        <w:rPr>
          <w:rFonts w:hint="cs"/>
          <w:rtl/>
        </w:rPr>
        <w:t xml:space="preserve"> לפני דבורו אזי הוא "</w:t>
      </w:r>
      <w:r w:rsidRPr="005C5EC1">
        <w:rPr>
          <w:rFonts w:hint="cs"/>
          <w:b/>
          <w:bCs/>
          <w:sz w:val="24"/>
          <w:szCs w:val="24"/>
          <w:rtl/>
        </w:rPr>
        <w:t>מלאך</w:t>
      </w:r>
      <w:r>
        <w:rPr>
          <w:rFonts w:hint="cs"/>
          <w:rtl/>
        </w:rPr>
        <w:t>" שראוי לבקש תורה מפיו).</w:t>
      </w:r>
    </w:p>
  </w:endnote>
  <w:endnote w:id="21">
    <w:p w:rsidR="00250909" w:rsidRDefault="00250909" w:rsidP="00250909">
      <w:pPr>
        <w:pStyle w:val="a5"/>
        <w:rPr>
          <w:rFonts w:hint="cs"/>
          <w:rtl/>
        </w:rPr>
      </w:pPr>
      <w:r>
        <w:rPr>
          <w:rtl/>
        </w:rPr>
        <w:tab/>
      </w:r>
      <w:r w:rsidRPr="004377AB">
        <w:rPr>
          <w:rtl/>
        </w:rPr>
        <w:endnoteRef/>
      </w:r>
      <w:r>
        <w:rPr>
          <w:rtl/>
        </w:rPr>
        <w:t>.</w:t>
      </w:r>
      <w:r>
        <w:rPr>
          <w:rtl/>
        </w:rPr>
        <w:tab/>
      </w:r>
      <w:r>
        <w:rPr>
          <w:rFonts w:hint="cs"/>
          <w:rtl/>
        </w:rPr>
        <w:t>משלי ישראל תקפח. וראה באורך בספרים שכינה ביניהם פ"ד וברית הנישואין מאמר "שלום בית" פ"ה.</w:t>
      </w:r>
    </w:p>
  </w:endnote>
  <w:endnote w:id="22">
    <w:p w:rsidR="00250909" w:rsidRDefault="00250909" w:rsidP="00250909">
      <w:pPr>
        <w:pStyle w:val="a5"/>
        <w:rPr>
          <w:rFonts w:hint="cs"/>
          <w:rtl/>
        </w:rPr>
      </w:pPr>
      <w:r>
        <w:rPr>
          <w:rtl/>
        </w:rPr>
        <w:tab/>
      </w:r>
      <w:r w:rsidRPr="004377AB">
        <w:rPr>
          <w:rtl/>
        </w:rPr>
        <w:endnoteRef/>
      </w:r>
      <w:r>
        <w:rPr>
          <w:rtl/>
        </w:rPr>
        <w:t>.</w:t>
      </w:r>
      <w:r>
        <w:rPr>
          <w:rtl/>
        </w:rPr>
        <w:tab/>
      </w:r>
      <w:r>
        <w:rPr>
          <w:rFonts w:hint="cs"/>
          <w:rtl/>
        </w:rPr>
        <w:t>וראה עוד בהקדמת ברית הנישואין.</w:t>
      </w:r>
    </w:p>
  </w:endnote>
  <w:endnote w:id="23">
    <w:p w:rsidR="00250909" w:rsidRDefault="00250909" w:rsidP="00250909">
      <w:pPr>
        <w:pStyle w:val="a5"/>
        <w:rPr>
          <w:rFonts w:hint="cs"/>
          <w:rtl/>
        </w:rPr>
      </w:pPr>
      <w:r>
        <w:rPr>
          <w:rtl/>
        </w:rPr>
        <w:tab/>
      </w:r>
      <w:r w:rsidRPr="004377AB">
        <w:rPr>
          <w:rtl/>
        </w:rPr>
        <w:endnoteRef/>
      </w:r>
      <w:r>
        <w:rPr>
          <w:rtl/>
        </w:rPr>
        <w:t>.</w:t>
      </w:r>
      <w:r>
        <w:rPr>
          <w:rtl/>
        </w:rPr>
        <w:tab/>
      </w:r>
      <w:r>
        <w:rPr>
          <w:rFonts w:hint="cs"/>
          <w:rtl/>
        </w:rPr>
        <w:t xml:space="preserve">ראה סנהדרין </w:t>
      </w:r>
      <w:proofErr w:type="spellStart"/>
      <w:r>
        <w:rPr>
          <w:rFonts w:hint="cs"/>
          <w:rtl/>
        </w:rPr>
        <w:t>לז</w:t>
      </w:r>
      <w:proofErr w:type="spellEnd"/>
      <w:r>
        <w:rPr>
          <w:rFonts w:hint="cs"/>
          <w:rtl/>
        </w:rPr>
        <w:t xml:space="preserve">, א </w:t>
      </w:r>
      <w:proofErr w:type="spellStart"/>
      <w:r>
        <w:rPr>
          <w:rFonts w:hint="cs"/>
          <w:rtl/>
        </w:rPr>
        <w:t>תוס</w:t>
      </w:r>
      <w:proofErr w:type="spellEnd"/>
      <w:r>
        <w:rPr>
          <w:rFonts w:hint="cs"/>
          <w:rtl/>
        </w:rPr>
        <w:t>' ד"ה "התורה העידה עלינו סוגה בשושנים".</w:t>
      </w:r>
    </w:p>
  </w:endnote>
  <w:endnote w:id="24">
    <w:p w:rsidR="00250909" w:rsidRDefault="00250909" w:rsidP="00250909">
      <w:pPr>
        <w:pStyle w:val="a5"/>
        <w:rPr>
          <w:rFonts w:hint="cs"/>
          <w:rtl/>
        </w:rPr>
      </w:pPr>
      <w:r>
        <w:rPr>
          <w:rtl/>
        </w:rPr>
        <w:tab/>
      </w:r>
      <w:r w:rsidRPr="004377AB">
        <w:rPr>
          <w:rtl/>
        </w:rPr>
        <w:endnoteRef/>
      </w:r>
      <w:r>
        <w:rPr>
          <w:rtl/>
        </w:rPr>
        <w:t>.</w:t>
      </w:r>
      <w:r>
        <w:rPr>
          <w:rtl/>
        </w:rPr>
        <w:tab/>
      </w:r>
      <w:r w:rsidRPr="00B46B4B">
        <w:rPr>
          <w:rFonts w:hint="cs"/>
          <w:rtl/>
        </w:rPr>
        <w:t xml:space="preserve">בדומה למבואר </w:t>
      </w:r>
      <w:r>
        <w:rPr>
          <w:rFonts w:hint="cs"/>
          <w:rtl/>
        </w:rPr>
        <w:t xml:space="preserve">אודות מגמת </w:t>
      </w:r>
      <w:proofErr w:type="spellStart"/>
      <w:r>
        <w:rPr>
          <w:rFonts w:hint="cs"/>
          <w:rtl/>
        </w:rPr>
        <w:t>העליה</w:t>
      </w:r>
      <w:proofErr w:type="spellEnd"/>
      <w:r>
        <w:rPr>
          <w:rFonts w:hint="cs"/>
          <w:rtl/>
        </w:rPr>
        <w:t xml:space="preserve"> של הנסתר מ</w:t>
      </w:r>
      <w:r w:rsidRPr="00B46B4B">
        <w:rPr>
          <w:rFonts w:hint="cs"/>
          <w:rtl/>
        </w:rPr>
        <w:t>"כל מעשיך יהיו לשם שמים"</w:t>
      </w:r>
      <w:r>
        <w:rPr>
          <w:rFonts w:hint="cs"/>
          <w:rtl/>
        </w:rPr>
        <w:t xml:space="preserve"> (אבות פ"ב מי"ב)</w:t>
      </w:r>
      <w:r w:rsidRPr="00B46B4B">
        <w:rPr>
          <w:rFonts w:hint="cs"/>
          <w:rtl/>
        </w:rPr>
        <w:t xml:space="preserve">, במבט על תכלית עתידית, ל"בכל דרכיך </w:t>
      </w:r>
      <w:proofErr w:type="spellStart"/>
      <w:r w:rsidRPr="00B46B4B">
        <w:rPr>
          <w:rFonts w:hint="cs"/>
          <w:rtl/>
        </w:rPr>
        <w:t>דעהו</w:t>
      </w:r>
      <w:proofErr w:type="spellEnd"/>
      <w:r w:rsidRPr="00B46B4B">
        <w:rPr>
          <w:rFonts w:hint="cs"/>
          <w:rtl/>
        </w:rPr>
        <w:t>"</w:t>
      </w:r>
      <w:r>
        <w:rPr>
          <w:rFonts w:hint="cs"/>
          <w:rtl/>
        </w:rPr>
        <w:t xml:space="preserve"> (משלי ג, ו), בכל רגע ורגע ממש. ראה לקו"ש </w:t>
      </w:r>
      <w:proofErr w:type="spellStart"/>
      <w:r>
        <w:rPr>
          <w:rFonts w:hint="cs"/>
          <w:rtl/>
        </w:rPr>
        <w:t>ח"ג</w:t>
      </w:r>
      <w:proofErr w:type="spellEnd"/>
      <w:r>
        <w:rPr>
          <w:rFonts w:hint="cs"/>
          <w:rtl/>
        </w:rPr>
        <w:t xml:space="preserve"> עמ' 907 ועמ' 932, ח"י עמ' 104 ואילך, ובספרים תשובת השנה מאמר "בכל דרכיך </w:t>
      </w:r>
      <w:proofErr w:type="spellStart"/>
      <w:r>
        <w:rPr>
          <w:rFonts w:hint="cs"/>
          <w:rtl/>
        </w:rPr>
        <w:t>דעהו</w:t>
      </w:r>
      <w:proofErr w:type="spellEnd"/>
      <w:r>
        <w:rPr>
          <w:rFonts w:hint="cs"/>
          <w:rtl/>
        </w:rPr>
        <w:t xml:space="preserve">" פ"ג ומודעות טבעית ביאור ד למאמר "גולה וגאולה" (וראה גם הטבע היהודי עמ' </w:t>
      </w:r>
      <w:proofErr w:type="spellStart"/>
      <w:r>
        <w:rPr>
          <w:rFonts w:hint="cs"/>
          <w:rtl/>
        </w:rPr>
        <w:t>רג</w:t>
      </w:r>
      <w:proofErr w:type="spellEnd"/>
      <w:r>
        <w:rPr>
          <w:rFonts w:hint="cs"/>
          <w:rtl/>
        </w:rPr>
        <w:t>).</w:t>
      </w:r>
    </w:p>
  </w:endnote>
  <w:endnote w:id="25">
    <w:p w:rsidR="00250909" w:rsidRDefault="00250909" w:rsidP="00250909">
      <w:pPr>
        <w:pStyle w:val="a5"/>
        <w:rPr>
          <w:rFonts w:hint="cs"/>
          <w:rtl/>
        </w:rPr>
      </w:pPr>
      <w:r>
        <w:rPr>
          <w:rtl/>
        </w:rPr>
        <w:tab/>
      </w:r>
      <w:r w:rsidRPr="004377AB">
        <w:rPr>
          <w:rtl/>
        </w:rPr>
        <w:endnoteRef/>
      </w:r>
      <w:r>
        <w:rPr>
          <w:rtl/>
        </w:rPr>
        <w:t>.</w:t>
      </w:r>
      <w:r>
        <w:rPr>
          <w:rtl/>
        </w:rPr>
        <w:tab/>
      </w:r>
      <w:r>
        <w:rPr>
          <w:rFonts w:hint="cs"/>
          <w:rtl/>
        </w:rPr>
        <w:t>מנוסח ברכת הנישואין.</w:t>
      </w:r>
    </w:p>
  </w:endnote>
  <w:endnote w:id="26">
    <w:p w:rsidR="00250909" w:rsidRDefault="00250909" w:rsidP="00250909">
      <w:pPr>
        <w:pStyle w:val="a5"/>
        <w:rPr>
          <w:rFonts w:hint="cs"/>
          <w:rtl/>
        </w:rPr>
      </w:pPr>
      <w:r>
        <w:rPr>
          <w:rtl/>
        </w:rPr>
        <w:tab/>
      </w:r>
      <w:r w:rsidRPr="004377AB">
        <w:rPr>
          <w:rtl/>
        </w:rPr>
        <w:endnoteRef/>
      </w:r>
      <w:r>
        <w:rPr>
          <w:rtl/>
        </w:rPr>
        <w:t>.</w:t>
      </w:r>
      <w:r>
        <w:rPr>
          <w:rtl/>
        </w:rPr>
        <w:tab/>
      </w:r>
      <w:r>
        <w:rPr>
          <w:rFonts w:hint="cs"/>
          <w:rtl/>
        </w:rPr>
        <w:t>ראה שכינה ביניהם פ"ד, וראה שער ה בתורה "בדרך למודעות טבעית".</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Guttman-Soncino"/>
    <w:charset w:val="B1"/>
    <w:family w:val="auto"/>
    <w:pitch w:val="variable"/>
    <w:sig w:usb0="00001801"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5F8" w:rsidRDefault="00B525F8" w:rsidP="00250909">
      <w:pPr>
        <w:spacing w:after="0" w:line="240" w:lineRule="auto"/>
      </w:pPr>
      <w:r>
        <w:separator/>
      </w:r>
    </w:p>
  </w:footnote>
  <w:footnote w:type="continuationSeparator" w:id="0">
    <w:p w:rsidR="00B525F8" w:rsidRDefault="00B525F8" w:rsidP="002509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EA0"/>
    <w:rsid w:val="00061E65"/>
    <w:rsid w:val="00250909"/>
    <w:rsid w:val="00AC2310"/>
    <w:rsid w:val="00B525F8"/>
    <w:rsid w:val="00E54E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250909"/>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250909"/>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250909"/>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250909"/>
    <w:rPr>
      <w:rFonts w:cs="MiriamMFO"/>
      <w:w w:val="100"/>
      <w:sz w:val="21"/>
      <w:szCs w:val="23"/>
    </w:rPr>
  </w:style>
  <w:style w:type="character" w:customStyle="1" w:styleId="a4">
    <w:name w:val="מרים הערות שוליים"/>
    <w:basedOn w:val="a0"/>
    <w:rsid w:val="00250909"/>
    <w:rPr>
      <w:rFonts w:cs="MiriamMFO"/>
      <w:sz w:val="20"/>
      <w:szCs w:val="19"/>
      <w:lang w:eastAsia="en-US"/>
    </w:rPr>
  </w:style>
  <w:style w:type="paragraph" w:styleId="a5">
    <w:name w:val="endnote text"/>
    <w:aliases w:val="Endnote Text"/>
    <w:basedOn w:val="a"/>
    <w:link w:val="a6"/>
    <w:semiHidden/>
    <w:rsid w:val="00250909"/>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250909"/>
    <w:rPr>
      <w:rFonts w:ascii="Times New Roman" w:eastAsia="Times New Roman" w:hAnsi="Times New Roman" w:cs="FrankRuehl"/>
      <w:sz w:val="20"/>
      <w:szCs w:val="23"/>
      <w:lang w:eastAsia="he-IL"/>
    </w:rPr>
  </w:style>
  <w:style w:type="character" w:styleId="a7">
    <w:name w:val="endnote reference"/>
    <w:aliases w:val="Endnote Reference"/>
    <w:basedOn w:val="a8"/>
    <w:semiHidden/>
    <w:rsid w:val="00250909"/>
    <w:rPr>
      <w:noProof/>
      <w:position w:val="-4"/>
      <w:szCs w:val="27"/>
      <w:vertAlign w:val="superscript"/>
    </w:rPr>
  </w:style>
  <w:style w:type="paragraph" w:customStyle="1" w:styleId="a9">
    <w:name w:val="פתיח תו"/>
    <w:basedOn w:val="a"/>
    <w:link w:val="aa"/>
    <w:rsid w:val="00250909"/>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a">
    <w:name w:val="פתיח תו תו"/>
    <w:basedOn w:val="a0"/>
    <w:link w:val="a9"/>
    <w:rsid w:val="00250909"/>
    <w:rPr>
      <w:rFonts w:ascii="Times New Roman" w:eastAsia="Times New Roman" w:hAnsi="Times New Roman" w:cs="Guttman Soncino"/>
      <w:b/>
      <w:bCs/>
      <w:color w:val="808080"/>
      <w:position w:val="-5"/>
      <w:sz w:val="85"/>
      <w:szCs w:val="85"/>
      <w:lang w:eastAsia="he-IL"/>
    </w:rPr>
  </w:style>
  <w:style w:type="character" w:styleId="a8">
    <w:name w:val="footnote reference"/>
    <w:basedOn w:val="a0"/>
    <w:uiPriority w:val="99"/>
    <w:semiHidden/>
    <w:unhideWhenUsed/>
    <w:rsid w:val="0025090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250909"/>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250909"/>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250909"/>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250909"/>
    <w:rPr>
      <w:rFonts w:cs="MiriamMFO"/>
      <w:w w:val="100"/>
      <w:sz w:val="21"/>
      <w:szCs w:val="23"/>
    </w:rPr>
  </w:style>
  <w:style w:type="character" w:customStyle="1" w:styleId="a4">
    <w:name w:val="מרים הערות שוליים"/>
    <w:basedOn w:val="a0"/>
    <w:rsid w:val="00250909"/>
    <w:rPr>
      <w:rFonts w:cs="MiriamMFO"/>
      <w:sz w:val="20"/>
      <w:szCs w:val="19"/>
      <w:lang w:eastAsia="en-US"/>
    </w:rPr>
  </w:style>
  <w:style w:type="paragraph" w:styleId="a5">
    <w:name w:val="endnote text"/>
    <w:aliases w:val="Endnote Text"/>
    <w:basedOn w:val="a"/>
    <w:link w:val="a6"/>
    <w:semiHidden/>
    <w:rsid w:val="00250909"/>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250909"/>
    <w:rPr>
      <w:rFonts w:ascii="Times New Roman" w:eastAsia="Times New Roman" w:hAnsi="Times New Roman" w:cs="FrankRuehl"/>
      <w:sz w:val="20"/>
      <w:szCs w:val="23"/>
      <w:lang w:eastAsia="he-IL"/>
    </w:rPr>
  </w:style>
  <w:style w:type="character" w:styleId="a7">
    <w:name w:val="endnote reference"/>
    <w:aliases w:val="Endnote Reference"/>
    <w:basedOn w:val="a8"/>
    <w:semiHidden/>
    <w:rsid w:val="00250909"/>
    <w:rPr>
      <w:noProof/>
      <w:position w:val="-4"/>
      <w:szCs w:val="27"/>
      <w:vertAlign w:val="superscript"/>
    </w:rPr>
  </w:style>
  <w:style w:type="paragraph" w:customStyle="1" w:styleId="a9">
    <w:name w:val="פתיח תו"/>
    <w:basedOn w:val="a"/>
    <w:link w:val="aa"/>
    <w:rsid w:val="00250909"/>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a">
    <w:name w:val="פתיח תו תו"/>
    <w:basedOn w:val="a0"/>
    <w:link w:val="a9"/>
    <w:rsid w:val="00250909"/>
    <w:rPr>
      <w:rFonts w:ascii="Times New Roman" w:eastAsia="Times New Roman" w:hAnsi="Times New Roman" w:cs="Guttman Soncino"/>
      <w:b/>
      <w:bCs/>
      <w:color w:val="808080"/>
      <w:position w:val="-5"/>
      <w:sz w:val="85"/>
      <w:szCs w:val="85"/>
      <w:lang w:eastAsia="he-IL"/>
    </w:rPr>
  </w:style>
  <w:style w:type="character" w:styleId="a8">
    <w:name w:val="footnote reference"/>
    <w:basedOn w:val="a0"/>
    <w:uiPriority w:val="99"/>
    <w:semiHidden/>
    <w:unhideWhenUsed/>
    <w:rsid w:val="002509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743</Words>
  <Characters>3717</Characters>
  <Application>Microsoft Office Word</Application>
  <DocSecurity>0</DocSecurity>
  <Lines>30</Lines>
  <Paragraphs>8</Paragraphs>
  <ScaleCrop>false</ScaleCrop>
  <Company/>
  <LinksUpToDate>false</LinksUpToDate>
  <CharactersWithSpaces>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2017-08-15T16:46:00Z</dcterms:created>
  <dcterms:modified xsi:type="dcterms:W3CDTF">2017-08-15T16:46:00Z</dcterms:modified>
</cp:coreProperties>
</file>