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DF6" w:rsidRPr="00B46B4B" w:rsidRDefault="00633DF6" w:rsidP="00633DF6">
      <w:pPr>
        <w:pStyle w:val="2"/>
        <w:rPr>
          <w:rFonts w:hint="cs"/>
          <w:rtl/>
        </w:rPr>
      </w:pPr>
      <w:bookmarkStart w:id="0" w:name="_Toc188281759"/>
      <w:bookmarkStart w:id="1" w:name="_Ref188282195"/>
      <w:r w:rsidRPr="00B46B4B">
        <w:rPr>
          <w:rFonts w:hint="cs"/>
          <w:rtl/>
        </w:rPr>
        <w:t>"ובלבד שתעטרונו בזהובים"</w:t>
      </w:r>
      <w:bookmarkEnd w:id="0"/>
      <w:bookmarkEnd w:id="1"/>
    </w:p>
    <w:p w:rsidR="00633DF6" w:rsidRPr="00EC3D1D" w:rsidRDefault="00633DF6" w:rsidP="00633DF6">
      <w:pPr>
        <w:keepNext/>
        <w:framePr w:dropCap="drop" w:lines="2" w:hSpace="57" w:wrap="around" w:vAnchor="text" w:hAnchor="text" w:xAlign="right"/>
        <w:spacing w:after="0" w:line="760" w:lineRule="exact"/>
        <w:textAlignment w:val="baseline"/>
        <w:rPr>
          <w:rStyle w:val="a8"/>
          <w:rtl/>
        </w:rPr>
      </w:pPr>
      <w:r w:rsidRPr="00EC3D1D">
        <w:rPr>
          <w:rStyle w:val="a8"/>
          <w:rFonts w:hint="cs"/>
          <w:rtl/>
        </w:rPr>
        <w:t>ז</w:t>
      </w:r>
    </w:p>
    <w:p w:rsidR="00633DF6" w:rsidRPr="00B46B4B" w:rsidRDefault="00633DF6" w:rsidP="00633DF6">
      <w:pPr>
        <w:rPr>
          <w:rFonts w:hint="cs"/>
          <w:rtl/>
        </w:rPr>
      </w:pPr>
      <w:r w:rsidRPr="00B46B4B">
        <w:rPr>
          <w:rFonts w:hint="cs"/>
          <w:rtl/>
        </w:rPr>
        <w:t>קנים הראשונים אמרו</w:t>
      </w:r>
      <w:r w:rsidRPr="00C37DFC">
        <w:rPr>
          <w:rStyle w:val="a5"/>
          <w:rtl/>
        </w:rPr>
        <w:endnoteReference w:id="1"/>
      </w:r>
      <w:r w:rsidRPr="00B46B4B">
        <w:rPr>
          <w:rFonts w:hint="cs"/>
          <w:rtl/>
        </w:rPr>
        <w:t xml:space="preserve"> כי בזמן </w:t>
      </w:r>
      <w:proofErr w:type="spellStart"/>
      <w:r w:rsidRPr="00B46B4B">
        <w:rPr>
          <w:rFonts w:hint="cs"/>
          <w:rtl/>
        </w:rPr>
        <w:t>שהאשה</w:t>
      </w:r>
      <w:proofErr w:type="spellEnd"/>
      <w:r w:rsidRPr="00B46B4B">
        <w:rPr>
          <w:rFonts w:hint="cs"/>
          <w:rtl/>
        </w:rPr>
        <w:t xml:space="preserve"> אינה טהורה "לא </w:t>
      </w:r>
      <w:proofErr w:type="spellStart"/>
      <w:r w:rsidRPr="00B46B4B">
        <w:rPr>
          <w:rFonts w:hint="cs"/>
          <w:rtl/>
        </w:rPr>
        <w:t>תכחול</w:t>
      </w:r>
      <w:proofErr w:type="spellEnd"/>
      <w:r w:rsidRPr="00B46B4B">
        <w:rPr>
          <w:rFonts w:hint="cs"/>
          <w:rtl/>
        </w:rPr>
        <w:t xml:space="preserve"> ולא </w:t>
      </w:r>
      <w:proofErr w:type="spellStart"/>
      <w:r w:rsidRPr="00B46B4B">
        <w:rPr>
          <w:rFonts w:hint="cs"/>
          <w:rtl/>
        </w:rPr>
        <w:t>תפקוס</w:t>
      </w:r>
      <w:proofErr w:type="spellEnd"/>
      <w:r w:rsidRPr="00B46B4B">
        <w:rPr>
          <w:rFonts w:hint="cs"/>
          <w:rtl/>
        </w:rPr>
        <w:t xml:space="preserve"> ולא תתקשט בדברי </w:t>
      </w:r>
      <w:proofErr w:type="spellStart"/>
      <w:r w:rsidRPr="00B46B4B">
        <w:rPr>
          <w:rFonts w:hint="cs"/>
          <w:rtl/>
        </w:rPr>
        <w:t>צבעונין</w:t>
      </w:r>
      <w:proofErr w:type="spellEnd"/>
      <w:r w:rsidRPr="00B46B4B">
        <w:rPr>
          <w:rFonts w:hint="cs"/>
          <w:rtl/>
        </w:rPr>
        <w:t xml:space="preserve">", עד שבא רבי עקיבא ולימד "אם כך אתה מגנה על בעלה ונמצא בעלה מגרשה", ועל כן </w:t>
      </w:r>
      <w:proofErr w:type="spellStart"/>
      <w:r w:rsidRPr="00B46B4B">
        <w:rPr>
          <w:rFonts w:hint="cs"/>
          <w:rtl/>
        </w:rPr>
        <w:t>האשה</w:t>
      </w:r>
      <w:proofErr w:type="spellEnd"/>
      <w:r w:rsidRPr="00B46B4B">
        <w:rPr>
          <w:rFonts w:hint="cs"/>
          <w:rtl/>
        </w:rPr>
        <w:t xml:space="preserve"> יכולה וצריכה להתנאות</w:t>
      </w:r>
      <w:r>
        <w:rPr>
          <w:rFonts w:hint="cs"/>
          <w:rtl/>
        </w:rPr>
        <w:t xml:space="preserve"> ולהתקשט בתכשיטיה גם בזמן הנדה. בכלל, רבי עקיבא </w:t>
      </w:r>
      <w:r w:rsidRPr="00B46B4B">
        <w:rPr>
          <w:rFonts w:hint="cs"/>
          <w:rtl/>
        </w:rPr>
        <w:t>רגיש לכך ש"איש ואשה זכו, שכינה ביניהם"</w:t>
      </w:r>
      <w:r w:rsidRPr="00C37DFC">
        <w:rPr>
          <w:rStyle w:val="a5"/>
          <w:rtl/>
        </w:rPr>
        <w:endnoteReference w:id="2"/>
      </w:r>
      <w:r>
        <w:rPr>
          <w:rFonts w:hint="cs"/>
          <w:rtl/>
        </w:rPr>
        <w:t xml:space="preserve">. בפרט, </w:t>
      </w:r>
      <w:r w:rsidRPr="00B46B4B">
        <w:rPr>
          <w:rFonts w:hint="cs"/>
          <w:rtl/>
        </w:rPr>
        <w:t xml:space="preserve">דברי רבי עקיבא </w:t>
      </w:r>
      <w:r>
        <w:rPr>
          <w:rFonts w:hint="cs"/>
          <w:rtl/>
        </w:rPr>
        <w:t xml:space="preserve">כאן </w:t>
      </w:r>
      <w:r w:rsidRPr="00B46B4B">
        <w:rPr>
          <w:rFonts w:hint="cs"/>
          <w:rtl/>
        </w:rPr>
        <w:t>מתאימים לשיטתו</w:t>
      </w:r>
      <w:r w:rsidRPr="00C37DFC">
        <w:rPr>
          <w:rStyle w:val="a5"/>
          <w:rtl/>
        </w:rPr>
        <w:endnoteReference w:id="3"/>
      </w:r>
      <w:r w:rsidRPr="00B46B4B">
        <w:rPr>
          <w:rFonts w:hint="cs"/>
          <w:rtl/>
        </w:rPr>
        <w:t>, שאדם מגרש את אשתו "אפילו מצא אחרת נאה הימנה"</w:t>
      </w:r>
      <w:r w:rsidRPr="00C37DFC">
        <w:rPr>
          <w:rStyle w:val="a5"/>
          <w:rtl/>
        </w:rPr>
        <w:endnoteReference w:id="4"/>
      </w:r>
      <w:r>
        <w:rPr>
          <w:rFonts w:hint="cs"/>
          <w:rtl/>
        </w:rPr>
        <w:t xml:space="preserve">. אם הנוי והחן של </w:t>
      </w:r>
      <w:proofErr w:type="spellStart"/>
      <w:r>
        <w:rPr>
          <w:rFonts w:hint="cs"/>
          <w:rtl/>
        </w:rPr>
        <w:t>אשה</w:t>
      </w:r>
      <w:proofErr w:type="spellEnd"/>
      <w:r>
        <w:rPr>
          <w:rFonts w:hint="cs"/>
          <w:rtl/>
        </w:rPr>
        <w:t xml:space="preserve"> בעיני אישה הוא כה חשוב, צריך </w:t>
      </w:r>
      <w:r w:rsidRPr="00B46B4B">
        <w:rPr>
          <w:rFonts w:hint="cs"/>
          <w:rtl/>
        </w:rPr>
        <w:t xml:space="preserve">'להחמיר' ולדאוג שחלילה לא תתגנה </w:t>
      </w:r>
      <w:proofErr w:type="spellStart"/>
      <w:r w:rsidRPr="00B46B4B">
        <w:rPr>
          <w:rFonts w:hint="cs"/>
          <w:rtl/>
        </w:rPr>
        <w:t>האשה</w:t>
      </w:r>
      <w:proofErr w:type="spellEnd"/>
      <w:r w:rsidRPr="00B46B4B">
        <w:rPr>
          <w:rFonts w:hint="cs"/>
          <w:rtl/>
        </w:rPr>
        <w:t xml:space="preserve"> על בעלה</w:t>
      </w:r>
      <w:r>
        <w:rPr>
          <w:rFonts w:hint="cs"/>
          <w:rtl/>
        </w:rPr>
        <w:t xml:space="preserve"> ושהחן לא יופר לעולם</w:t>
      </w:r>
      <w:r w:rsidRPr="00B46B4B">
        <w:rPr>
          <w:rFonts w:hint="cs"/>
          <w:rtl/>
        </w:rPr>
        <w:t>.</w:t>
      </w:r>
    </w:p>
    <w:p w:rsidR="00633DF6" w:rsidRPr="00B46B4B" w:rsidRDefault="00633DF6" w:rsidP="00633DF6">
      <w:pPr>
        <w:rPr>
          <w:rFonts w:hint="cs"/>
          <w:rtl/>
        </w:rPr>
      </w:pPr>
      <w:r w:rsidRPr="00B46B4B">
        <w:rPr>
          <w:rFonts w:hint="cs"/>
          <w:rtl/>
        </w:rPr>
        <w:t xml:space="preserve">בעומק, ההתקשטות בבגדי </w:t>
      </w:r>
      <w:proofErr w:type="spellStart"/>
      <w:r w:rsidRPr="00B46B4B">
        <w:rPr>
          <w:rFonts w:hint="cs"/>
          <w:rtl/>
        </w:rPr>
        <w:t>צבעונין</w:t>
      </w:r>
      <w:proofErr w:type="spellEnd"/>
      <w:r w:rsidRPr="00B46B4B">
        <w:rPr>
          <w:rFonts w:hint="cs"/>
          <w:rtl/>
        </w:rPr>
        <w:t xml:space="preserve"> ובתכשיטים שייכת במיוחד לימי הנדה, שדווקא בהם יש חשש של "אתה מגנה על בעלה ונמצא בעלה מגרשה". גם אם בימי הטהרה הקישוטים מודגשים יותר, ואז לובשים את הבגדים הנאים יותר, הרי שהם רק הקדמה לפגישה עצמית חפה מכל לבוש וקישוט</w:t>
      </w:r>
      <w:r>
        <w:rPr>
          <w:rFonts w:hint="cs"/>
          <w:rtl/>
        </w:rPr>
        <w:t xml:space="preserve">. לכן, בימי הטהרה יש </w:t>
      </w:r>
      <w:r w:rsidRPr="00B46B4B">
        <w:rPr>
          <w:rFonts w:hint="cs"/>
          <w:rtl/>
        </w:rPr>
        <w:t>שבח מיוחד ב"לא כחל ולא שרק ולא פרכוס ויעלת חן"</w:t>
      </w:r>
      <w:r w:rsidRPr="00C37DFC">
        <w:rPr>
          <w:rStyle w:val="a5"/>
          <w:rtl/>
        </w:rPr>
        <w:endnoteReference w:id="5"/>
      </w:r>
      <w:r w:rsidRPr="00B46B4B">
        <w:rPr>
          <w:rFonts w:hint="cs"/>
          <w:rtl/>
        </w:rPr>
        <w:t xml:space="preserve">. לעומת זאת, בימי הטומאה הלבושים והתכשיטים עומדים בחזית המפגש בין </w:t>
      </w:r>
      <w:proofErr w:type="spellStart"/>
      <w:r w:rsidRPr="00B46B4B">
        <w:rPr>
          <w:rFonts w:hint="cs"/>
          <w:rtl/>
        </w:rPr>
        <w:t>האשה</w:t>
      </w:r>
      <w:proofErr w:type="spellEnd"/>
      <w:r w:rsidRPr="00B46B4B">
        <w:rPr>
          <w:rFonts w:hint="cs"/>
          <w:rtl/>
        </w:rPr>
        <w:t xml:space="preserve"> לבעלה</w:t>
      </w:r>
      <w:r w:rsidRPr="00C37DFC">
        <w:rPr>
          <w:rStyle w:val="a5"/>
          <w:rtl/>
        </w:rPr>
        <w:endnoteReference w:id="6"/>
      </w:r>
      <w:r w:rsidRPr="00B46B4B">
        <w:rPr>
          <w:rFonts w:hint="cs"/>
          <w:rtl/>
        </w:rPr>
        <w:t xml:space="preserve">, וגם יש בטומאת הנדה תחושה של גנות וכיעור שיש לחפות עליה בתכשיטים. </w:t>
      </w:r>
    </w:p>
    <w:p w:rsidR="00633DF6" w:rsidRPr="00B46B4B" w:rsidRDefault="00633DF6" w:rsidP="00633DF6">
      <w:pPr>
        <w:rPr>
          <w:rFonts w:hint="cs"/>
          <w:rtl/>
        </w:rPr>
      </w:pPr>
      <w:r w:rsidRPr="00B46B4B">
        <w:rPr>
          <w:rFonts w:hint="cs"/>
          <w:rtl/>
        </w:rPr>
        <w:t>על זמן</w:t>
      </w:r>
      <w:r>
        <w:rPr>
          <w:rFonts w:hint="cs"/>
          <w:rtl/>
        </w:rPr>
        <w:t xml:space="preserve"> זה, בו הקשר בין איש לאשתו הוא שמימי לגמרי (שהרי הקשר הגופני-הארצי אסור),</w:t>
      </w:r>
      <w:r w:rsidRPr="00B46B4B">
        <w:rPr>
          <w:rFonts w:hint="cs"/>
          <w:rtl/>
        </w:rPr>
        <w:t xml:space="preserve"> ראוי לדרוש כי </w:t>
      </w:r>
      <w:proofErr w:type="spellStart"/>
      <w:r w:rsidRPr="00B46B4B">
        <w:rPr>
          <w:rFonts w:hint="cs"/>
          <w:rtl/>
        </w:rPr>
        <w:t>האשה</w:t>
      </w:r>
      <w:proofErr w:type="spellEnd"/>
      <w:r w:rsidRPr="00B46B4B">
        <w:rPr>
          <w:rFonts w:hint="cs"/>
          <w:rtl/>
        </w:rPr>
        <w:t xml:space="preserve"> אומרת-משדרת "מכוערות</w:t>
      </w:r>
      <w:r>
        <w:rPr>
          <w:rFonts w:hint="cs"/>
          <w:rtl/>
        </w:rPr>
        <w:t xml:space="preserve"> שבהם…</w:t>
      </w:r>
      <w:r w:rsidRPr="00B46B4B">
        <w:rPr>
          <w:rFonts w:hint="cs"/>
          <w:rtl/>
        </w:rPr>
        <w:t xml:space="preserve"> אומרות קחו </w:t>
      </w:r>
      <w:proofErr w:type="spellStart"/>
      <w:r w:rsidRPr="00B46B4B">
        <w:rPr>
          <w:rFonts w:hint="cs"/>
          <w:rtl/>
        </w:rPr>
        <w:t>מקחכם</w:t>
      </w:r>
      <w:proofErr w:type="spellEnd"/>
      <w:r w:rsidRPr="00B46B4B">
        <w:rPr>
          <w:rFonts w:hint="cs"/>
          <w:rtl/>
        </w:rPr>
        <w:t xml:space="preserve"> לש</w:t>
      </w:r>
      <w:r>
        <w:rPr>
          <w:rFonts w:hint="cs"/>
          <w:rtl/>
        </w:rPr>
        <w:t>ו</w:t>
      </w:r>
      <w:r w:rsidRPr="00B46B4B">
        <w:rPr>
          <w:rFonts w:hint="cs"/>
          <w:rtl/>
        </w:rPr>
        <w:t>ם שמים ובלבד שתעטרונו בזהובים"</w:t>
      </w:r>
      <w:r w:rsidRPr="00C37DFC">
        <w:rPr>
          <w:rStyle w:val="a5"/>
          <w:rtl/>
        </w:rPr>
        <w:endnoteReference w:id="7"/>
      </w:r>
      <w:r>
        <w:rPr>
          <w:rFonts w:hint="cs"/>
          <w:rtl/>
        </w:rPr>
        <w:t xml:space="preserve">. </w:t>
      </w:r>
      <w:r w:rsidRPr="00B46B4B">
        <w:rPr>
          <w:rFonts w:hint="cs"/>
          <w:rtl/>
        </w:rPr>
        <w:t>לפי זה, בשמיר</w:t>
      </w:r>
      <w:r>
        <w:rPr>
          <w:rFonts w:hint="cs"/>
          <w:rtl/>
        </w:rPr>
        <w:t xml:space="preserve">ה על הלכות נדה יש סגולה לעשירות, כדי </w:t>
      </w:r>
      <w:r w:rsidRPr="00B46B4B">
        <w:rPr>
          <w:rFonts w:hint="cs"/>
          <w:rtl/>
        </w:rPr>
        <w:t xml:space="preserve">לעטר את </w:t>
      </w:r>
      <w:proofErr w:type="spellStart"/>
      <w:r w:rsidRPr="00B46B4B">
        <w:rPr>
          <w:rFonts w:hint="cs"/>
          <w:rtl/>
        </w:rPr>
        <w:t>האשה</w:t>
      </w:r>
      <w:proofErr w:type="spellEnd"/>
      <w:r w:rsidRPr="00B46B4B">
        <w:rPr>
          <w:rFonts w:hint="cs"/>
          <w:rtl/>
        </w:rPr>
        <w:t xml:space="preserve"> </w:t>
      </w:r>
      <w:r>
        <w:rPr>
          <w:rFonts w:hint="cs"/>
          <w:rtl/>
        </w:rPr>
        <w:t xml:space="preserve">בזהובים ובתכשיטים. בכלל, כיבוד </w:t>
      </w:r>
      <w:proofErr w:type="spellStart"/>
      <w:r>
        <w:rPr>
          <w:rFonts w:hint="cs"/>
          <w:rtl/>
        </w:rPr>
        <w:t>האשה</w:t>
      </w:r>
      <w:proofErr w:type="spellEnd"/>
      <w:r w:rsidRPr="00B46B4B">
        <w:rPr>
          <w:rFonts w:hint="cs"/>
          <w:rtl/>
        </w:rPr>
        <w:t xml:space="preserve"> הוא מקור ברכת העושר בבית</w:t>
      </w:r>
      <w:r w:rsidRPr="00C37DFC">
        <w:rPr>
          <w:rStyle w:val="a5"/>
          <w:rtl/>
        </w:rPr>
        <w:endnoteReference w:id="8"/>
      </w:r>
      <w:r>
        <w:rPr>
          <w:rFonts w:hint="cs"/>
          <w:rtl/>
        </w:rPr>
        <w:t xml:space="preserve">, וחלק מכבוד זה היינו כיבוד הצורך של </w:t>
      </w:r>
      <w:proofErr w:type="spellStart"/>
      <w:r>
        <w:rPr>
          <w:rFonts w:hint="cs"/>
          <w:rtl/>
        </w:rPr>
        <w:t>האשה</w:t>
      </w:r>
      <w:proofErr w:type="spellEnd"/>
      <w:r>
        <w:rPr>
          <w:rFonts w:hint="cs"/>
          <w:rtl/>
        </w:rPr>
        <w:t xml:space="preserve"> בריחוק ובפרטיות, </w:t>
      </w:r>
      <w:r w:rsidRPr="00B46B4B">
        <w:rPr>
          <w:rFonts w:hint="cs"/>
          <w:rtl/>
        </w:rPr>
        <w:t>שבא לידי ביטוי בזמן הנדה</w:t>
      </w:r>
      <w:r w:rsidRPr="00C37DFC">
        <w:rPr>
          <w:rStyle w:val="a5"/>
          <w:rtl/>
        </w:rPr>
        <w:endnoteReference w:id="9"/>
      </w:r>
      <w:r>
        <w:rPr>
          <w:rFonts w:hint="cs"/>
          <w:rtl/>
        </w:rPr>
        <w:t xml:space="preserve">. </w:t>
      </w:r>
      <w:r w:rsidRPr="00B46B4B">
        <w:rPr>
          <w:rFonts w:hint="cs"/>
          <w:rtl/>
        </w:rPr>
        <w:t>גם בפשט, תקופת הריחוק</w:t>
      </w:r>
      <w:r>
        <w:rPr>
          <w:rFonts w:hint="cs"/>
          <w:rtl/>
        </w:rPr>
        <w:t xml:space="preserve"> מאפשרת עבודה שקטה של צבירת הון.</w:t>
      </w:r>
      <w:r w:rsidRPr="00B46B4B">
        <w:rPr>
          <w:rFonts w:hint="cs"/>
          <w:rtl/>
        </w:rPr>
        <w:t xml:space="preserve"> שהרי</w:t>
      </w:r>
      <w:r>
        <w:rPr>
          <w:rFonts w:hint="cs"/>
          <w:rtl/>
        </w:rPr>
        <w:t>,</w:t>
      </w:r>
      <w:r w:rsidRPr="00B46B4B">
        <w:rPr>
          <w:rFonts w:hint="cs"/>
          <w:rtl/>
        </w:rPr>
        <w:t xml:space="preserve"> אם בזמן הטהרה "רוצה </w:t>
      </w:r>
      <w:proofErr w:type="spellStart"/>
      <w:r w:rsidRPr="00B46B4B">
        <w:rPr>
          <w:rFonts w:hint="cs"/>
          <w:rtl/>
        </w:rPr>
        <w:t>אשה</w:t>
      </w:r>
      <w:proofErr w:type="spellEnd"/>
      <w:r w:rsidRPr="00B46B4B">
        <w:rPr>
          <w:rFonts w:hint="cs"/>
          <w:rtl/>
        </w:rPr>
        <w:t xml:space="preserve"> בקב ותפלות מתשעה </w:t>
      </w:r>
      <w:proofErr w:type="spellStart"/>
      <w:r w:rsidRPr="00B46B4B">
        <w:rPr>
          <w:rFonts w:hint="cs"/>
          <w:rtl/>
        </w:rPr>
        <w:t>קבין</w:t>
      </w:r>
      <w:proofErr w:type="spellEnd"/>
      <w:r w:rsidRPr="00B46B4B">
        <w:rPr>
          <w:rFonts w:hint="cs"/>
          <w:rtl/>
        </w:rPr>
        <w:t xml:space="preserve"> ופרישות"</w:t>
      </w:r>
      <w:r w:rsidRPr="00C37DFC">
        <w:rPr>
          <w:rStyle w:val="a5"/>
          <w:rtl/>
        </w:rPr>
        <w:endnoteReference w:id="10"/>
      </w:r>
      <w:r w:rsidRPr="00B46B4B">
        <w:rPr>
          <w:rFonts w:hint="cs"/>
          <w:rtl/>
        </w:rPr>
        <w:t xml:space="preserve">, הרי זמן הפרישות נועד לזכות ל"תשעה </w:t>
      </w:r>
      <w:proofErr w:type="spellStart"/>
      <w:r w:rsidRPr="00B46B4B">
        <w:rPr>
          <w:rFonts w:hint="cs"/>
          <w:rtl/>
        </w:rPr>
        <w:t>קבין</w:t>
      </w:r>
      <w:proofErr w:type="spellEnd"/>
      <w:r w:rsidRPr="00B46B4B">
        <w:rPr>
          <w:rFonts w:hint="cs"/>
          <w:rtl/>
        </w:rPr>
        <w:t>" ויותר.</w:t>
      </w:r>
    </w:p>
    <w:p w:rsidR="00633DF6" w:rsidRPr="00B46B4B" w:rsidRDefault="00633DF6" w:rsidP="00633DF6">
      <w:pPr>
        <w:rPr>
          <w:rFonts w:hint="cs"/>
          <w:rtl/>
        </w:rPr>
      </w:pPr>
      <w:r w:rsidRPr="00B46B4B">
        <w:rPr>
          <w:rFonts w:hint="cs"/>
          <w:rtl/>
        </w:rPr>
        <w:t>והנה, חז"ל מלמדים כי לא היה העולם ראוי להשתמש בזהב, אך הזהב נברא בשביל בית המקדש</w:t>
      </w:r>
      <w:r w:rsidRPr="00C37DFC">
        <w:rPr>
          <w:rStyle w:val="a5"/>
          <w:rtl/>
        </w:rPr>
        <w:endnoteReference w:id="11"/>
      </w:r>
      <w:r w:rsidRPr="00B46B4B">
        <w:rPr>
          <w:rFonts w:hint="cs"/>
          <w:rtl/>
        </w:rPr>
        <w:t>. בחיי הנישואין, הזהובים וזהב התכשיטים נועד לבנות וליפות את "'ביתו' זו אשתו"</w:t>
      </w:r>
      <w:r w:rsidRPr="00C37DFC">
        <w:rPr>
          <w:rStyle w:val="a5"/>
          <w:rtl/>
        </w:rPr>
        <w:endnoteReference w:id="12"/>
      </w:r>
      <w:r w:rsidRPr="00B46B4B">
        <w:rPr>
          <w:rFonts w:hint="cs"/>
          <w:rtl/>
        </w:rPr>
        <w:t xml:space="preserve">. אפשר לומר כי בזמן קרבה וטהרה </w:t>
      </w:r>
      <w:proofErr w:type="spellStart"/>
      <w:r w:rsidRPr="00B46B4B">
        <w:rPr>
          <w:rFonts w:hint="cs"/>
          <w:rtl/>
        </w:rPr>
        <w:t>האשה</w:t>
      </w:r>
      <w:proofErr w:type="spellEnd"/>
      <w:r w:rsidRPr="00B46B4B">
        <w:rPr>
          <w:rFonts w:hint="cs"/>
          <w:rtl/>
        </w:rPr>
        <w:t xml:space="preserve"> היא בעיקר "אשתו" (והקשר הקרוב מתבטא ביח</w:t>
      </w:r>
      <w:r>
        <w:rPr>
          <w:rFonts w:hint="cs"/>
          <w:rtl/>
        </w:rPr>
        <w:t>סי אישות), ואילו הממד של "ביתו",</w:t>
      </w:r>
      <w:r w:rsidRPr="00B46B4B">
        <w:rPr>
          <w:rFonts w:hint="cs"/>
          <w:rtl/>
        </w:rPr>
        <w:t xml:space="preserve"> שהוא מקיף רחוק על האדם</w:t>
      </w:r>
      <w:r>
        <w:rPr>
          <w:rFonts w:hint="cs"/>
          <w:rtl/>
        </w:rPr>
        <w:t>,</w:t>
      </w:r>
      <w:r w:rsidRPr="00B46B4B">
        <w:rPr>
          <w:rFonts w:hint="cs"/>
          <w:rtl/>
        </w:rPr>
        <w:t xml:space="preserve"> מתגלה דווקא בזמן הריחוק, בו עיקר השותפות בנישואין מתבטאת </w:t>
      </w:r>
      <w:proofErr w:type="spellStart"/>
      <w:r w:rsidRPr="00B46B4B">
        <w:rPr>
          <w:rFonts w:hint="cs"/>
          <w:rtl/>
        </w:rPr>
        <w:t>בבנין</w:t>
      </w:r>
      <w:proofErr w:type="spellEnd"/>
      <w:r w:rsidRPr="00B46B4B">
        <w:rPr>
          <w:rFonts w:hint="cs"/>
          <w:rtl/>
        </w:rPr>
        <w:t xml:space="preserve"> הבית המשותף. </w:t>
      </w:r>
    </w:p>
    <w:p w:rsidR="00633DF6" w:rsidRDefault="00633DF6" w:rsidP="00633DF6">
      <w:pPr>
        <w:rPr>
          <w:rFonts w:hint="cs"/>
          <w:rtl/>
        </w:rPr>
      </w:pPr>
      <w:r w:rsidRPr="00B46B4B">
        <w:rPr>
          <w:rFonts w:hint="cs"/>
          <w:rtl/>
        </w:rPr>
        <w:t xml:space="preserve">לפי כל זה, שמירת נדה היא גם סגולה </w:t>
      </w:r>
      <w:proofErr w:type="spellStart"/>
      <w:r w:rsidRPr="00B46B4B">
        <w:rPr>
          <w:rFonts w:hint="cs"/>
          <w:rtl/>
        </w:rPr>
        <w:t>לבנין</w:t>
      </w:r>
      <w:proofErr w:type="spellEnd"/>
      <w:r w:rsidRPr="00B46B4B">
        <w:rPr>
          <w:rFonts w:hint="cs"/>
          <w:rtl/>
        </w:rPr>
        <w:t xml:space="preserve"> בית המקדש, ואף אפשר לדרוש כי שלש מצוות הציבור</w:t>
      </w:r>
      <w:r w:rsidRPr="00C37DFC">
        <w:rPr>
          <w:rStyle w:val="a5"/>
          <w:rtl/>
        </w:rPr>
        <w:endnoteReference w:id="13"/>
      </w:r>
      <w:r w:rsidRPr="00B46B4B">
        <w:rPr>
          <w:rFonts w:hint="cs"/>
          <w:rtl/>
        </w:rPr>
        <w:t xml:space="preserve"> (העמדת מלך, מחית עמלק, בנין בית הבחירה) מכוונות לשלבים שונים של חיי הנישואין</w:t>
      </w:r>
      <w:r w:rsidRPr="00C37DFC">
        <w:rPr>
          <w:rStyle w:val="a5"/>
          <w:rtl/>
        </w:rPr>
        <w:endnoteReference w:id="14"/>
      </w:r>
      <w:r>
        <w:rPr>
          <w:rFonts w:hint="cs"/>
          <w:rtl/>
        </w:rPr>
        <w:t>:</w:t>
      </w:r>
      <w:r w:rsidRPr="00B46B4B">
        <w:rPr>
          <w:rFonts w:hint="cs"/>
          <w:rtl/>
        </w:rPr>
        <w:t xml:space="preserve"> </w:t>
      </w:r>
    </w:p>
    <w:p w:rsidR="00633DF6" w:rsidRDefault="00633DF6" w:rsidP="00633DF6">
      <w:pPr>
        <w:numPr>
          <w:ilvl w:val="0"/>
          <w:numId w:val="1"/>
        </w:numPr>
        <w:tabs>
          <w:tab w:val="clear" w:pos="1287"/>
          <w:tab w:val="num" w:pos="269"/>
        </w:tabs>
        <w:spacing w:line="360" w:lineRule="exact"/>
        <w:ind w:left="269" w:hanging="269"/>
        <w:rPr>
          <w:rFonts w:hint="cs"/>
          <w:rtl/>
        </w:rPr>
      </w:pPr>
      <w:r w:rsidRPr="00B46B4B">
        <w:rPr>
          <w:rFonts w:hint="cs"/>
          <w:rtl/>
        </w:rPr>
        <w:lastRenderedPageBreak/>
        <w:t>ע</w:t>
      </w:r>
      <w:r>
        <w:rPr>
          <w:rFonts w:hint="cs"/>
          <w:rtl/>
        </w:rPr>
        <w:t xml:space="preserve">צם הנישואין מכוונים להעמדת מלך </w:t>
      </w:r>
      <w:r w:rsidRPr="00B46B4B">
        <w:rPr>
          <w:rFonts w:hint="cs"/>
          <w:rtl/>
        </w:rPr>
        <w:t>ומלכה, כ</w:t>
      </w:r>
      <w:r>
        <w:rPr>
          <w:rFonts w:hint="cs"/>
          <w:rtl/>
        </w:rPr>
        <w:t xml:space="preserve">שכל אחד ממליך עליו את בן זוגו. </w:t>
      </w:r>
    </w:p>
    <w:p w:rsidR="00633DF6" w:rsidRDefault="00633DF6" w:rsidP="00633DF6">
      <w:pPr>
        <w:numPr>
          <w:ilvl w:val="0"/>
          <w:numId w:val="1"/>
        </w:numPr>
        <w:tabs>
          <w:tab w:val="clear" w:pos="1287"/>
          <w:tab w:val="num" w:pos="269"/>
        </w:tabs>
        <w:spacing w:line="360" w:lineRule="exact"/>
        <w:ind w:left="269" w:hanging="269"/>
        <w:rPr>
          <w:rFonts w:hint="cs"/>
          <w:rtl/>
        </w:rPr>
      </w:pPr>
      <w:r w:rsidRPr="00B46B4B">
        <w:rPr>
          <w:rFonts w:hint="cs"/>
          <w:rtl/>
        </w:rPr>
        <w:t>הזיווג בקדושה מכוון למלחמת עמלק</w:t>
      </w:r>
      <w:r>
        <w:rPr>
          <w:rFonts w:hint="cs"/>
          <w:rtl/>
        </w:rPr>
        <w:t>. אז</w:t>
      </w:r>
      <w:r w:rsidRPr="00B46B4B">
        <w:rPr>
          <w:rFonts w:hint="cs"/>
          <w:rtl/>
        </w:rPr>
        <w:t xml:space="preserve"> יש מלחמה לברר את הכוונה ואת </w:t>
      </w:r>
      <w:proofErr w:type="spellStart"/>
      <w:r w:rsidRPr="00B46B4B">
        <w:rPr>
          <w:rFonts w:hint="cs"/>
          <w:rtl/>
        </w:rPr>
        <w:t>התאוה</w:t>
      </w:r>
      <w:proofErr w:type="spellEnd"/>
      <w:r w:rsidRPr="00B46B4B">
        <w:rPr>
          <w:rFonts w:hint="cs"/>
          <w:rtl/>
        </w:rPr>
        <w:t xml:space="preserve">, וכן יש מלחמה קדושה </w:t>
      </w:r>
      <w:r w:rsidRPr="00B46B4B">
        <w:rPr>
          <w:rtl/>
        </w:rPr>
        <w:t>–</w:t>
      </w:r>
      <w:r w:rsidRPr="00B46B4B">
        <w:rPr>
          <w:rFonts w:hint="cs"/>
          <w:rtl/>
        </w:rPr>
        <w:t xml:space="preserve"> על דרך "מלחמתה של תורה" לשם שמים, ש"את </w:t>
      </w:r>
      <w:proofErr w:type="spellStart"/>
      <w:r w:rsidRPr="00B46B4B">
        <w:rPr>
          <w:rFonts w:hint="cs"/>
          <w:rtl/>
        </w:rPr>
        <w:t>והב</w:t>
      </w:r>
      <w:proofErr w:type="spellEnd"/>
      <w:r w:rsidRPr="00B46B4B">
        <w:rPr>
          <w:rFonts w:hint="cs"/>
          <w:rtl/>
        </w:rPr>
        <w:t xml:space="preserve"> בסופה"</w:t>
      </w:r>
      <w:r w:rsidRPr="00C37DFC">
        <w:rPr>
          <w:rStyle w:val="a5"/>
          <w:rtl/>
        </w:rPr>
        <w:endnoteReference w:id="15"/>
      </w:r>
      <w:r w:rsidRPr="00B46B4B">
        <w:rPr>
          <w:rFonts w:hint="cs"/>
          <w:rtl/>
        </w:rPr>
        <w:t xml:space="preserve"> </w:t>
      </w:r>
      <w:r w:rsidRPr="00B46B4B">
        <w:rPr>
          <w:rtl/>
        </w:rPr>
        <w:t>–</w:t>
      </w:r>
      <w:r w:rsidRPr="00B46B4B">
        <w:rPr>
          <w:rFonts w:hint="cs"/>
          <w:rtl/>
        </w:rPr>
        <w:t xml:space="preserve"> בין האיש ל</w:t>
      </w:r>
      <w:r>
        <w:rPr>
          <w:rFonts w:hint="cs"/>
          <w:rtl/>
        </w:rPr>
        <w:t>אשתו, ודווקא כך היא "עזר כנגדו"</w:t>
      </w:r>
      <w:r w:rsidRPr="00C37DFC">
        <w:rPr>
          <w:rStyle w:val="a5"/>
          <w:rtl/>
        </w:rPr>
        <w:endnoteReference w:id="16"/>
      </w:r>
      <w:r>
        <w:rPr>
          <w:rFonts w:hint="cs"/>
          <w:rtl/>
        </w:rPr>
        <w:t xml:space="preserve">. </w:t>
      </w:r>
    </w:p>
    <w:p w:rsidR="00633DF6" w:rsidRDefault="00633DF6" w:rsidP="00633DF6">
      <w:pPr>
        <w:numPr>
          <w:ilvl w:val="0"/>
          <w:numId w:val="1"/>
        </w:numPr>
        <w:tabs>
          <w:tab w:val="clear" w:pos="1287"/>
          <w:tab w:val="num" w:pos="269"/>
        </w:tabs>
        <w:spacing w:line="360" w:lineRule="exact"/>
        <w:ind w:left="269" w:hanging="269"/>
        <w:rPr>
          <w:rFonts w:hint="cs"/>
          <w:rtl/>
        </w:rPr>
      </w:pPr>
      <w:r w:rsidRPr="00B46B4B">
        <w:rPr>
          <w:rFonts w:hint="cs"/>
          <w:rtl/>
        </w:rPr>
        <w:t xml:space="preserve">זמני הנדה מכוונים </w:t>
      </w:r>
      <w:proofErr w:type="spellStart"/>
      <w:r w:rsidRPr="00B46B4B">
        <w:rPr>
          <w:rFonts w:hint="cs"/>
          <w:rtl/>
        </w:rPr>
        <w:t>למצוה</w:t>
      </w:r>
      <w:proofErr w:type="spellEnd"/>
      <w:r w:rsidRPr="00B46B4B">
        <w:rPr>
          <w:rFonts w:hint="cs"/>
          <w:rtl/>
        </w:rPr>
        <w:t xml:space="preserve"> של ב</w:t>
      </w:r>
      <w:r>
        <w:rPr>
          <w:rFonts w:hint="cs"/>
          <w:rtl/>
        </w:rPr>
        <w:t>נין בית המקדש. זמנים אלו עצמם הם</w:t>
      </w:r>
      <w:r w:rsidRPr="00B46B4B">
        <w:rPr>
          <w:rFonts w:hint="cs"/>
          <w:rtl/>
        </w:rPr>
        <w:t xml:space="preserve"> בגדר בנין המקדש, שאינו דוחה שבת</w:t>
      </w:r>
      <w:r w:rsidRPr="00C37DFC">
        <w:rPr>
          <w:rStyle w:val="a5"/>
          <w:rtl/>
        </w:rPr>
        <w:endnoteReference w:id="17"/>
      </w:r>
      <w:r w:rsidRPr="00B46B4B">
        <w:rPr>
          <w:rFonts w:hint="cs"/>
          <w:rtl/>
        </w:rPr>
        <w:t>, בעוד זמני הטהרה הם על דרך העבודה במקדש, שדוחה את השבת</w:t>
      </w:r>
      <w:r w:rsidRPr="00C37DFC">
        <w:rPr>
          <w:rStyle w:val="a5"/>
          <w:rtl/>
        </w:rPr>
        <w:endnoteReference w:id="18"/>
      </w:r>
      <w:r>
        <w:rPr>
          <w:rFonts w:hint="cs"/>
          <w:rtl/>
        </w:rPr>
        <w:t xml:space="preserve">. </w:t>
      </w:r>
      <w:r w:rsidRPr="00B46B4B">
        <w:rPr>
          <w:rFonts w:hint="cs"/>
          <w:rtl/>
        </w:rPr>
        <w:t xml:space="preserve">בפרט </w:t>
      </w:r>
      <w:r>
        <w:rPr>
          <w:rFonts w:hint="cs"/>
          <w:rtl/>
        </w:rPr>
        <w:t>אמורים הדברים ב</w:t>
      </w:r>
      <w:r w:rsidRPr="00B46B4B">
        <w:rPr>
          <w:rFonts w:hint="cs"/>
          <w:rtl/>
        </w:rPr>
        <w:t>טהרה לעתיד לבוא, שהיא טהרה נצחית</w:t>
      </w:r>
      <w:r w:rsidRPr="00C37DFC">
        <w:rPr>
          <w:rStyle w:val="a5"/>
          <w:rtl/>
        </w:rPr>
        <w:endnoteReference w:id="19"/>
      </w:r>
      <w:r w:rsidRPr="00B46B4B">
        <w:rPr>
          <w:rFonts w:hint="cs"/>
          <w:rtl/>
        </w:rPr>
        <w:t>, כאשר "את רוח הטֻמאה אעביר מן הארץ"</w:t>
      </w:r>
      <w:r w:rsidRPr="00C37DFC">
        <w:rPr>
          <w:rStyle w:val="a5"/>
          <w:rtl/>
        </w:rPr>
        <w:endnoteReference w:id="20"/>
      </w:r>
      <w:r w:rsidRPr="00B46B4B">
        <w:rPr>
          <w:rFonts w:hint="cs"/>
          <w:rtl/>
        </w:rPr>
        <w:t xml:space="preserve">. </w:t>
      </w:r>
    </w:p>
    <w:p w:rsidR="00633DF6" w:rsidRPr="00B46B4B" w:rsidRDefault="00633DF6" w:rsidP="00633DF6">
      <w:pPr>
        <w:rPr>
          <w:rFonts w:hint="cs"/>
          <w:rtl/>
        </w:rPr>
      </w:pPr>
      <w:r w:rsidRPr="00B46B4B">
        <w:rPr>
          <w:rFonts w:hint="cs"/>
          <w:rtl/>
        </w:rPr>
        <w:t>משיח ודאי הוא דווקא זה שאחרי שנלחם מלחמות ה</w:t>
      </w:r>
      <w:r>
        <w:rPr>
          <w:rFonts w:hint="cs"/>
          <w:rtl/>
        </w:rPr>
        <w:t xml:space="preserve">' ונצח גם זכה לבנות מקדש במקומו. כיוצא בכך, </w:t>
      </w:r>
      <w:r w:rsidRPr="00B46B4B">
        <w:rPr>
          <w:rFonts w:hint="cs"/>
          <w:rtl/>
        </w:rPr>
        <w:t>בחיי הנישואין המדרגה המשיחית שייכת רק למי שזוכה לקדושה ושמחה של מצוה בימי הנדה</w:t>
      </w:r>
      <w:r w:rsidRPr="00C37DFC">
        <w:rPr>
          <w:rStyle w:val="a5"/>
          <w:rtl/>
        </w:rPr>
        <w:endnoteReference w:id="21"/>
      </w:r>
      <w:r w:rsidRPr="00B46B4B">
        <w:rPr>
          <w:rFonts w:hint="cs"/>
          <w:rtl/>
        </w:rPr>
        <w:t>.</w:t>
      </w:r>
    </w:p>
    <w:p w:rsidR="005F4A47" w:rsidRDefault="00AD1331">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331" w:rsidRDefault="00AD1331" w:rsidP="00633DF6">
      <w:pPr>
        <w:spacing w:after="0" w:line="240" w:lineRule="auto"/>
      </w:pPr>
      <w:r>
        <w:separator/>
      </w:r>
    </w:p>
  </w:endnote>
  <w:endnote w:type="continuationSeparator" w:id="0">
    <w:p w:rsidR="00AD1331" w:rsidRDefault="00AD1331" w:rsidP="00633DF6">
      <w:pPr>
        <w:spacing w:after="0" w:line="240" w:lineRule="auto"/>
      </w:pPr>
      <w:r>
        <w:continuationSeparator/>
      </w:r>
    </w:p>
  </w:endnote>
  <w:endnote w:id="1">
    <w:p w:rsidR="00633DF6" w:rsidRDefault="00633DF6" w:rsidP="00633DF6">
      <w:pPr>
        <w:pStyle w:val="a3"/>
        <w:rPr>
          <w:rFonts w:hint="cs"/>
          <w:rtl/>
        </w:rPr>
      </w:pPr>
      <w:r>
        <w:rPr>
          <w:rtl/>
        </w:rPr>
        <w:tab/>
      </w:r>
      <w:r w:rsidRPr="004377AB">
        <w:rPr>
          <w:rtl/>
        </w:rPr>
        <w:endnoteRef/>
      </w:r>
      <w:r>
        <w:rPr>
          <w:rtl/>
        </w:rPr>
        <w:t>.</w:t>
      </w:r>
      <w:r>
        <w:rPr>
          <w:rtl/>
        </w:rPr>
        <w:tab/>
      </w:r>
      <w:r>
        <w:rPr>
          <w:rFonts w:hint="cs"/>
          <w:rtl/>
        </w:rPr>
        <w:t>שבת סד, ב.</w:t>
      </w:r>
    </w:p>
  </w:endnote>
  <w:endnote w:id="2">
    <w:p w:rsidR="00633DF6" w:rsidRDefault="00633DF6" w:rsidP="00633DF6">
      <w:pPr>
        <w:pStyle w:val="a3"/>
        <w:rPr>
          <w:rFonts w:hint="cs"/>
          <w:rtl/>
        </w:rPr>
      </w:pPr>
      <w:r>
        <w:rPr>
          <w:rtl/>
        </w:rPr>
        <w:tab/>
      </w:r>
      <w:r w:rsidRPr="004377AB">
        <w:rPr>
          <w:rtl/>
        </w:rPr>
        <w:endnoteRef/>
      </w:r>
      <w:r>
        <w:rPr>
          <w:rtl/>
        </w:rPr>
        <w:t>.</w:t>
      </w:r>
      <w:r>
        <w:rPr>
          <w:rtl/>
        </w:rPr>
        <w:tab/>
      </w:r>
      <w:r>
        <w:rPr>
          <w:rFonts w:hint="cs"/>
          <w:rtl/>
        </w:rPr>
        <w:t xml:space="preserve">סוטה </w:t>
      </w:r>
      <w:proofErr w:type="spellStart"/>
      <w:r>
        <w:rPr>
          <w:rFonts w:hint="cs"/>
          <w:rtl/>
        </w:rPr>
        <w:t>יז</w:t>
      </w:r>
      <w:proofErr w:type="spellEnd"/>
      <w:r>
        <w:rPr>
          <w:rFonts w:hint="cs"/>
          <w:rtl/>
        </w:rPr>
        <w:t>, א.</w:t>
      </w:r>
    </w:p>
  </w:endnote>
  <w:endnote w:id="3">
    <w:p w:rsidR="00633DF6" w:rsidRDefault="00633DF6" w:rsidP="00633DF6">
      <w:pPr>
        <w:pStyle w:val="a3"/>
        <w:rPr>
          <w:rFonts w:hint="cs"/>
          <w:rtl/>
        </w:rPr>
      </w:pPr>
      <w:r>
        <w:rPr>
          <w:rtl/>
        </w:rPr>
        <w:tab/>
      </w:r>
      <w:r w:rsidRPr="004377AB">
        <w:rPr>
          <w:rtl/>
        </w:rPr>
        <w:endnoteRef/>
      </w:r>
      <w:r>
        <w:rPr>
          <w:rtl/>
        </w:rPr>
        <w:t>.</w:t>
      </w:r>
      <w:r>
        <w:rPr>
          <w:rtl/>
        </w:rPr>
        <w:tab/>
      </w:r>
      <w:r>
        <w:rPr>
          <w:rFonts w:hint="cs"/>
          <w:rtl/>
        </w:rPr>
        <w:t xml:space="preserve">וכבר הרגישו בכך המפרשים, וראה תורת השלמים </w:t>
      </w:r>
      <w:proofErr w:type="spellStart"/>
      <w:r>
        <w:rPr>
          <w:rFonts w:hint="cs"/>
          <w:rtl/>
        </w:rPr>
        <w:t>לשו"ע</w:t>
      </w:r>
      <w:proofErr w:type="spellEnd"/>
      <w:r>
        <w:rPr>
          <w:rFonts w:hint="cs"/>
          <w:rtl/>
        </w:rPr>
        <w:t xml:space="preserve"> יורה דעה קצה, ט.</w:t>
      </w:r>
    </w:p>
  </w:endnote>
  <w:endnote w:id="4">
    <w:p w:rsidR="00633DF6" w:rsidRDefault="00633DF6" w:rsidP="00633DF6">
      <w:pPr>
        <w:pStyle w:val="a3"/>
        <w:rPr>
          <w:rFonts w:hint="cs"/>
          <w:rtl/>
        </w:rPr>
      </w:pPr>
      <w:r>
        <w:rPr>
          <w:rtl/>
        </w:rPr>
        <w:tab/>
      </w:r>
      <w:r w:rsidRPr="004377AB">
        <w:rPr>
          <w:rtl/>
        </w:rPr>
        <w:endnoteRef/>
      </w:r>
      <w:r>
        <w:rPr>
          <w:rtl/>
        </w:rPr>
        <w:t>.</w:t>
      </w:r>
      <w:r>
        <w:rPr>
          <w:rtl/>
        </w:rPr>
        <w:tab/>
      </w:r>
      <w:r>
        <w:rPr>
          <w:rFonts w:hint="cs"/>
          <w:rtl/>
        </w:rPr>
        <w:t>גיטין פ"ט מ"י. וראה ביאור הדברים בשער ג בתורה "ארבעה זיווגים".</w:t>
      </w:r>
    </w:p>
  </w:endnote>
  <w:endnote w:id="5">
    <w:p w:rsidR="00633DF6" w:rsidRDefault="00633DF6" w:rsidP="00633DF6">
      <w:pPr>
        <w:pStyle w:val="a3"/>
        <w:rPr>
          <w:rFonts w:hint="cs"/>
          <w:rtl/>
        </w:rPr>
      </w:pPr>
      <w:r>
        <w:rPr>
          <w:rtl/>
        </w:rPr>
        <w:tab/>
      </w:r>
      <w:r w:rsidRPr="004377AB">
        <w:rPr>
          <w:rtl/>
        </w:rPr>
        <w:endnoteRef/>
      </w:r>
      <w:r>
        <w:rPr>
          <w:rtl/>
        </w:rPr>
        <w:t>.</w:t>
      </w:r>
      <w:r>
        <w:rPr>
          <w:rtl/>
        </w:rPr>
        <w:tab/>
      </w:r>
      <w:r>
        <w:rPr>
          <w:rFonts w:hint="cs"/>
          <w:rtl/>
        </w:rPr>
        <w:t xml:space="preserve">כתובות </w:t>
      </w:r>
      <w:proofErr w:type="spellStart"/>
      <w:r>
        <w:rPr>
          <w:rFonts w:hint="cs"/>
          <w:rtl/>
        </w:rPr>
        <w:t>יז</w:t>
      </w:r>
      <w:proofErr w:type="spellEnd"/>
      <w:r>
        <w:rPr>
          <w:rFonts w:hint="cs"/>
          <w:rtl/>
        </w:rPr>
        <w:t>, א (וראה יין משמח ח"א שער א בתורה "האיפור היהודי").</w:t>
      </w:r>
    </w:p>
  </w:endnote>
  <w:endnote w:id="6">
    <w:p w:rsidR="00633DF6" w:rsidRDefault="00633DF6" w:rsidP="00633DF6">
      <w:pPr>
        <w:pStyle w:val="a3"/>
        <w:rPr>
          <w:rFonts w:hint="cs"/>
        </w:rPr>
      </w:pPr>
      <w:r>
        <w:rPr>
          <w:rtl/>
        </w:rPr>
        <w:tab/>
      </w:r>
      <w:r w:rsidRPr="004377AB">
        <w:rPr>
          <w:rtl/>
        </w:rPr>
        <w:endnoteRef/>
      </w:r>
      <w:r>
        <w:rPr>
          <w:rtl/>
        </w:rPr>
        <w:t>.</w:t>
      </w:r>
      <w:r>
        <w:rPr>
          <w:rtl/>
        </w:rPr>
        <w:tab/>
      </w:r>
      <w:r>
        <w:rPr>
          <w:rFonts w:hint="cs"/>
          <w:rtl/>
        </w:rPr>
        <w:t xml:space="preserve">ראה גם יין משמח </w:t>
      </w:r>
      <w:proofErr w:type="spellStart"/>
      <w:r>
        <w:rPr>
          <w:rFonts w:hint="cs"/>
          <w:rtl/>
        </w:rPr>
        <w:t>ח"ב</w:t>
      </w:r>
      <w:proofErr w:type="spellEnd"/>
      <w:r>
        <w:rPr>
          <w:rFonts w:hint="cs"/>
          <w:rtl/>
        </w:rPr>
        <w:t xml:space="preserve"> שער ג בתורה "נותן עיניו בה".</w:t>
      </w:r>
    </w:p>
  </w:endnote>
  <w:endnote w:id="7">
    <w:p w:rsidR="00633DF6" w:rsidRDefault="00633DF6" w:rsidP="00633DF6">
      <w:pPr>
        <w:pStyle w:val="a3"/>
        <w:rPr>
          <w:rFonts w:hint="cs"/>
        </w:rPr>
      </w:pPr>
      <w:r>
        <w:rPr>
          <w:rtl/>
        </w:rPr>
        <w:tab/>
      </w:r>
      <w:r w:rsidRPr="004377AB">
        <w:rPr>
          <w:rtl/>
        </w:rPr>
        <w:endnoteRef/>
      </w:r>
      <w:r>
        <w:rPr>
          <w:rtl/>
        </w:rPr>
        <w:t>.</w:t>
      </w:r>
      <w:r>
        <w:rPr>
          <w:rtl/>
        </w:rPr>
        <w:tab/>
      </w:r>
      <w:r>
        <w:rPr>
          <w:rFonts w:hint="cs"/>
          <w:rtl/>
        </w:rPr>
        <w:t>תענית לא, א (וראה עוד בספר שערי אהבה ורצון מאמר "פרצוף הדעת" ביאור א). ראה גם לעיל בתורה "כשושנה אדומה ראיתי".</w:t>
      </w:r>
    </w:p>
  </w:endnote>
  <w:endnote w:id="8">
    <w:p w:rsidR="00633DF6" w:rsidRDefault="00633DF6" w:rsidP="00633DF6">
      <w:pPr>
        <w:pStyle w:val="a3"/>
        <w:rPr>
          <w:rFonts w:hint="cs"/>
        </w:rPr>
      </w:pPr>
      <w:r>
        <w:rPr>
          <w:rtl/>
        </w:rPr>
        <w:tab/>
      </w:r>
      <w:r w:rsidRPr="004377AB">
        <w:rPr>
          <w:rtl/>
        </w:rPr>
        <w:endnoteRef/>
      </w:r>
      <w:r>
        <w:rPr>
          <w:rtl/>
        </w:rPr>
        <w:t>.</w:t>
      </w:r>
      <w:r>
        <w:rPr>
          <w:rtl/>
        </w:rPr>
        <w:tab/>
      </w:r>
      <w:r>
        <w:rPr>
          <w:rFonts w:hint="cs"/>
          <w:rtl/>
        </w:rPr>
        <w:t>בבא מציעא נט, א.</w:t>
      </w:r>
    </w:p>
  </w:endnote>
  <w:endnote w:id="9">
    <w:p w:rsidR="00633DF6" w:rsidRDefault="00633DF6" w:rsidP="00633DF6">
      <w:pPr>
        <w:pStyle w:val="a3"/>
        <w:rPr>
          <w:rFonts w:hint="cs"/>
          <w:rtl/>
        </w:rPr>
      </w:pPr>
      <w:r>
        <w:rPr>
          <w:rtl/>
        </w:rPr>
        <w:tab/>
      </w:r>
      <w:r w:rsidRPr="004377AB">
        <w:rPr>
          <w:rtl/>
        </w:rPr>
        <w:endnoteRef/>
      </w:r>
      <w:r>
        <w:rPr>
          <w:rtl/>
        </w:rPr>
        <w:t>.</w:t>
      </w:r>
      <w:r>
        <w:rPr>
          <w:rtl/>
        </w:rPr>
        <w:tab/>
      </w:r>
      <w:r>
        <w:rPr>
          <w:rFonts w:hint="cs"/>
          <w:rtl/>
        </w:rPr>
        <w:t>וראה לעיל בשער ד וכן בשער ה בתורה "עת לחבוק ועת לרחוק מחבק".</w:t>
      </w:r>
    </w:p>
  </w:endnote>
  <w:endnote w:id="10">
    <w:p w:rsidR="00633DF6" w:rsidRDefault="00633DF6" w:rsidP="00633DF6">
      <w:pPr>
        <w:pStyle w:val="a3"/>
        <w:rPr>
          <w:rFonts w:hint="cs"/>
          <w:rtl/>
        </w:rPr>
      </w:pPr>
      <w:r>
        <w:rPr>
          <w:rtl/>
        </w:rPr>
        <w:tab/>
      </w:r>
      <w:r w:rsidRPr="004377AB">
        <w:rPr>
          <w:rtl/>
        </w:rPr>
        <w:endnoteRef/>
      </w:r>
      <w:r>
        <w:rPr>
          <w:rtl/>
        </w:rPr>
        <w:t>.</w:t>
      </w:r>
      <w:r>
        <w:rPr>
          <w:rtl/>
        </w:rPr>
        <w:tab/>
      </w:r>
      <w:r>
        <w:rPr>
          <w:rFonts w:hint="cs"/>
          <w:rtl/>
        </w:rPr>
        <w:t>סוטה כ, א.</w:t>
      </w:r>
    </w:p>
  </w:endnote>
  <w:endnote w:id="11">
    <w:p w:rsidR="00633DF6" w:rsidRDefault="00633DF6" w:rsidP="00633DF6">
      <w:pPr>
        <w:pStyle w:val="a3"/>
        <w:rPr>
          <w:rFonts w:hint="cs"/>
          <w:rtl/>
        </w:rPr>
      </w:pPr>
      <w:r>
        <w:rPr>
          <w:rtl/>
        </w:rPr>
        <w:tab/>
      </w:r>
      <w:r w:rsidRPr="004377AB">
        <w:rPr>
          <w:rtl/>
        </w:rPr>
        <w:endnoteRef/>
      </w:r>
      <w:r>
        <w:rPr>
          <w:rtl/>
        </w:rPr>
        <w:t>.</w:t>
      </w:r>
      <w:r>
        <w:rPr>
          <w:rtl/>
        </w:rPr>
        <w:tab/>
      </w:r>
      <w:r>
        <w:rPr>
          <w:rFonts w:hint="cs"/>
          <w:rtl/>
        </w:rPr>
        <w:t xml:space="preserve">בראשית רבה </w:t>
      </w:r>
      <w:proofErr w:type="spellStart"/>
      <w:r>
        <w:rPr>
          <w:rFonts w:hint="cs"/>
          <w:rtl/>
        </w:rPr>
        <w:t>טז</w:t>
      </w:r>
      <w:proofErr w:type="spellEnd"/>
      <w:r>
        <w:rPr>
          <w:rFonts w:hint="cs"/>
          <w:rtl/>
        </w:rPr>
        <w:t xml:space="preserve">, ב; מדרש תהלים </w:t>
      </w:r>
      <w:proofErr w:type="spellStart"/>
      <w:r>
        <w:rPr>
          <w:rFonts w:hint="cs"/>
          <w:rtl/>
        </w:rPr>
        <w:t>קיח</w:t>
      </w:r>
      <w:proofErr w:type="spellEnd"/>
      <w:r>
        <w:rPr>
          <w:rFonts w:hint="cs"/>
          <w:rtl/>
        </w:rPr>
        <w:t xml:space="preserve"> (וראה בעתה </w:t>
      </w:r>
      <w:proofErr w:type="spellStart"/>
      <w:r>
        <w:rPr>
          <w:rFonts w:hint="cs"/>
          <w:rtl/>
        </w:rPr>
        <w:t>אחישנה</w:t>
      </w:r>
      <w:proofErr w:type="spellEnd"/>
      <w:r>
        <w:rPr>
          <w:rFonts w:hint="cs"/>
          <w:rtl/>
        </w:rPr>
        <w:t xml:space="preserve"> בביאור "תחת </w:t>
      </w:r>
      <w:proofErr w:type="spellStart"/>
      <w:r>
        <w:rPr>
          <w:rFonts w:hint="cs"/>
          <w:rtl/>
        </w:rPr>
        <w:t>הנחשת</w:t>
      </w:r>
      <w:proofErr w:type="spellEnd"/>
      <w:r>
        <w:rPr>
          <w:rFonts w:hint="cs"/>
          <w:rtl/>
        </w:rPr>
        <w:t xml:space="preserve"> אביא זהב").</w:t>
      </w:r>
    </w:p>
  </w:endnote>
  <w:endnote w:id="12">
    <w:p w:rsidR="00633DF6" w:rsidRDefault="00633DF6" w:rsidP="00633DF6">
      <w:pPr>
        <w:pStyle w:val="a3"/>
        <w:rPr>
          <w:rFonts w:hint="cs"/>
          <w:rtl/>
        </w:rPr>
      </w:pPr>
      <w:r>
        <w:rPr>
          <w:rtl/>
        </w:rPr>
        <w:tab/>
      </w:r>
      <w:r w:rsidRPr="004377AB">
        <w:rPr>
          <w:rtl/>
        </w:rPr>
        <w:endnoteRef/>
      </w:r>
      <w:r>
        <w:rPr>
          <w:rtl/>
        </w:rPr>
        <w:t>.</w:t>
      </w:r>
      <w:r>
        <w:rPr>
          <w:rtl/>
        </w:rPr>
        <w:tab/>
      </w:r>
      <w:r>
        <w:rPr>
          <w:rFonts w:hint="cs"/>
          <w:rtl/>
        </w:rPr>
        <w:t>יומא פ"א מ"א.</w:t>
      </w:r>
    </w:p>
  </w:endnote>
  <w:endnote w:id="13">
    <w:p w:rsidR="00633DF6" w:rsidRDefault="00633DF6" w:rsidP="00633DF6">
      <w:pPr>
        <w:pStyle w:val="a3"/>
        <w:rPr>
          <w:rFonts w:hint="cs"/>
          <w:rtl/>
        </w:rPr>
      </w:pPr>
      <w:r>
        <w:rPr>
          <w:rtl/>
        </w:rPr>
        <w:tab/>
      </w:r>
      <w:r w:rsidRPr="004377AB">
        <w:rPr>
          <w:rtl/>
        </w:rPr>
        <w:endnoteRef/>
      </w:r>
      <w:r>
        <w:rPr>
          <w:rtl/>
        </w:rPr>
        <w:t>.</w:t>
      </w:r>
      <w:r>
        <w:rPr>
          <w:rtl/>
        </w:rPr>
        <w:tab/>
      </w:r>
      <w:r>
        <w:rPr>
          <w:rFonts w:hint="cs"/>
          <w:rtl/>
        </w:rPr>
        <w:t>סנהדרין כ, ב (וראה ביאורן באורך בסדרת ספרי מלכות ישראל).</w:t>
      </w:r>
    </w:p>
  </w:endnote>
  <w:endnote w:id="14">
    <w:p w:rsidR="00633DF6" w:rsidRDefault="00633DF6" w:rsidP="00633DF6">
      <w:pPr>
        <w:pStyle w:val="a3"/>
        <w:rPr>
          <w:rFonts w:hint="cs"/>
          <w:rtl/>
        </w:rPr>
      </w:pPr>
      <w:r>
        <w:rPr>
          <w:rtl/>
        </w:rPr>
        <w:tab/>
      </w:r>
      <w:r w:rsidRPr="004377AB">
        <w:rPr>
          <w:rtl/>
        </w:rPr>
        <w:endnoteRef/>
      </w:r>
      <w:r>
        <w:rPr>
          <w:rtl/>
        </w:rPr>
        <w:t>.</w:t>
      </w:r>
      <w:r>
        <w:rPr>
          <w:rtl/>
        </w:rPr>
        <w:tab/>
      </w:r>
      <w:r>
        <w:rPr>
          <w:rFonts w:hint="cs"/>
          <w:rtl/>
        </w:rPr>
        <w:t>וראה עוד הקדמת שכינה ביניהם סוף הערה א וביין משמח ח"א שער ה בתורה "שלש מצוות הנישואין".</w:t>
      </w:r>
    </w:p>
  </w:endnote>
  <w:endnote w:id="15">
    <w:p w:rsidR="00633DF6" w:rsidRDefault="00633DF6" w:rsidP="00633DF6">
      <w:pPr>
        <w:pStyle w:val="a3"/>
        <w:rPr>
          <w:rFonts w:hint="cs"/>
          <w:rtl/>
        </w:rPr>
      </w:pPr>
      <w:r>
        <w:rPr>
          <w:rtl/>
        </w:rPr>
        <w:tab/>
      </w:r>
      <w:r w:rsidRPr="004377AB">
        <w:rPr>
          <w:rtl/>
        </w:rPr>
        <w:endnoteRef/>
      </w:r>
      <w:r>
        <w:rPr>
          <w:rtl/>
        </w:rPr>
        <w:t>.</w:t>
      </w:r>
      <w:r>
        <w:rPr>
          <w:rtl/>
        </w:rPr>
        <w:tab/>
      </w:r>
      <w:r>
        <w:rPr>
          <w:rFonts w:hint="cs"/>
          <w:rtl/>
        </w:rPr>
        <w:t>במדבר כד, יא (וראה קידושין ל, ב).</w:t>
      </w:r>
    </w:p>
  </w:endnote>
  <w:endnote w:id="16">
    <w:p w:rsidR="00633DF6" w:rsidRDefault="00633DF6" w:rsidP="00633DF6">
      <w:pPr>
        <w:pStyle w:val="a3"/>
        <w:rPr>
          <w:rFonts w:hint="cs"/>
          <w:rtl/>
        </w:rPr>
      </w:pPr>
      <w:r>
        <w:rPr>
          <w:rtl/>
        </w:rPr>
        <w:tab/>
      </w:r>
      <w:r w:rsidRPr="004377AB">
        <w:rPr>
          <w:rtl/>
        </w:rPr>
        <w:endnoteRef/>
      </w:r>
      <w:r>
        <w:rPr>
          <w:rtl/>
        </w:rPr>
        <w:t>.</w:t>
      </w:r>
      <w:r>
        <w:rPr>
          <w:rtl/>
        </w:rPr>
        <w:tab/>
      </w:r>
      <w:r>
        <w:rPr>
          <w:rFonts w:hint="cs"/>
          <w:rtl/>
        </w:rPr>
        <w:t xml:space="preserve">בראשית ב, </w:t>
      </w:r>
      <w:proofErr w:type="spellStart"/>
      <w:r>
        <w:rPr>
          <w:rFonts w:hint="cs"/>
          <w:rtl/>
        </w:rPr>
        <w:t>יח</w:t>
      </w:r>
      <w:proofErr w:type="spellEnd"/>
      <w:r>
        <w:rPr>
          <w:rFonts w:hint="cs"/>
          <w:rtl/>
        </w:rPr>
        <w:t>.</w:t>
      </w:r>
    </w:p>
  </w:endnote>
  <w:endnote w:id="17">
    <w:p w:rsidR="00633DF6" w:rsidRDefault="00633DF6" w:rsidP="00633DF6">
      <w:pPr>
        <w:pStyle w:val="a3"/>
        <w:rPr>
          <w:rFonts w:hint="cs"/>
        </w:rPr>
      </w:pPr>
      <w:r>
        <w:rPr>
          <w:rtl/>
        </w:rPr>
        <w:tab/>
      </w:r>
      <w:r w:rsidRPr="004377AB">
        <w:rPr>
          <w:rtl/>
        </w:rPr>
        <w:endnoteRef/>
      </w:r>
      <w:r>
        <w:rPr>
          <w:rtl/>
        </w:rPr>
        <w:t>.</w:t>
      </w:r>
      <w:r>
        <w:rPr>
          <w:rtl/>
        </w:rPr>
        <w:tab/>
      </w:r>
      <w:r>
        <w:rPr>
          <w:rFonts w:hint="cs"/>
          <w:rtl/>
        </w:rPr>
        <w:t xml:space="preserve">מכילתא ריש </w:t>
      </w:r>
      <w:proofErr w:type="spellStart"/>
      <w:r>
        <w:rPr>
          <w:rFonts w:hint="cs"/>
          <w:rtl/>
        </w:rPr>
        <w:t>ויקהל</w:t>
      </w:r>
      <w:proofErr w:type="spellEnd"/>
      <w:r>
        <w:rPr>
          <w:rFonts w:hint="cs"/>
          <w:rtl/>
        </w:rPr>
        <w:t xml:space="preserve"> (ראה רש"י שמות לא, </w:t>
      </w:r>
      <w:proofErr w:type="spellStart"/>
      <w:r>
        <w:rPr>
          <w:rFonts w:hint="cs"/>
          <w:rtl/>
        </w:rPr>
        <w:t>יג</w:t>
      </w:r>
      <w:proofErr w:type="spellEnd"/>
      <w:r>
        <w:rPr>
          <w:rFonts w:hint="cs"/>
          <w:rtl/>
        </w:rPr>
        <w:t>; לה, ב).</w:t>
      </w:r>
    </w:p>
  </w:endnote>
  <w:endnote w:id="18">
    <w:p w:rsidR="00633DF6" w:rsidRDefault="00633DF6" w:rsidP="00633DF6">
      <w:pPr>
        <w:pStyle w:val="a3"/>
        <w:rPr>
          <w:rtl/>
        </w:rPr>
      </w:pPr>
      <w:r>
        <w:rPr>
          <w:rtl/>
        </w:rPr>
        <w:tab/>
      </w:r>
      <w:r w:rsidRPr="004377AB">
        <w:rPr>
          <w:rtl/>
        </w:rPr>
        <w:endnoteRef/>
      </w:r>
      <w:r>
        <w:rPr>
          <w:rtl/>
        </w:rPr>
        <w:t>.</w:t>
      </w:r>
      <w:r>
        <w:rPr>
          <w:rtl/>
        </w:rPr>
        <w:tab/>
      </w:r>
      <w:r>
        <w:rPr>
          <w:rFonts w:hint="cs"/>
          <w:rtl/>
        </w:rPr>
        <w:t xml:space="preserve">וראה גם </w:t>
      </w:r>
      <w:proofErr w:type="spellStart"/>
      <w:r>
        <w:rPr>
          <w:rFonts w:hint="cs"/>
          <w:rtl/>
        </w:rPr>
        <w:t>מענין</w:t>
      </w:r>
      <w:proofErr w:type="spellEnd"/>
      <w:r>
        <w:rPr>
          <w:rFonts w:hint="cs"/>
          <w:rtl/>
        </w:rPr>
        <w:t xml:space="preserve"> גנים </w:t>
      </w:r>
      <w:proofErr w:type="spellStart"/>
      <w:r>
        <w:rPr>
          <w:rFonts w:hint="cs"/>
          <w:rtl/>
        </w:rPr>
        <w:t>ח"ב</w:t>
      </w:r>
      <w:proofErr w:type="spellEnd"/>
      <w:r>
        <w:rPr>
          <w:rFonts w:hint="cs"/>
          <w:rtl/>
        </w:rPr>
        <w:t xml:space="preserve"> פרשת </w:t>
      </w:r>
      <w:proofErr w:type="spellStart"/>
      <w:r>
        <w:rPr>
          <w:rFonts w:hint="cs"/>
          <w:rtl/>
        </w:rPr>
        <w:t>ויקהל</w:t>
      </w:r>
      <w:proofErr w:type="spellEnd"/>
      <w:r>
        <w:rPr>
          <w:rFonts w:hint="cs"/>
          <w:rtl/>
        </w:rPr>
        <w:t xml:space="preserve"> (ובפרט שם הערה ג) ובכלל גדול בתורה ביאור ד.</w:t>
      </w:r>
    </w:p>
  </w:endnote>
  <w:endnote w:id="19">
    <w:p w:rsidR="00633DF6" w:rsidRDefault="00633DF6" w:rsidP="00633DF6">
      <w:pPr>
        <w:pStyle w:val="a3"/>
        <w:rPr>
          <w:rFonts w:hint="cs"/>
        </w:rPr>
      </w:pPr>
      <w:r>
        <w:rPr>
          <w:rtl/>
        </w:rPr>
        <w:tab/>
      </w:r>
      <w:r w:rsidRPr="004377AB">
        <w:rPr>
          <w:rtl/>
        </w:rPr>
        <w:endnoteRef/>
      </w:r>
      <w:r>
        <w:rPr>
          <w:rtl/>
        </w:rPr>
        <w:t>.</w:t>
      </w:r>
      <w:r>
        <w:rPr>
          <w:rtl/>
        </w:rPr>
        <w:tab/>
      </w:r>
      <w:proofErr w:type="spellStart"/>
      <w:r>
        <w:rPr>
          <w:rFonts w:hint="cs"/>
          <w:rtl/>
        </w:rPr>
        <w:t>תנחומא</w:t>
      </w:r>
      <w:proofErr w:type="spellEnd"/>
      <w:r>
        <w:rPr>
          <w:rFonts w:hint="cs"/>
          <w:rtl/>
        </w:rPr>
        <w:t xml:space="preserve"> מצורע ח.</w:t>
      </w:r>
    </w:p>
  </w:endnote>
  <w:endnote w:id="20">
    <w:p w:rsidR="00633DF6" w:rsidRDefault="00633DF6" w:rsidP="00633DF6">
      <w:pPr>
        <w:pStyle w:val="a3"/>
        <w:rPr>
          <w:rFonts w:hint="cs"/>
          <w:rtl/>
        </w:rPr>
      </w:pPr>
      <w:r>
        <w:rPr>
          <w:rtl/>
        </w:rPr>
        <w:tab/>
      </w:r>
      <w:r w:rsidRPr="004377AB">
        <w:rPr>
          <w:rtl/>
        </w:rPr>
        <w:endnoteRef/>
      </w:r>
      <w:r>
        <w:rPr>
          <w:rtl/>
        </w:rPr>
        <w:t>.</w:t>
      </w:r>
      <w:r>
        <w:rPr>
          <w:rtl/>
        </w:rPr>
        <w:tab/>
      </w:r>
      <w:r>
        <w:rPr>
          <w:rFonts w:hint="cs"/>
          <w:rtl/>
        </w:rPr>
        <w:t xml:space="preserve">זכריה </w:t>
      </w:r>
      <w:proofErr w:type="spellStart"/>
      <w:r>
        <w:rPr>
          <w:rFonts w:hint="cs"/>
          <w:rtl/>
        </w:rPr>
        <w:t>יג</w:t>
      </w:r>
      <w:proofErr w:type="spellEnd"/>
      <w:r>
        <w:rPr>
          <w:rFonts w:hint="cs"/>
          <w:rtl/>
        </w:rPr>
        <w:t>, ב.</w:t>
      </w:r>
    </w:p>
  </w:endnote>
  <w:endnote w:id="21">
    <w:p w:rsidR="00633DF6" w:rsidRDefault="00633DF6" w:rsidP="00633DF6">
      <w:pPr>
        <w:pStyle w:val="a3"/>
        <w:rPr>
          <w:rFonts w:hint="cs"/>
          <w:rtl/>
        </w:rPr>
      </w:pPr>
      <w:r>
        <w:rPr>
          <w:rtl/>
        </w:rPr>
        <w:tab/>
      </w:r>
      <w:r w:rsidRPr="004377AB">
        <w:rPr>
          <w:rtl/>
        </w:rPr>
        <w:endnoteRef/>
      </w:r>
      <w:r>
        <w:rPr>
          <w:rtl/>
        </w:rPr>
        <w:t>.</w:t>
      </w:r>
      <w:r>
        <w:rPr>
          <w:rtl/>
        </w:rPr>
        <w:tab/>
      </w:r>
      <w:r>
        <w:rPr>
          <w:rFonts w:hint="cs"/>
          <w:rtl/>
        </w:rPr>
        <w:t>וראה בשער ה בתורות "משחקת לפניו בכל עת" ו"עליה אין סופית".</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331" w:rsidRDefault="00AD1331" w:rsidP="00633DF6">
      <w:pPr>
        <w:spacing w:after="0" w:line="240" w:lineRule="auto"/>
      </w:pPr>
      <w:r>
        <w:separator/>
      </w:r>
    </w:p>
  </w:footnote>
  <w:footnote w:type="continuationSeparator" w:id="0">
    <w:p w:rsidR="00AD1331" w:rsidRDefault="00AD1331" w:rsidP="00633D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F7CBE"/>
    <w:multiLevelType w:val="hybridMultilevel"/>
    <w:tmpl w:val="7F625706"/>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B53"/>
    <w:rsid w:val="00061E65"/>
    <w:rsid w:val="00633DF6"/>
    <w:rsid w:val="00AC2310"/>
    <w:rsid w:val="00AD1331"/>
    <w:rsid w:val="00F64B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633DF6"/>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633DF6"/>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633DF6"/>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semiHidden/>
    <w:rsid w:val="00633DF6"/>
    <w:pPr>
      <w:tabs>
        <w:tab w:val="right" w:pos="266"/>
        <w:tab w:val="left" w:pos="340"/>
      </w:tabs>
      <w:spacing w:after="20" w:line="260" w:lineRule="exact"/>
      <w:ind w:left="340" w:hanging="340"/>
    </w:pPr>
    <w:rPr>
      <w:sz w:val="20"/>
      <w:szCs w:val="23"/>
    </w:rPr>
  </w:style>
  <w:style w:type="character" w:customStyle="1" w:styleId="a4">
    <w:name w:val="טקסט הערת סיום תו"/>
    <w:basedOn w:val="a0"/>
    <w:link w:val="a3"/>
    <w:semiHidden/>
    <w:rsid w:val="00633DF6"/>
    <w:rPr>
      <w:rFonts w:ascii="Times New Roman" w:eastAsia="Times New Roman" w:hAnsi="Times New Roman" w:cs="FrankRuehl"/>
      <w:sz w:val="20"/>
      <w:szCs w:val="23"/>
      <w:lang w:eastAsia="he-IL"/>
    </w:rPr>
  </w:style>
  <w:style w:type="character" w:styleId="a5">
    <w:name w:val="endnote reference"/>
    <w:aliases w:val="Endnote Reference"/>
    <w:basedOn w:val="a6"/>
    <w:semiHidden/>
    <w:rsid w:val="00633DF6"/>
    <w:rPr>
      <w:noProof/>
      <w:position w:val="-4"/>
      <w:szCs w:val="27"/>
      <w:vertAlign w:val="superscript"/>
    </w:rPr>
  </w:style>
  <w:style w:type="paragraph" w:customStyle="1" w:styleId="a7">
    <w:name w:val="פתיח תו"/>
    <w:basedOn w:val="a"/>
    <w:link w:val="a8"/>
    <w:rsid w:val="00633DF6"/>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633DF6"/>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633D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633DF6"/>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633DF6"/>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633DF6"/>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semiHidden/>
    <w:rsid w:val="00633DF6"/>
    <w:pPr>
      <w:tabs>
        <w:tab w:val="right" w:pos="266"/>
        <w:tab w:val="left" w:pos="340"/>
      </w:tabs>
      <w:spacing w:after="20" w:line="260" w:lineRule="exact"/>
      <w:ind w:left="340" w:hanging="340"/>
    </w:pPr>
    <w:rPr>
      <w:sz w:val="20"/>
      <w:szCs w:val="23"/>
    </w:rPr>
  </w:style>
  <w:style w:type="character" w:customStyle="1" w:styleId="a4">
    <w:name w:val="טקסט הערת סיום תו"/>
    <w:basedOn w:val="a0"/>
    <w:link w:val="a3"/>
    <w:semiHidden/>
    <w:rsid w:val="00633DF6"/>
    <w:rPr>
      <w:rFonts w:ascii="Times New Roman" w:eastAsia="Times New Roman" w:hAnsi="Times New Roman" w:cs="FrankRuehl"/>
      <w:sz w:val="20"/>
      <w:szCs w:val="23"/>
      <w:lang w:eastAsia="he-IL"/>
    </w:rPr>
  </w:style>
  <w:style w:type="character" w:styleId="a5">
    <w:name w:val="endnote reference"/>
    <w:aliases w:val="Endnote Reference"/>
    <w:basedOn w:val="a6"/>
    <w:semiHidden/>
    <w:rsid w:val="00633DF6"/>
    <w:rPr>
      <w:noProof/>
      <w:position w:val="-4"/>
      <w:szCs w:val="27"/>
      <w:vertAlign w:val="superscript"/>
    </w:rPr>
  </w:style>
  <w:style w:type="paragraph" w:customStyle="1" w:styleId="a7">
    <w:name w:val="פתיח תו"/>
    <w:basedOn w:val="a"/>
    <w:link w:val="a8"/>
    <w:rsid w:val="00633DF6"/>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633DF6"/>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633D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2274</Characters>
  <Application>Microsoft Office Word</Application>
  <DocSecurity>0</DocSecurity>
  <Lines>18</Lines>
  <Paragraphs>5</Paragraphs>
  <ScaleCrop>false</ScaleCrop>
  <Company/>
  <LinksUpToDate>false</LinksUpToDate>
  <CharactersWithSpaces>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2017-08-15T16:47:00Z</dcterms:created>
  <dcterms:modified xsi:type="dcterms:W3CDTF">2017-08-15T16:47:00Z</dcterms:modified>
</cp:coreProperties>
</file>